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DD551" w14:textId="77777777" w:rsidR="003E79C7" w:rsidRPr="003E79C7" w:rsidRDefault="003E79C7" w:rsidP="003E79C7">
      <w:pPr>
        <w:pStyle w:val="Default"/>
        <w:numPr>
          <w:ilvl w:val="0"/>
          <w:numId w:val="2"/>
        </w:numPr>
        <w:rPr>
          <w:rFonts w:ascii="Tahoma" w:hAnsi="Tahoma" w:cs="Tahoma"/>
          <w:sz w:val="22"/>
          <w:szCs w:val="22"/>
        </w:rPr>
      </w:pPr>
      <w:r>
        <w:rPr>
          <w:rFonts w:ascii="Tahoma" w:hAnsi="Tahoma"/>
          <w:b/>
          <w:sz w:val="22"/>
        </w:rPr>
        <w:t>Ziel des Formulars</w:t>
      </w:r>
      <w:r>
        <w:rPr>
          <w:rFonts w:ascii="Tahoma" w:hAnsi="Tahoma"/>
        </w:rPr>
        <w:t xml:space="preserve"> </w:t>
      </w:r>
      <w:r>
        <w:rPr>
          <w:rFonts w:ascii="Tahoma" w:hAnsi="Tahoma"/>
        </w:rPr>
        <w:br/>
      </w:r>
      <w:r>
        <w:rPr>
          <w:rFonts w:ascii="Tahoma" w:hAnsi="Tahoma"/>
          <w:sz w:val="20"/>
        </w:rPr>
        <w:t xml:space="preserve">Artikel 19 des Königlichen Erlasses vom 27. April 2007 über die Verwaltung des nationalen Telefonnummernraums und die Erteilung und den Entzug von Nutzungsrechten für Nummern (B.S. 28. Juni 2007) bestimmt (freie Übersetzung): </w:t>
      </w:r>
      <w:r>
        <w:rPr>
          <w:rFonts w:ascii="Tahoma" w:hAnsi="Tahoma"/>
          <w:i/>
          <w:sz w:val="20"/>
        </w:rPr>
        <w:t>Die Nummernkapazität wird nur zugewiesen, falls innerhalb des Reservierungszeitraums die Nummernkapazität tatsächlich für die angegebenen Ziele in Betrieb genommen wird. Das Datum der Inbetriebnahme wird dem Institut mindestens drei Tage vorher schriftlich mitgeteilt.</w:t>
      </w:r>
      <w:r>
        <w:rPr>
          <w:rFonts w:ascii="Tahoma" w:hAnsi="Tahoma"/>
          <w:sz w:val="20"/>
        </w:rPr>
        <w:t xml:space="preserve"> </w:t>
      </w:r>
      <w:r>
        <w:rPr>
          <w:rFonts w:ascii="Tahoma" w:hAnsi="Tahoma"/>
          <w:sz w:val="20"/>
        </w:rPr>
        <w:br/>
        <w:t xml:space="preserve">Die Inbetriebnahme der Nummernkapazität in diesem Kontext bedeutet, dass die Nummern schon auf einer Weise implementiert wurden, dass sie Anrufe/Nachrichten empfangen können, oder dass sie für Anrufe/Nachrichten benutzt werden, indem Anrufe (CLI) geschickt werden oder, dass sie zur Unterstützung der Anrufs-/Nachrichtenabwicklung (z. B. für die National </w:t>
      </w:r>
      <w:proofErr w:type="spellStart"/>
      <w:r>
        <w:rPr>
          <w:rFonts w:ascii="Tahoma" w:hAnsi="Tahoma"/>
          <w:sz w:val="20"/>
        </w:rPr>
        <w:t>Signalling</w:t>
      </w:r>
      <w:proofErr w:type="spellEnd"/>
      <w:r>
        <w:rPr>
          <w:rFonts w:ascii="Tahoma" w:hAnsi="Tahoma"/>
          <w:sz w:val="20"/>
        </w:rPr>
        <w:t xml:space="preserve"> Point Codes) benutzt werden. </w:t>
      </w:r>
      <w:r>
        <w:rPr>
          <w:rFonts w:ascii="Tahoma" w:hAnsi="Tahoma"/>
          <w:sz w:val="20"/>
        </w:rPr>
        <w:br/>
        <w:t xml:space="preserve">Dieses Formular </w:t>
      </w:r>
      <w:proofErr w:type="spellStart"/>
      <w:r>
        <w:rPr>
          <w:rFonts w:ascii="Tahoma" w:hAnsi="Tahoma"/>
          <w:sz w:val="20"/>
        </w:rPr>
        <w:t>bezielt</w:t>
      </w:r>
      <w:proofErr w:type="spellEnd"/>
      <w:r>
        <w:rPr>
          <w:rFonts w:ascii="Tahoma" w:hAnsi="Tahoma"/>
          <w:sz w:val="20"/>
        </w:rPr>
        <w:t xml:space="preserve"> die einfache Durchführung der oben beschriebenen gesetzlichen Meldungsverpflichtung. </w:t>
      </w:r>
      <w:r>
        <w:rPr>
          <w:rFonts w:ascii="Tahoma" w:hAnsi="Tahoma"/>
          <w:sz w:val="20"/>
        </w:rPr>
        <w:br/>
      </w:r>
    </w:p>
    <w:p w14:paraId="082DD552" w14:textId="1E1535BB" w:rsidR="003E79C7" w:rsidRPr="00853F53" w:rsidRDefault="003E79C7" w:rsidP="00A607E4">
      <w:pPr>
        <w:pStyle w:val="Default"/>
        <w:numPr>
          <w:ilvl w:val="0"/>
          <w:numId w:val="2"/>
        </w:numPr>
        <w:rPr>
          <w:rFonts w:ascii="Tahoma" w:hAnsi="Tahoma" w:cs="Tahoma"/>
          <w:sz w:val="22"/>
          <w:szCs w:val="22"/>
        </w:rPr>
      </w:pPr>
      <w:r>
        <w:rPr>
          <w:rFonts w:ascii="Tahoma" w:hAnsi="Tahoma"/>
          <w:b/>
          <w:sz w:val="22"/>
        </w:rPr>
        <w:t>Von der Zuteilung ersuchenden Partei auszufüllen</w:t>
      </w:r>
      <w:r>
        <w:rPr>
          <w:rFonts w:ascii="Tahoma" w:hAnsi="Tahoma"/>
        </w:rPr>
        <w:t xml:space="preserve"> </w:t>
      </w:r>
      <w:r>
        <w:rPr>
          <w:rFonts w:ascii="Tahoma" w:hAnsi="Tahoma"/>
        </w:rPr>
        <w:br/>
      </w:r>
      <w:r>
        <w:rPr>
          <w:rFonts w:ascii="Tahoma" w:hAnsi="Tahoma"/>
          <w:sz w:val="20"/>
        </w:rPr>
        <w:t xml:space="preserve">Name der Zuteilung ersuchenden Partei: </w:t>
      </w:r>
      <w:r>
        <w:rPr>
          <w:rFonts w:ascii="Tahoma" w:hAnsi="Tahoma"/>
          <w:sz w:val="20"/>
        </w:rPr>
        <w:br/>
        <w:t xml:space="preserve">Art Nummernkapazität (z. B. geografische Nummern): </w:t>
      </w:r>
      <w:r>
        <w:rPr>
          <w:rFonts w:ascii="Tahoma" w:hAnsi="Tahoma"/>
          <w:sz w:val="20"/>
        </w:rPr>
        <w:br/>
        <w:t xml:space="preserve">Erwähnung Nummernkapazität und Datum der Inbetriebnahme: </w:t>
      </w:r>
      <w:r>
        <w:rPr>
          <w:rFonts w:ascii="Tahoma" w:hAnsi="Tahoma"/>
          <w:sz w:val="20"/>
        </w:rPr>
        <w:br/>
        <w:t xml:space="preserve">Bemerkungen (gegebenenfalls): </w:t>
      </w:r>
      <w:r>
        <w:rPr>
          <w:rFonts w:ascii="Tahoma" w:hAnsi="Tahoma"/>
          <w:sz w:val="22"/>
        </w:rPr>
        <w:br/>
      </w:r>
    </w:p>
    <w:p w14:paraId="082DD553" w14:textId="77777777" w:rsidR="00A607E4" w:rsidRPr="00853F53" w:rsidRDefault="003E79C7" w:rsidP="00A607E4">
      <w:pPr>
        <w:pStyle w:val="Default"/>
        <w:numPr>
          <w:ilvl w:val="0"/>
          <w:numId w:val="2"/>
        </w:numPr>
        <w:rPr>
          <w:rFonts w:ascii="Tahoma" w:hAnsi="Tahoma" w:cs="Tahoma"/>
          <w:sz w:val="22"/>
          <w:szCs w:val="22"/>
        </w:rPr>
      </w:pPr>
      <w:r>
        <w:rPr>
          <w:rFonts w:ascii="Tahoma" w:hAnsi="Tahoma"/>
          <w:b/>
          <w:sz w:val="22"/>
        </w:rPr>
        <w:t>Verfahren</w:t>
      </w:r>
      <w:r>
        <w:rPr>
          <w:rFonts w:ascii="Tahoma" w:hAnsi="Tahoma"/>
        </w:rPr>
        <w:t xml:space="preserve"> </w:t>
      </w:r>
      <w:r>
        <w:rPr>
          <w:rFonts w:ascii="Tahoma" w:hAnsi="Tahoma"/>
        </w:rPr>
        <w:br/>
      </w:r>
      <w:r>
        <w:rPr>
          <w:rFonts w:ascii="Tahoma" w:hAnsi="Tahoma"/>
          <w:sz w:val="20"/>
        </w:rPr>
        <w:t xml:space="preserve">Der Unterzeichnete verpflichtet sich dazu, das BIPT unmittelbar von jeder Änderung, wodurch die im Antrag gegebene Beschreibung nicht mehr der Wirklichkeit entsprechen würde, sowie jeder Einstellung der Tätigkeiten zu benachrichtigen. Der Unterzeichnete erklärt, alle Daten auf den vorigen Seiten richtig, vollständig und wahrheitsgetreu ausgefüllt zu haben. </w:t>
      </w:r>
      <w:r>
        <w:rPr>
          <w:rFonts w:ascii="Tahoma" w:hAnsi="Tahoma"/>
          <w:sz w:val="20"/>
        </w:rPr>
        <w:br/>
      </w:r>
      <w:r>
        <w:rPr>
          <w:rFonts w:ascii="Tahoma" w:hAnsi="Tahoma"/>
          <w:sz w:val="20"/>
        </w:rPr>
        <w:br/>
        <w:t xml:space="preserve">Ort und Datum </w:t>
      </w:r>
      <w:r>
        <w:rPr>
          <w:rFonts w:ascii="Tahoma" w:hAnsi="Tahoma"/>
          <w:sz w:val="20"/>
        </w:rPr>
        <w:br/>
      </w:r>
      <w:r>
        <w:rPr>
          <w:rFonts w:ascii="Tahoma" w:hAnsi="Tahoma"/>
          <w:sz w:val="20"/>
        </w:rPr>
        <w:br/>
      </w:r>
      <w:r>
        <w:rPr>
          <w:rFonts w:ascii="Tahoma" w:hAnsi="Tahoma"/>
          <w:sz w:val="20"/>
        </w:rPr>
        <w:br/>
        <w:t xml:space="preserve">Name </w:t>
      </w:r>
      <w:r>
        <w:rPr>
          <w:rFonts w:ascii="Tahoma" w:hAnsi="Tahoma"/>
          <w:sz w:val="20"/>
        </w:rPr>
        <w:br/>
      </w:r>
      <w:r>
        <w:rPr>
          <w:rFonts w:ascii="Tahoma" w:hAnsi="Tahoma"/>
          <w:sz w:val="20"/>
        </w:rPr>
        <w:br/>
      </w:r>
      <w:r>
        <w:rPr>
          <w:rFonts w:ascii="Tahoma" w:hAnsi="Tahoma"/>
          <w:sz w:val="20"/>
        </w:rPr>
        <w:br/>
        <w:t xml:space="preserve">Unterzeichnung </w:t>
      </w:r>
      <w:r>
        <w:rPr>
          <w:rFonts w:ascii="Tahoma" w:hAnsi="Tahoma"/>
          <w:sz w:val="20"/>
        </w:rPr>
        <w:br/>
      </w:r>
      <w:r>
        <w:rPr>
          <w:rFonts w:ascii="Tahoma" w:hAnsi="Tahoma"/>
          <w:sz w:val="20"/>
        </w:rPr>
        <w:br/>
      </w:r>
    </w:p>
    <w:p w14:paraId="082DD554" w14:textId="77777777" w:rsidR="00A607E4" w:rsidRDefault="00A607E4" w:rsidP="00A607E4">
      <w:pPr>
        <w:pStyle w:val="Default"/>
        <w:rPr>
          <w:rFonts w:ascii="Tahoma" w:hAnsi="Tahoma" w:cs="Tahoma"/>
          <w:sz w:val="22"/>
          <w:szCs w:val="22"/>
        </w:rPr>
      </w:pPr>
    </w:p>
    <w:p w14:paraId="7A134EEB" w14:textId="77777777" w:rsidR="00E44D65" w:rsidRPr="003E79C7" w:rsidRDefault="00E44D65" w:rsidP="00A607E4">
      <w:pPr>
        <w:pStyle w:val="Default"/>
        <w:rPr>
          <w:rFonts w:ascii="Tahoma" w:hAnsi="Tahoma" w:cs="Tahoma"/>
          <w:sz w:val="22"/>
          <w:szCs w:val="22"/>
        </w:rPr>
      </w:pPr>
    </w:p>
    <w:p w14:paraId="082DD555" w14:textId="77777777" w:rsidR="003E79C7" w:rsidRPr="00853F53" w:rsidRDefault="003E79C7" w:rsidP="003E79C7">
      <w:pPr>
        <w:pStyle w:val="Default"/>
        <w:rPr>
          <w:rFonts w:ascii="Tahoma" w:hAnsi="Tahoma" w:cs="Tahoma"/>
          <w:sz w:val="20"/>
          <w:szCs w:val="20"/>
        </w:rPr>
      </w:pPr>
      <w:r>
        <w:rPr>
          <w:rFonts w:ascii="Tahoma" w:hAnsi="Tahoma"/>
          <w:sz w:val="20"/>
        </w:rPr>
        <w:t xml:space="preserve">Dieses Formular kann geschickt werden über </w:t>
      </w:r>
    </w:p>
    <w:p w14:paraId="082DD557" w14:textId="1A8790FE" w:rsidR="003E79C7" w:rsidRPr="00853F53" w:rsidRDefault="003E79C7" w:rsidP="003E79C7">
      <w:pPr>
        <w:pStyle w:val="Default"/>
        <w:rPr>
          <w:rFonts w:ascii="Tahoma" w:hAnsi="Tahoma" w:cs="Tahoma"/>
          <w:sz w:val="20"/>
          <w:szCs w:val="20"/>
        </w:rPr>
      </w:pPr>
      <w:r>
        <w:rPr>
          <w:rFonts w:ascii="Tahoma" w:hAnsi="Tahoma"/>
          <w:sz w:val="20"/>
        </w:rPr>
        <w:t xml:space="preserve">E-Mail in </w:t>
      </w:r>
      <w:proofErr w:type="gramStart"/>
      <w:r>
        <w:rPr>
          <w:rFonts w:ascii="Tahoma" w:hAnsi="Tahoma"/>
          <w:sz w:val="20"/>
        </w:rPr>
        <w:t>PDF-Format</w:t>
      </w:r>
      <w:proofErr w:type="gramEnd"/>
      <w:r>
        <w:rPr>
          <w:rFonts w:ascii="Tahoma" w:hAnsi="Tahoma"/>
          <w:sz w:val="20"/>
        </w:rPr>
        <w:t xml:space="preserve"> an numbering@bipt.be </w:t>
      </w:r>
    </w:p>
    <w:p w14:paraId="082DD558" w14:textId="77777777" w:rsidR="00A607E4" w:rsidRPr="00853F53" w:rsidRDefault="003E79C7" w:rsidP="003E79C7">
      <w:pPr>
        <w:pStyle w:val="Default"/>
        <w:rPr>
          <w:rFonts w:ascii="Tahoma" w:hAnsi="Tahoma" w:cs="Tahoma"/>
          <w:sz w:val="20"/>
          <w:szCs w:val="20"/>
        </w:rPr>
      </w:pPr>
      <w:r>
        <w:rPr>
          <w:rFonts w:ascii="Tahoma" w:hAnsi="Tahoma"/>
          <w:sz w:val="20"/>
        </w:rPr>
        <w:t xml:space="preserve">oder über Brief an: </w:t>
      </w:r>
    </w:p>
    <w:p w14:paraId="082DD559" w14:textId="7902229B" w:rsidR="00A907E6" w:rsidRPr="00853F53" w:rsidRDefault="00A607E4" w:rsidP="003E79C7">
      <w:pPr>
        <w:rPr>
          <w:rFonts w:cs="Tahoma"/>
          <w:szCs w:val="20"/>
        </w:rPr>
      </w:pPr>
      <w:r>
        <w:tab/>
        <w:t xml:space="preserve">BIPT - Dienst </w:t>
      </w:r>
      <w:proofErr w:type="spellStart"/>
      <w:r>
        <w:t>Numerierung</w:t>
      </w:r>
      <w:proofErr w:type="spellEnd"/>
      <w:r>
        <w:t xml:space="preserve"> </w:t>
      </w:r>
      <w:r>
        <w:br/>
      </w:r>
      <w:r>
        <w:tab/>
        <w:t>Boulevard du Roi Albert II 32/10</w:t>
      </w:r>
      <w:r>
        <w:br/>
      </w:r>
      <w:r>
        <w:tab/>
        <w:t>1000 Brüssel</w:t>
      </w:r>
    </w:p>
    <w:sectPr w:rsidR="00A907E6" w:rsidRPr="00853F53" w:rsidSect="00305BCE">
      <w:headerReference w:type="default" r:id="rId7"/>
      <w:footerReference w:type="default" r:id="rId8"/>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960FD" w14:textId="77777777" w:rsidR="00A11B87" w:rsidRDefault="00A11B87" w:rsidP="00A607E4">
      <w:pPr>
        <w:spacing w:after="0" w:line="240" w:lineRule="auto"/>
      </w:pPr>
      <w:r>
        <w:separator/>
      </w:r>
    </w:p>
  </w:endnote>
  <w:endnote w:type="continuationSeparator" w:id="0">
    <w:p w14:paraId="1C82ED93" w14:textId="77777777" w:rsidR="00A11B87" w:rsidRDefault="00A11B87" w:rsidP="00A60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D561" w14:textId="77777777" w:rsidR="0008737A" w:rsidRPr="00934DBA" w:rsidRDefault="0008737A" w:rsidP="0008737A">
    <w:pPr>
      <w:pStyle w:val="Pieddepage"/>
      <w:rPr>
        <w:b/>
        <w:color w:val="292A81"/>
        <w:sz w:val="16"/>
      </w:rPr>
    </w:pPr>
    <w:r>
      <w:rPr>
        <w:b/>
        <w:color w:val="292A81"/>
        <w:sz w:val="16"/>
      </w:rPr>
      <w:t>Belgisches Institut für Postdienste und Telekommunikation</w:t>
    </w:r>
  </w:p>
  <w:p w14:paraId="082DD562" w14:textId="2C99444E" w:rsidR="0008737A" w:rsidRPr="00934DBA" w:rsidRDefault="0008737A" w:rsidP="0008737A">
    <w:pPr>
      <w:pStyle w:val="Pieddepage"/>
      <w:rPr>
        <w:color w:val="292A81"/>
        <w:sz w:val="16"/>
      </w:rPr>
    </w:pPr>
    <w:r>
      <w:rPr>
        <w:color w:val="292A81"/>
        <w:sz w:val="16"/>
      </w:rPr>
      <w:t>Dienst Nummerierung | Boulevard du Roi Albert II 32 Postfach 10 | 1000 Brüssel</w:t>
    </w:r>
  </w:p>
  <w:p w14:paraId="082DD563" w14:textId="77777777" w:rsidR="00A607E4" w:rsidRPr="0008737A" w:rsidRDefault="0008737A" w:rsidP="0008737A">
    <w:pPr>
      <w:pStyle w:val="Pieddepage"/>
    </w:pPr>
    <w:r>
      <w:rPr>
        <w:b/>
        <w:color w:val="292A81"/>
        <w:sz w:val="16"/>
      </w:rPr>
      <w:t>T</w:t>
    </w:r>
    <w:r>
      <w:rPr>
        <w:color w:val="292A81"/>
        <w:sz w:val="16"/>
      </w:rPr>
      <w:t xml:space="preserve"> +32 2 226 88 88 | </w:t>
    </w:r>
    <w:r>
      <w:rPr>
        <w:b/>
        <w:color w:val="292A81"/>
        <w:sz w:val="16"/>
      </w:rPr>
      <w:t>F</w:t>
    </w:r>
    <w:r>
      <w:rPr>
        <w:color w:val="292A81"/>
        <w:sz w:val="16"/>
      </w:rPr>
      <w:t xml:space="preserve"> +32 2 226 88 77 | </w:t>
    </w:r>
    <w:r>
      <w:rPr>
        <w:b/>
        <w:color w:val="292A81"/>
        <w:sz w:val="16"/>
      </w:rPr>
      <w:t>E</w:t>
    </w:r>
    <w:r>
      <w:rPr>
        <w:color w:val="292A81"/>
        <w:sz w:val="16"/>
      </w:rPr>
      <w:t xml:space="preserve"> numbering@bipt.be </w:t>
    </w:r>
    <w:r>
      <w:rPr>
        <w:b/>
        <w:color w:val="292A81"/>
        <w:sz w:val="16"/>
      </w:rPr>
      <w:t>www.bipt.be</w:t>
    </w:r>
  </w:p>
  <w:p w14:paraId="082DD564" w14:textId="77777777" w:rsidR="00A607E4" w:rsidRPr="0008737A" w:rsidRDefault="00A607E4">
    <w:pPr>
      <w:pStyle w:val="Pieddepage"/>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E4247" w14:textId="77777777" w:rsidR="00A11B87" w:rsidRDefault="00A11B87" w:rsidP="00A607E4">
      <w:pPr>
        <w:spacing w:after="0" w:line="240" w:lineRule="auto"/>
      </w:pPr>
      <w:r>
        <w:separator/>
      </w:r>
    </w:p>
  </w:footnote>
  <w:footnote w:type="continuationSeparator" w:id="0">
    <w:p w14:paraId="3E61FF9C" w14:textId="77777777" w:rsidR="00A11B87" w:rsidRDefault="00A11B87" w:rsidP="00A60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D55F" w14:textId="42435E32" w:rsidR="00AE4262" w:rsidRPr="00305BCE" w:rsidRDefault="00305BCE" w:rsidP="00305BCE">
    <w:pPr>
      <w:pStyle w:val="Titre"/>
      <w:jc w:val="right"/>
      <w:rPr>
        <w:color w:val="292A81" w:themeColor="text2"/>
        <w:sz w:val="48"/>
        <w:szCs w:val="48"/>
      </w:rPr>
    </w:pPr>
    <w:r>
      <w:rPr>
        <w:noProof/>
        <w:color w:val="292A81" w:themeColor="text2"/>
        <w:sz w:val="48"/>
      </w:rPr>
      <w:drawing>
        <wp:anchor distT="0" distB="0" distL="114300" distR="114300" simplePos="0" relativeHeight="251659264" behindDoc="1" locked="0" layoutInCell="1" allowOverlap="1" wp14:anchorId="082DD567" wp14:editId="07C263C2">
          <wp:simplePos x="0" y="0"/>
          <wp:positionH relativeFrom="page">
            <wp:posOffset>19050</wp:posOffset>
          </wp:positionH>
          <wp:positionV relativeFrom="page">
            <wp:posOffset>19050</wp:posOffset>
          </wp:positionV>
          <wp:extent cx="1931035" cy="129540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IPT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1035" cy="1295400"/>
                  </a:xfrm>
                  <a:prstGeom prst="rect">
                    <a:avLst/>
                  </a:prstGeom>
                </pic:spPr>
              </pic:pic>
            </a:graphicData>
          </a:graphic>
          <wp14:sizeRelH relativeFrom="page">
            <wp14:pctWidth>0</wp14:pctWidth>
          </wp14:sizeRelH>
          <wp14:sizeRelV relativeFrom="page">
            <wp14:pctHeight>0</wp14:pctHeight>
          </wp14:sizeRelV>
        </wp:anchor>
      </w:drawing>
    </w:r>
    <w:r>
      <w:rPr>
        <w:color w:val="292A81" w:themeColor="text2"/>
        <w:sz w:val="48"/>
      </w:rPr>
      <w:t>Inbetriebnahme eines Nummernbereichs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640D1"/>
    <w:multiLevelType w:val="hybridMultilevel"/>
    <w:tmpl w:val="96223360"/>
    <w:lvl w:ilvl="0" w:tplc="0813000F">
      <w:start w:val="1"/>
      <w:numFmt w:val="decimal"/>
      <w:lvlText w:val="%1."/>
      <w:lvlJc w:val="left"/>
      <w:pPr>
        <w:ind w:left="795" w:hanging="360"/>
      </w:pPr>
    </w:lvl>
    <w:lvl w:ilvl="1" w:tplc="08130019" w:tentative="1">
      <w:start w:val="1"/>
      <w:numFmt w:val="lowerLetter"/>
      <w:lvlText w:val="%2."/>
      <w:lvlJc w:val="left"/>
      <w:pPr>
        <w:ind w:left="1515" w:hanging="360"/>
      </w:pPr>
    </w:lvl>
    <w:lvl w:ilvl="2" w:tplc="0813001B" w:tentative="1">
      <w:start w:val="1"/>
      <w:numFmt w:val="lowerRoman"/>
      <w:lvlText w:val="%3."/>
      <w:lvlJc w:val="right"/>
      <w:pPr>
        <w:ind w:left="2235" w:hanging="180"/>
      </w:pPr>
    </w:lvl>
    <w:lvl w:ilvl="3" w:tplc="0813000F" w:tentative="1">
      <w:start w:val="1"/>
      <w:numFmt w:val="decimal"/>
      <w:lvlText w:val="%4."/>
      <w:lvlJc w:val="left"/>
      <w:pPr>
        <w:ind w:left="2955" w:hanging="360"/>
      </w:pPr>
    </w:lvl>
    <w:lvl w:ilvl="4" w:tplc="08130019" w:tentative="1">
      <w:start w:val="1"/>
      <w:numFmt w:val="lowerLetter"/>
      <w:lvlText w:val="%5."/>
      <w:lvlJc w:val="left"/>
      <w:pPr>
        <w:ind w:left="3675" w:hanging="360"/>
      </w:pPr>
    </w:lvl>
    <w:lvl w:ilvl="5" w:tplc="0813001B" w:tentative="1">
      <w:start w:val="1"/>
      <w:numFmt w:val="lowerRoman"/>
      <w:lvlText w:val="%6."/>
      <w:lvlJc w:val="right"/>
      <w:pPr>
        <w:ind w:left="4395" w:hanging="180"/>
      </w:pPr>
    </w:lvl>
    <w:lvl w:ilvl="6" w:tplc="0813000F" w:tentative="1">
      <w:start w:val="1"/>
      <w:numFmt w:val="decimal"/>
      <w:lvlText w:val="%7."/>
      <w:lvlJc w:val="left"/>
      <w:pPr>
        <w:ind w:left="5115" w:hanging="360"/>
      </w:pPr>
    </w:lvl>
    <w:lvl w:ilvl="7" w:tplc="08130019" w:tentative="1">
      <w:start w:val="1"/>
      <w:numFmt w:val="lowerLetter"/>
      <w:lvlText w:val="%8."/>
      <w:lvlJc w:val="left"/>
      <w:pPr>
        <w:ind w:left="5835" w:hanging="360"/>
      </w:pPr>
    </w:lvl>
    <w:lvl w:ilvl="8" w:tplc="0813001B" w:tentative="1">
      <w:start w:val="1"/>
      <w:numFmt w:val="lowerRoman"/>
      <w:lvlText w:val="%9."/>
      <w:lvlJc w:val="right"/>
      <w:pPr>
        <w:ind w:left="6555" w:hanging="180"/>
      </w:pPr>
    </w:lvl>
  </w:abstractNum>
  <w:abstractNum w:abstractNumId="1" w15:restartNumberingAfterBreak="0">
    <w:nsid w:val="1CAC1845"/>
    <w:multiLevelType w:val="hybridMultilevel"/>
    <w:tmpl w:val="9784397C"/>
    <w:lvl w:ilvl="0" w:tplc="DDBAE6A8">
      <w:start w:val="1"/>
      <w:numFmt w:val="decimal"/>
      <w:lvlText w:val="%1."/>
      <w:lvlJc w:val="left"/>
      <w:pPr>
        <w:ind w:left="435" w:hanging="360"/>
      </w:pPr>
      <w:rPr>
        <w:rFonts w:hint="default"/>
        <w:b/>
      </w:rPr>
    </w:lvl>
    <w:lvl w:ilvl="1" w:tplc="08130019" w:tentative="1">
      <w:start w:val="1"/>
      <w:numFmt w:val="lowerLetter"/>
      <w:lvlText w:val="%2."/>
      <w:lvlJc w:val="left"/>
      <w:pPr>
        <w:ind w:left="1155" w:hanging="360"/>
      </w:pPr>
    </w:lvl>
    <w:lvl w:ilvl="2" w:tplc="0813001B" w:tentative="1">
      <w:start w:val="1"/>
      <w:numFmt w:val="lowerRoman"/>
      <w:lvlText w:val="%3."/>
      <w:lvlJc w:val="right"/>
      <w:pPr>
        <w:ind w:left="1875" w:hanging="180"/>
      </w:pPr>
    </w:lvl>
    <w:lvl w:ilvl="3" w:tplc="0813000F" w:tentative="1">
      <w:start w:val="1"/>
      <w:numFmt w:val="decimal"/>
      <w:lvlText w:val="%4."/>
      <w:lvlJc w:val="left"/>
      <w:pPr>
        <w:ind w:left="2595" w:hanging="360"/>
      </w:pPr>
    </w:lvl>
    <w:lvl w:ilvl="4" w:tplc="08130019" w:tentative="1">
      <w:start w:val="1"/>
      <w:numFmt w:val="lowerLetter"/>
      <w:lvlText w:val="%5."/>
      <w:lvlJc w:val="left"/>
      <w:pPr>
        <w:ind w:left="3315" w:hanging="360"/>
      </w:pPr>
    </w:lvl>
    <w:lvl w:ilvl="5" w:tplc="0813001B" w:tentative="1">
      <w:start w:val="1"/>
      <w:numFmt w:val="lowerRoman"/>
      <w:lvlText w:val="%6."/>
      <w:lvlJc w:val="right"/>
      <w:pPr>
        <w:ind w:left="4035" w:hanging="180"/>
      </w:pPr>
    </w:lvl>
    <w:lvl w:ilvl="6" w:tplc="0813000F" w:tentative="1">
      <w:start w:val="1"/>
      <w:numFmt w:val="decimal"/>
      <w:lvlText w:val="%7."/>
      <w:lvlJc w:val="left"/>
      <w:pPr>
        <w:ind w:left="4755" w:hanging="360"/>
      </w:pPr>
    </w:lvl>
    <w:lvl w:ilvl="7" w:tplc="08130019" w:tentative="1">
      <w:start w:val="1"/>
      <w:numFmt w:val="lowerLetter"/>
      <w:lvlText w:val="%8."/>
      <w:lvlJc w:val="left"/>
      <w:pPr>
        <w:ind w:left="5475" w:hanging="360"/>
      </w:pPr>
    </w:lvl>
    <w:lvl w:ilvl="8" w:tplc="0813001B" w:tentative="1">
      <w:start w:val="1"/>
      <w:numFmt w:val="lowerRoman"/>
      <w:lvlText w:val="%9."/>
      <w:lvlJc w:val="right"/>
      <w:pPr>
        <w:ind w:left="6195" w:hanging="180"/>
      </w:pPr>
    </w:lvl>
  </w:abstractNum>
  <w:num w:numId="1" w16cid:durableId="89543410">
    <w:abstractNumId w:val="0"/>
  </w:num>
  <w:num w:numId="2" w16cid:durableId="1281648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7"/>
    <w:rsid w:val="0008737A"/>
    <w:rsid w:val="000E1726"/>
    <w:rsid w:val="001172CA"/>
    <w:rsid w:val="00165C75"/>
    <w:rsid w:val="00270C6B"/>
    <w:rsid w:val="0027376E"/>
    <w:rsid w:val="002F534B"/>
    <w:rsid w:val="00305BCE"/>
    <w:rsid w:val="00366916"/>
    <w:rsid w:val="00376034"/>
    <w:rsid w:val="0039499B"/>
    <w:rsid w:val="003E79C7"/>
    <w:rsid w:val="00643196"/>
    <w:rsid w:val="00653D61"/>
    <w:rsid w:val="006778F4"/>
    <w:rsid w:val="007B2E95"/>
    <w:rsid w:val="00853F53"/>
    <w:rsid w:val="00A11B87"/>
    <w:rsid w:val="00A47E60"/>
    <w:rsid w:val="00A607E4"/>
    <w:rsid w:val="00A907E6"/>
    <w:rsid w:val="00AE4262"/>
    <w:rsid w:val="00B14725"/>
    <w:rsid w:val="00B72889"/>
    <w:rsid w:val="00C45B34"/>
    <w:rsid w:val="00CF23E9"/>
    <w:rsid w:val="00D6245E"/>
    <w:rsid w:val="00E44D65"/>
    <w:rsid w:val="00FB61FE"/>
    <w:rsid w:val="00FC3F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DD5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D61"/>
    <w:rPr>
      <w:rFonts w:ascii="Tahoma" w:hAnsi="Tahoma"/>
      <w:sz w:val="20"/>
    </w:rPr>
  </w:style>
  <w:style w:type="paragraph" w:styleId="Titre1">
    <w:name w:val="heading 1"/>
    <w:basedOn w:val="Normal"/>
    <w:next w:val="Normal"/>
    <w:link w:val="Titre1Car"/>
    <w:uiPriority w:val="9"/>
    <w:qFormat/>
    <w:rsid w:val="00A907E6"/>
    <w:pPr>
      <w:keepNext/>
      <w:keepLines/>
      <w:spacing w:before="240" w:after="0"/>
      <w:outlineLvl w:val="0"/>
    </w:pPr>
    <w:rPr>
      <w:rFonts w:eastAsiaTheme="majorEastAsia" w:cstheme="majorBidi"/>
      <w:color w:val="1B80B2" w:themeColor="accent1" w:themeShade="BF"/>
      <w:sz w:val="48"/>
      <w:szCs w:val="32"/>
    </w:rPr>
  </w:style>
  <w:style w:type="paragraph" w:styleId="Titre2">
    <w:name w:val="heading 2"/>
    <w:basedOn w:val="Normal"/>
    <w:next w:val="Normal"/>
    <w:link w:val="Titre2Car"/>
    <w:uiPriority w:val="9"/>
    <w:unhideWhenUsed/>
    <w:qFormat/>
    <w:rsid w:val="00A907E6"/>
    <w:pPr>
      <w:keepNext/>
      <w:keepLines/>
      <w:spacing w:before="40" w:after="0"/>
      <w:outlineLvl w:val="1"/>
    </w:pPr>
    <w:rPr>
      <w:rFonts w:eastAsiaTheme="majorEastAsia" w:cstheme="majorBidi"/>
      <w:color w:val="1B80B2" w:themeColor="accent1" w:themeShade="BF"/>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07E6"/>
    <w:rPr>
      <w:rFonts w:ascii="Tahoma" w:eastAsiaTheme="majorEastAsia" w:hAnsi="Tahoma" w:cstheme="majorBidi"/>
      <w:color w:val="1B80B2" w:themeColor="accent1" w:themeShade="BF"/>
      <w:sz w:val="48"/>
      <w:szCs w:val="32"/>
    </w:rPr>
  </w:style>
  <w:style w:type="paragraph" w:styleId="Titre">
    <w:name w:val="Title"/>
    <w:basedOn w:val="Normal"/>
    <w:next w:val="Normal"/>
    <w:link w:val="TitreCar"/>
    <w:uiPriority w:val="10"/>
    <w:qFormat/>
    <w:rsid w:val="00A907E6"/>
    <w:pPr>
      <w:spacing w:after="0" w:line="240" w:lineRule="auto"/>
      <w:contextualSpacing/>
    </w:pPr>
    <w:rPr>
      <w:rFonts w:eastAsiaTheme="majorEastAsia" w:cstheme="majorBidi"/>
      <w:spacing w:val="-10"/>
      <w:kern w:val="28"/>
      <w:sz w:val="76"/>
      <w:szCs w:val="56"/>
    </w:rPr>
  </w:style>
  <w:style w:type="character" w:customStyle="1" w:styleId="TitreCar">
    <w:name w:val="Titre Car"/>
    <w:basedOn w:val="Policepardfaut"/>
    <w:link w:val="Titre"/>
    <w:uiPriority w:val="10"/>
    <w:rsid w:val="00A907E6"/>
    <w:rPr>
      <w:rFonts w:ascii="Tahoma" w:eastAsiaTheme="majorEastAsia" w:hAnsi="Tahoma" w:cstheme="majorBidi"/>
      <w:spacing w:val="-10"/>
      <w:kern w:val="28"/>
      <w:sz w:val="76"/>
      <w:szCs w:val="56"/>
    </w:rPr>
  </w:style>
  <w:style w:type="character" w:customStyle="1" w:styleId="Titre2Car">
    <w:name w:val="Titre 2 Car"/>
    <w:basedOn w:val="Policepardfaut"/>
    <w:link w:val="Titre2"/>
    <w:uiPriority w:val="9"/>
    <w:rsid w:val="00A907E6"/>
    <w:rPr>
      <w:rFonts w:ascii="Tahoma" w:eastAsiaTheme="majorEastAsia" w:hAnsi="Tahoma" w:cstheme="majorBidi"/>
      <w:color w:val="1B80B2" w:themeColor="accent1" w:themeShade="BF"/>
      <w:sz w:val="36"/>
      <w:szCs w:val="26"/>
    </w:rPr>
  </w:style>
  <w:style w:type="paragraph" w:customStyle="1" w:styleId="Default">
    <w:name w:val="Default"/>
    <w:rsid w:val="003E79C7"/>
    <w:pPr>
      <w:autoSpaceDE w:val="0"/>
      <w:autoSpaceDN w:val="0"/>
      <w:adjustRightInd w:val="0"/>
      <w:spacing w:after="0" w:line="240" w:lineRule="auto"/>
    </w:pPr>
    <w:rPr>
      <w:rFonts w:ascii="Cambria" w:hAnsi="Cambria" w:cs="Cambria"/>
      <w:color w:val="000000"/>
      <w:sz w:val="24"/>
      <w:szCs w:val="24"/>
    </w:rPr>
  </w:style>
  <w:style w:type="paragraph" w:styleId="En-tte">
    <w:name w:val="header"/>
    <w:basedOn w:val="Normal"/>
    <w:link w:val="En-tteCar"/>
    <w:uiPriority w:val="99"/>
    <w:unhideWhenUsed/>
    <w:rsid w:val="00A607E4"/>
    <w:pPr>
      <w:tabs>
        <w:tab w:val="center" w:pos="4536"/>
        <w:tab w:val="right" w:pos="9072"/>
      </w:tabs>
      <w:spacing w:after="0" w:line="240" w:lineRule="auto"/>
    </w:pPr>
  </w:style>
  <w:style w:type="character" w:customStyle="1" w:styleId="En-tteCar">
    <w:name w:val="En-tête Car"/>
    <w:basedOn w:val="Policepardfaut"/>
    <w:link w:val="En-tte"/>
    <w:uiPriority w:val="99"/>
    <w:rsid w:val="00A607E4"/>
    <w:rPr>
      <w:rFonts w:ascii="Tahoma" w:hAnsi="Tahoma"/>
      <w:sz w:val="20"/>
    </w:rPr>
  </w:style>
  <w:style w:type="paragraph" w:styleId="Pieddepage">
    <w:name w:val="footer"/>
    <w:basedOn w:val="Normal"/>
    <w:link w:val="PieddepageCar"/>
    <w:uiPriority w:val="99"/>
    <w:unhideWhenUsed/>
    <w:rsid w:val="00A607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07E4"/>
    <w:rPr>
      <w:rFonts w:ascii="Tahoma" w:hAnsi="Tahoma"/>
      <w:sz w:val="20"/>
    </w:rPr>
  </w:style>
  <w:style w:type="paragraph" w:styleId="Textedebulles">
    <w:name w:val="Balloon Text"/>
    <w:basedOn w:val="Normal"/>
    <w:link w:val="TextedebullesCar"/>
    <w:uiPriority w:val="99"/>
    <w:semiHidden/>
    <w:unhideWhenUsed/>
    <w:rsid w:val="00AE426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42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IPT-IBPT">
  <a:themeElements>
    <a:clrScheme name="IBPT Stijlgids 2">
      <a:dk1>
        <a:sysClr val="windowText" lastClr="000000"/>
      </a:dk1>
      <a:lt1>
        <a:sysClr val="window" lastClr="FFFFFF"/>
      </a:lt1>
      <a:dk2>
        <a:srgbClr val="292A81"/>
      </a:dk2>
      <a:lt2>
        <a:srgbClr val="E0EDFA"/>
      </a:lt2>
      <a:accent1>
        <a:srgbClr val="32A8E0"/>
      </a:accent1>
      <a:accent2>
        <a:srgbClr val="C73432"/>
      </a:accent2>
      <a:accent3>
        <a:srgbClr val="D06516"/>
      </a:accent3>
      <a:accent4>
        <a:srgbClr val="EAB80F"/>
      </a:accent4>
      <a:accent5>
        <a:srgbClr val="A1C049"/>
      </a:accent5>
      <a:accent6>
        <a:srgbClr val="53AAA7"/>
      </a:accent6>
      <a:hlink>
        <a:srgbClr val="32A8E0"/>
      </a:hlink>
      <a:folHlink>
        <a:srgbClr val="834B9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1571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2-Nummerblok_DE</dc:title>
  <dc:subject/>
  <dc:creator/>
  <cp:keywords/>
  <dc:description/>
  <cp:lastModifiedBy/>
  <cp:revision>1</cp:revision>
  <dcterms:created xsi:type="dcterms:W3CDTF">2026-07-31T14:50:00Z</dcterms:created>
  <dcterms:modified xsi:type="dcterms:W3CDTF">2026-07-31T14:51:00Z</dcterms:modified>
</cp:coreProperties>
</file>