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86EA" w14:textId="77777777" w:rsidR="00F56ABA" w:rsidRDefault="00B13DDD" w:rsidP="00B13DDD">
      <w:pPr>
        <w:pStyle w:val="Kopvaninhoudsopgave"/>
        <w:tabs>
          <w:tab w:val="left" w:pos="4056"/>
          <w:tab w:val="center" w:pos="4513"/>
        </w:tabs>
        <w:jc w:val="left"/>
      </w:pPr>
      <w:r>
        <w:tab/>
      </w:r>
    </w:p>
    <w:sdt>
      <w:sdtPr>
        <w:rPr>
          <w:rFonts w:ascii="Tahoma" w:eastAsiaTheme="minorHAnsi" w:hAnsi="Tahoma" w:cstheme="minorBidi"/>
          <w:b w:val="0"/>
          <w:sz w:val="20"/>
          <w:szCs w:val="22"/>
          <w:lang w:val="fr-FR"/>
        </w:rPr>
        <w:id w:val="-1770856390"/>
        <w:docPartObj>
          <w:docPartGallery w:val="Table of Contents"/>
          <w:docPartUnique/>
        </w:docPartObj>
      </w:sdtPr>
      <w:sdtEndPr>
        <w:rPr>
          <w:bCs/>
        </w:rPr>
      </w:sdtEndPr>
      <w:sdtContent>
        <w:p w14:paraId="4A71F57F" w14:textId="3896364D" w:rsidR="0014723C" w:rsidRPr="0014723C" w:rsidRDefault="0014723C" w:rsidP="0014723C">
          <w:pPr>
            <w:pStyle w:val="Kopvaninhoudsopgave"/>
            <w:jc w:val="center"/>
            <w:rPr>
              <w:rFonts w:ascii="Calibri" w:hAnsi="Calibri"/>
              <w:color w:val="1B80B2" w:themeColor="accent1" w:themeShade="BF"/>
              <w:lang w:val="fr-FR" w:eastAsia="nl-BE"/>
            </w:rPr>
          </w:pPr>
          <w:r w:rsidRPr="0014723C">
            <w:rPr>
              <w:rFonts w:ascii="Calibri" w:hAnsi="Calibri"/>
              <w:color w:val="1B80B2" w:themeColor="accent1" w:themeShade="BF"/>
              <w:lang w:val="fr-FR" w:eastAsia="nl-BE"/>
            </w:rPr>
            <w:t xml:space="preserve">Table des </w:t>
          </w:r>
          <w:r w:rsidRPr="0014723C">
            <w:rPr>
              <w:rFonts w:ascii="Calibri" w:hAnsi="Calibri"/>
              <w:color w:val="1B80B2" w:themeColor="accent1" w:themeShade="BF"/>
              <w:lang w:eastAsia="nl-BE"/>
            </w:rPr>
            <w:t>matières</w:t>
          </w:r>
          <w:r w:rsidR="00136EDB">
            <w:rPr>
              <w:rFonts w:ascii="Calibri" w:hAnsi="Calibri"/>
              <w:color w:val="1B80B2" w:themeColor="accent1" w:themeShade="BF"/>
              <w:lang w:eastAsia="nl-BE"/>
            </w:rPr>
            <w:t>/</w:t>
          </w:r>
          <w:proofErr w:type="spellStart"/>
          <w:r w:rsidR="00136EDB">
            <w:rPr>
              <w:rFonts w:ascii="Calibri" w:hAnsi="Calibri"/>
              <w:color w:val="1B80B2" w:themeColor="accent1" w:themeShade="BF"/>
              <w:lang w:eastAsia="nl-BE"/>
            </w:rPr>
            <w:t>inhoudsopgave</w:t>
          </w:r>
          <w:proofErr w:type="spellEnd"/>
        </w:p>
        <w:p w14:paraId="6A814BDD" w14:textId="10E3E381" w:rsidR="00B250BC" w:rsidRPr="00B250BC" w:rsidRDefault="00B250BC" w:rsidP="0014723C">
          <w:pPr>
            <w:pStyle w:val="Kopvaninhoudsopgave"/>
            <w:jc w:val="center"/>
            <w:rPr>
              <w:lang w:val="fr-FR"/>
            </w:rPr>
          </w:pPr>
        </w:p>
        <w:p w14:paraId="7DEE9A20" w14:textId="6E0BE084" w:rsidR="007B3F64" w:rsidRDefault="0014723C">
          <w:pPr>
            <w:pStyle w:val="Inhopg1"/>
            <w:rPr>
              <w:rFonts w:asciiTheme="minorHAnsi" w:eastAsiaTheme="minorEastAsia" w:hAnsiTheme="minorHAnsi"/>
              <w:noProof/>
              <w:sz w:val="22"/>
              <w:lang w:eastAsia="nl-BE"/>
            </w:rPr>
          </w:pPr>
          <w:r>
            <w:fldChar w:fldCharType="begin"/>
          </w:r>
          <w:r>
            <w:instrText xml:space="preserve"> TOC \o "1-2" \h \z \u </w:instrText>
          </w:r>
          <w:r>
            <w:fldChar w:fldCharType="separate"/>
          </w:r>
          <w:hyperlink w:anchor="_Toc96611617" w:history="1">
            <w:r w:rsidR="007B3F64" w:rsidRPr="002B56C2">
              <w:rPr>
                <w:rStyle w:val="Hyperlink"/>
                <w:noProof/>
                <w:lang w:val="fr-BE" w:eastAsia="fr-FR"/>
              </w:rPr>
              <w:t>Amendement n° 6</w:t>
            </w:r>
            <w:r w:rsidR="007B3F64">
              <w:rPr>
                <w:noProof/>
                <w:webHidden/>
              </w:rPr>
              <w:tab/>
            </w:r>
            <w:r w:rsidR="007B3F64">
              <w:rPr>
                <w:noProof/>
                <w:webHidden/>
              </w:rPr>
              <w:fldChar w:fldCharType="begin"/>
            </w:r>
            <w:r w:rsidR="007B3F64">
              <w:rPr>
                <w:noProof/>
                <w:webHidden/>
              </w:rPr>
              <w:instrText xml:space="preserve"> PAGEREF _Toc96611617 \h </w:instrText>
            </w:r>
            <w:r w:rsidR="007B3F64">
              <w:rPr>
                <w:noProof/>
                <w:webHidden/>
              </w:rPr>
            </w:r>
            <w:r w:rsidR="007B3F64">
              <w:rPr>
                <w:noProof/>
                <w:webHidden/>
              </w:rPr>
              <w:fldChar w:fldCharType="separate"/>
            </w:r>
            <w:r w:rsidR="007B3F64">
              <w:rPr>
                <w:noProof/>
                <w:webHidden/>
              </w:rPr>
              <w:t>2</w:t>
            </w:r>
            <w:r w:rsidR="007B3F64">
              <w:rPr>
                <w:noProof/>
                <w:webHidden/>
              </w:rPr>
              <w:fldChar w:fldCharType="end"/>
            </w:r>
          </w:hyperlink>
        </w:p>
        <w:p w14:paraId="459BB596" w14:textId="2AA751F4" w:rsidR="007B3F64" w:rsidRDefault="000F32A0">
          <w:pPr>
            <w:pStyle w:val="Inhopg1"/>
            <w:rPr>
              <w:rFonts w:asciiTheme="minorHAnsi" w:eastAsiaTheme="minorEastAsia" w:hAnsiTheme="minorHAnsi"/>
              <w:noProof/>
              <w:sz w:val="22"/>
              <w:lang w:eastAsia="nl-BE"/>
            </w:rPr>
          </w:pPr>
          <w:hyperlink w:anchor="_Toc96611618" w:history="1">
            <w:r w:rsidR="007B3F64" w:rsidRPr="002B56C2">
              <w:rPr>
                <w:rStyle w:val="Hyperlink"/>
                <w:noProof/>
                <w:lang w:eastAsia="fr-FR"/>
              </w:rPr>
              <w:t>Amendement nr. 6</w:t>
            </w:r>
            <w:r w:rsidR="007B3F64">
              <w:rPr>
                <w:noProof/>
                <w:webHidden/>
              </w:rPr>
              <w:tab/>
            </w:r>
            <w:r w:rsidR="007B3F64">
              <w:rPr>
                <w:noProof/>
                <w:webHidden/>
              </w:rPr>
              <w:fldChar w:fldCharType="begin"/>
            </w:r>
            <w:r w:rsidR="007B3F64">
              <w:rPr>
                <w:noProof/>
                <w:webHidden/>
              </w:rPr>
              <w:instrText xml:space="preserve"> PAGEREF _Toc96611618 \h </w:instrText>
            </w:r>
            <w:r w:rsidR="007B3F64">
              <w:rPr>
                <w:noProof/>
                <w:webHidden/>
              </w:rPr>
            </w:r>
            <w:r w:rsidR="007B3F64">
              <w:rPr>
                <w:noProof/>
                <w:webHidden/>
              </w:rPr>
              <w:fldChar w:fldCharType="separate"/>
            </w:r>
            <w:r w:rsidR="007B3F64">
              <w:rPr>
                <w:noProof/>
                <w:webHidden/>
              </w:rPr>
              <w:t>2</w:t>
            </w:r>
            <w:r w:rsidR="007B3F64">
              <w:rPr>
                <w:noProof/>
                <w:webHidden/>
              </w:rPr>
              <w:fldChar w:fldCharType="end"/>
            </w:r>
          </w:hyperlink>
        </w:p>
        <w:p w14:paraId="01920DFE" w14:textId="61E71B7D" w:rsidR="007B3F64" w:rsidRDefault="000F32A0">
          <w:pPr>
            <w:pStyle w:val="Inhopg1"/>
            <w:rPr>
              <w:rFonts w:asciiTheme="minorHAnsi" w:eastAsiaTheme="minorEastAsia" w:hAnsiTheme="minorHAnsi"/>
              <w:noProof/>
              <w:sz w:val="22"/>
              <w:lang w:eastAsia="nl-BE"/>
            </w:rPr>
          </w:pPr>
          <w:hyperlink w:anchor="_Toc96611619" w:history="1">
            <w:r w:rsidR="007B3F64" w:rsidRPr="002B56C2">
              <w:rPr>
                <w:rStyle w:val="Hyperlink"/>
                <w:noProof/>
              </w:rPr>
              <w:t>Amendement</w:t>
            </w:r>
            <w:r w:rsidR="007B3F64" w:rsidRPr="002B56C2">
              <w:rPr>
                <w:rStyle w:val="Hyperlink"/>
                <w:noProof/>
                <w:lang w:val="fr-BE" w:eastAsia="fr-FR"/>
              </w:rPr>
              <w:t xml:space="preserve"> n° 7</w:t>
            </w:r>
            <w:r w:rsidR="007B3F64">
              <w:rPr>
                <w:noProof/>
                <w:webHidden/>
              </w:rPr>
              <w:tab/>
            </w:r>
            <w:r w:rsidR="007B3F64">
              <w:rPr>
                <w:noProof/>
                <w:webHidden/>
              </w:rPr>
              <w:fldChar w:fldCharType="begin"/>
            </w:r>
            <w:r w:rsidR="007B3F64">
              <w:rPr>
                <w:noProof/>
                <w:webHidden/>
              </w:rPr>
              <w:instrText xml:space="preserve"> PAGEREF _Toc96611619 \h </w:instrText>
            </w:r>
            <w:r w:rsidR="007B3F64">
              <w:rPr>
                <w:noProof/>
                <w:webHidden/>
              </w:rPr>
            </w:r>
            <w:r w:rsidR="007B3F64">
              <w:rPr>
                <w:noProof/>
                <w:webHidden/>
              </w:rPr>
              <w:fldChar w:fldCharType="separate"/>
            </w:r>
            <w:r w:rsidR="007B3F64">
              <w:rPr>
                <w:noProof/>
                <w:webHidden/>
              </w:rPr>
              <w:t>46</w:t>
            </w:r>
            <w:r w:rsidR="007B3F64">
              <w:rPr>
                <w:noProof/>
                <w:webHidden/>
              </w:rPr>
              <w:fldChar w:fldCharType="end"/>
            </w:r>
          </w:hyperlink>
        </w:p>
        <w:p w14:paraId="5B2F7C39" w14:textId="09014A19" w:rsidR="007B3F64" w:rsidRDefault="000F32A0">
          <w:pPr>
            <w:pStyle w:val="Inhopg1"/>
            <w:rPr>
              <w:rFonts w:asciiTheme="minorHAnsi" w:eastAsiaTheme="minorEastAsia" w:hAnsiTheme="minorHAnsi"/>
              <w:noProof/>
              <w:sz w:val="22"/>
              <w:lang w:eastAsia="nl-BE"/>
            </w:rPr>
          </w:pPr>
          <w:hyperlink w:anchor="_Toc96611620" w:history="1">
            <w:r w:rsidR="007B3F64" w:rsidRPr="002B56C2">
              <w:rPr>
                <w:rStyle w:val="Hyperlink"/>
                <w:noProof/>
                <w:lang w:eastAsia="fr-FR"/>
              </w:rPr>
              <w:t>Amendement nr. 7</w:t>
            </w:r>
            <w:r w:rsidR="007B3F64">
              <w:rPr>
                <w:noProof/>
                <w:webHidden/>
              </w:rPr>
              <w:tab/>
            </w:r>
            <w:r w:rsidR="007B3F64">
              <w:rPr>
                <w:noProof/>
                <w:webHidden/>
              </w:rPr>
              <w:fldChar w:fldCharType="begin"/>
            </w:r>
            <w:r w:rsidR="007B3F64">
              <w:rPr>
                <w:noProof/>
                <w:webHidden/>
              </w:rPr>
              <w:instrText xml:space="preserve"> PAGEREF _Toc96611620 \h </w:instrText>
            </w:r>
            <w:r w:rsidR="007B3F64">
              <w:rPr>
                <w:noProof/>
                <w:webHidden/>
              </w:rPr>
            </w:r>
            <w:r w:rsidR="007B3F64">
              <w:rPr>
                <w:noProof/>
                <w:webHidden/>
              </w:rPr>
              <w:fldChar w:fldCharType="separate"/>
            </w:r>
            <w:r w:rsidR="007B3F64">
              <w:rPr>
                <w:noProof/>
                <w:webHidden/>
              </w:rPr>
              <w:t>46</w:t>
            </w:r>
            <w:r w:rsidR="007B3F64">
              <w:rPr>
                <w:noProof/>
                <w:webHidden/>
              </w:rPr>
              <w:fldChar w:fldCharType="end"/>
            </w:r>
          </w:hyperlink>
        </w:p>
        <w:p w14:paraId="47BD8454" w14:textId="1277E8BF" w:rsidR="007B3F64" w:rsidRDefault="000F32A0">
          <w:pPr>
            <w:pStyle w:val="Inhopg1"/>
            <w:rPr>
              <w:rFonts w:asciiTheme="minorHAnsi" w:eastAsiaTheme="minorEastAsia" w:hAnsiTheme="minorHAnsi"/>
              <w:noProof/>
              <w:sz w:val="22"/>
              <w:lang w:eastAsia="nl-BE"/>
            </w:rPr>
          </w:pPr>
          <w:hyperlink w:anchor="_Toc96611621" w:history="1">
            <w:r w:rsidR="007B3F64" w:rsidRPr="002B56C2">
              <w:rPr>
                <w:rStyle w:val="Hyperlink"/>
                <w:noProof/>
                <w:lang w:val="fr-BE" w:eastAsia="fr-FR"/>
              </w:rPr>
              <w:t>Amendement n° 8</w:t>
            </w:r>
            <w:r w:rsidR="007B3F64">
              <w:rPr>
                <w:noProof/>
                <w:webHidden/>
              </w:rPr>
              <w:tab/>
            </w:r>
            <w:r w:rsidR="007B3F64">
              <w:rPr>
                <w:noProof/>
                <w:webHidden/>
              </w:rPr>
              <w:fldChar w:fldCharType="begin"/>
            </w:r>
            <w:r w:rsidR="007B3F64">
              <w:rPr>
                <w:noProof/>
                <w:webHidden/>
              </w:rPr>
              <w:instrText xml:space="preserve"> PAGEREF _Toc96611621 \h </w:instrText>
            </w:r>
            <w:r w:rsidR="007B3F64">
              <w:rPr>
                <w:noProof/>
                <w:webHidden/>
              </w:rPr>
            </w:r>
            <w:r w:rsidR="007B3F64">
              <w:rPr>
                <w:noProof/>
                <w:webHidden/>
              </w:rPr>
              <w:fldChar w:fldCharType="separate"/>
            </w:r>
            <w:r w:rsidR="007B3F64">
              <w:rPr>
                <w:noProof/>
                <w:webHidden/>
              </w:rPr>
              <w:t>47</w:t>
            </w:r>
            <w:r w:rsidR="007B3F64">
              <w:rPr>
                <w:noProof/>
                <w:webHidden/>
              </w:rPr>
              <w:fldChar w:fldCharType="end"/>
            </w:r>
          </w:hyperlink>
        </w:p>
        <w:p w14:paraId="4C8A65DA" w14:textId="7B32C14A" w:rsidR="007B3F64" w:rsidRDefault="000F32A0">
          <w:pPr>
            <w:pStyle w:val="Inhopg1"/>
            <w:rPr>
              <w:rFonts w:asciiTheme="minorHAnsi" w:eastAsiaTheme="minorEastAsia" w:hAnsiTheme="minorHAnsi"/>
              <w:noProof/>
              <w:sz w:val="22"/>
              <w:lang w:eastAsia="nl-BE"/>
            </w:rPr>
          </w:pPr>
          <w:hyperlink w:anchor="_Toc96611622" w:history="1">
            <w:r w:rsidR="007B3F64" w:rsidRPr="002B56C2">
              <w:rPr>
                <w:rStyle w:val="Hyperlink"/>
                <w:noProof/>
                <w:lang w:eastAsia="fr-FR"/>
              </w:rPr>
              <w:t>Amendement nr. 8</w:t>
            </w:r>
            <w:r w:rsidR="007B3F64">
              <w:rPr>
                <w:noProof/>
                <w:webHidden/>
              </w:rPr>
              <w:tab/>
            </w:r>
            <w:r w:rsidR="007B3F64">
              <w:rPr>
                <w:noProof/>
                <w:webHidden/>
              </w:rPr>
              <w:fldChar w:fldCharType="begin"/>
            </w:r>
            <w:r w:rsidR="007B3F64">
              <w:rPr>
                <w:noProof/>
                <w:webHidden/>
              </w:rPr>
              <w:instrText xml:space="preserve"> PAGEREF _Toc96611622 \h </w:instrText>
            </w:r>
            <w:r w:rsidR="007B3F64">
              <w:rPr>
                <w:noProof/>
                <w:webHidden/>
              </w:rPr>
            </w:r>
            <w:r w:rsidR="007B3F64">
              <w:rPr>
                <w:noProof/>
                <w:webHidden/>
              </w:rPr>
              <w:fldChar w:fldCharType="separate"/>
            </w:r>
            <w:r w:rsidR="007B3F64">
              <w:rPr>
                <w:noProof/>
                <w:webHidden/>
              </w:rPr>
              <w:t>47</w:t>
            </w:r>
            <w:r w:rsidR="007B3F64">
              <w:rPr>
                <w:noProof/>
                <w:webHidden/>
              </w:rPr>
              <w:fldChar w:fldCharType="end"/>
            </w:r>
          </w:hyperlink>
        </w:p>
        <w:p w14:paraId="74724624" w14:textId="34040659" w:rsidR="007B3F64" w:rsidRDefault="000F32A0">
          <w:pPr>
            <w:pStyle w:val="Inhopg1"/>
            <w:rPr>
              <w:rFonts w:asciiTheme="minorHAnsi" w:eastAsiaTheme="minorEastAsia" w:hAnsiTheme="minorHAnsi"/>
              <w:noProof/>
              <w:sz w:val="22"/>
              <w:lang w:eastAsia="nl-BE"/>
            </w:rPr>
          </w:pPr>
          <w:hyperlink w:anchor="_Toc96611623" w:history="1">
            <w:r w:rsidR="007B3F64" w:rsidRPr="002B56C2">
              <w:rPr>
                <w:rStyle w:val="Hyperlink"/>
                <w:noProof/>
                <w:lang w:val="fr-BE"/>
              </w:rPr>
              <w:t>Amendement n° 9</w:t>
            </w:r>
            <w:r w:rsidR="007B3F64">
              <w:rPr>
                <w:noProof/>
                <w:webHidden/>
              </w:rPr>
              <w:tab/>
            </w:r>
            <w:r w:rsidR="007B3F64">
              <w:rPr>
                <w:noProof/>
                <w:webHidden/>
              </w:rPr>
              <w:fldChar w:fldCharType="begin"/>
            </w:r>
            <w:r w:rsidR="007B3F64">
              <w:rPr>
                <w:noProof/>
                <w:webHidden/>
              </w:rPr>
              <w:instrText xml:space="preserve"> PAGEREF _Toc96611623 \h </w:instrText>
            </w:r>
            <w:r w:rsidR="007B3F64">
              <w:rPr>
                <w:noProof/>
                <w:webHidden/>
              </w:rPr>
            </w:r>
            <w:r w:rsidR="007B3F64">
              <w:rPr>
                <w:noProof/>
                <w:webHidden/>
              </w:rPr>
              <w:fldChar w:fldCharType="separate"/>
            </w:r>
            <w:r w:rsidR="007B3F64">
              <w:rPr>
                <w:noProof/>
                <w:webHidden/>
              </w:rPr>
              <w:t>47</w:t>
            </w:r>
            <w:r w:rsidR="007B3F64">
              <w:rPr>
                <w:noProof/>
                <w:webHidden/>
              </w:rPr>
              <w:fldChar w:fldCharType="end"/>
            </w:r>
          </w:hyperlink>
        </w:p>
        <w:p w14:paraId="5EF9CD22" w14:textId="579ABB3F" w:rsidR="007B3F64" w:rsidRDefault="000F32A0">
          <w:pPr>
            <w:pStyle w:val="Inhopg1"/>
            <w:rPr>
              <w:rFonts w:asciiTheme="minorHAnsi" w:eastAsiaTheme="minorEastAsia" w:hAnsiTheme="minorHAnsi"/>
              <w:noProof/>
              <w:sz w:val="22"/>
              <w:lang w:eastAsia="nl-BE"/>
            </w:rPr>
          </w:pPr>
          <w:hyperlink w:anchor="_Toc96611624" w:history="1">
            <w:r w:rsidR="007B3F64" w:rsidRPr="002B56C2">
              <w:rPr>
                <w:rStyle w:val="Hyperlink"/>
                <w:noProof/>
              </w:rPr>
              <w:t>Amendement</w:t>
            </w:r>
            <w:r w:rsidR="007B3F64" w:rsidRPr="002B56C2">
              <w:rPr>
                <w:rStyle w:val="Hyperlink"/>
                <w:noProof/>
                <w:lang w:eastAsia="fr-FR"/>
              </w:rPr>
              <w:t xml:space="preserve"> </w:t>
            </w:r>
            <w:r w:rsidR="007B3F64" w:rsidRPr="002B56C2">
              <w:rPr>
                <w:rStyle w:val="Hyperlink"/>
                <w:noProof/>
              </w:rPr>
              <w:t>nr. 9</w:t>
            </w:r>
            <w:r w:rsidR="007B3F64">
              <w:rPr>
                <w:noProof/>
                <w:webHidden/>
              </w:rPr>
              <w:tab/>
            </w:r>
            <w:r w:rsidR="007B3F64">
              <w:rPr>
                <w:noProof/>
                <w:webHidden/>
              </w:rPr>
              <w:fldChar w:fldCharType="begin"/>
            </w:r>
            <w:r w:rsidR="007B3F64">
              <w:rPr>
                <w:noProof/>
                <w:webHidden/>
              </w:rPr>
              <w:instrText xml:space="preserve"> PAGEREF _Toc96611624 \h </w:instrText>
            </w:r>
            <w:r w:rsidR="007B3F64">
              <w:rPr>
                <w:noProof/>
                <w:webHidden/>
              </w:rPr>
            </w:r>
            <w:r w:rsidR="007B3F64">
              <w:rPr>
                <w:noProof/>
                <w:webHidden/>
              </w:rPr>
              <w:fldChar w:fldCharType="separate"/>
            </w:r>
            <w:r w:rsidR="007B3F64">
              <w:rPr>
                <w:noProof/>
                <w:webHidden/>
              </w:rPr>
              <w:t>47</w:t>
            </w:r>
            <w:r w:rsidR="007B3F64">
              <w:rPr>
                <w:noProof/>
                <w:webHidden/>
              </w:rPr>
              <w:fldChar w:fldCharType="end"/>
            </w:r>
          </w:hyperlink>
        </w:p>
        <w:p w14:paraId="7B2840CB" w14:textId="13E2854A" w:rsidR="00F56ABA" w:rsidRDefault="0014723C">
          <w:r>
            <w:fldChar w:fldCharType="end"/>
          </w:r>
        </w:p>
      </w:sdtContent>
    </w:sdt>
    <w:p w14:paraId="1CC2C09D" w14:textId="37CD62E4" w:rsidR="00B13DDD" w:rsidRDefault="00B13DDD" w:rsidP="00B13DDD">
      <w:pPr>
        <w:pStyle w:val="Kopvaninhoudsopgave"/>
        <w:tabs>
          <w:tab w:val="left" w:pos="4056"/>
          <w:tab w:val="center" w:pos="4513"/>
        </w:tabs>
        <w:jc w:val="left"/>
      </w:pPr>
      <w:r>
        <w:tab/>
      </w:r>
      <w:r w:rsidR="00920140">
        <w:br w:type="page"/>
      </w:r>
    </w:p>
    <w:p w14:paraId="08BD33EE" w14:textId="4AEDDF35" w:rsidR="00920140" w:rsidRPr="00B13DDD" w:rsidRDefault="00920140">
      <w:pPr>
        <w:rPr>
          <w:lang w:val="fr-BE"/>
        </w:rPr>
      </w:pPr>
    </w:p>
    <w:tbl>
      <w:tblPr>
        <w:tblStyle w:val="Tabelraster"/>
        <w:tblW w:w="0" w:type="auto"/>
        <w:tblLook w:val="04A0" w:firstRow="1" w:lastRow="0" w:firstColumn="1" w:lastColumn="0" w:noHBand="0" w:noVBand="1"/>
      </w:tblPr>
      <w:tblGrid>
        <w:gridCol w:w="4508"/>
        <w:gridCol w:w="4508"/>
      </w:tblGrid>
      <w:tr w:rsidR="00A80C6F" w:rsidRPr="00A80C6F" w14:paraId="57BD4400" w14:textId="77777777" w:rsidTr="0025113D">
        <w:tc>
          <w:tcPr>
            <w:tcW w:w="4508" w:type="dxa"/>
          </w:tcPr>
          <w:p w14:paraId="47644D2A" w14:textId="2FA5DA87" w:rsidR="00A80C6F" w:rsidRPr="00045A81" w:rsidRDefault="00A80C6F" w:rsidP="00045A81">
            <w:pPr>
              <w:jc w:val="center"/>
              <w:rPr>
                <w:rFonts w:asciiTheme="minorHAnsi" w:hAnsiTheme="minorHAnsi" w:cstheme="minorHAnsi"/>
                <w:sz w:val="22"/>
                <w:lang w:val="fr-BE"/>
              </w:rPr>
            </w:pPr>
            <w:r w:rsidRPr="00A80C6F">
              <w:rPr>
                <w:rFonts w:asciiTheme="minorHAnsi" w:hAnsiTheme="minorHAnsi" w:cstheme="minorHAnsi"/>
                <w:b/>
                <w:bCs/>
                <w:sz w:val="22"/>
                <w:lang w:val="fr-FR" w:eastAsia="fr-FR"/>
              </w:rPr>
              <w:t>Projet de loi relatif à la collecte et à la conservation des données d’identification et des métadonnées dans le secteur des communications électroniques et à la fourniture de ces données aux autorités</w:t>
            </w:r>
          </w:p>
        </w:tc>
        <w:tc>
          <w:tcPr>
            <w:tcW w:w="4508" w:type="dxa"/>
          </w:tcPr>
          <w:p w14:paraId="6DF128F5" w14:textId="323AAC0F" w:rsidR="00A80C6F" w:rsidRPr="00A80C6F" w:rsidRDefault="00A80C6F" w:rsidP="00045A81">
            <w:pPr>
              <w:jc w:val="center"/>
              <w:rPr>
                <w:rFonts w:asciiTheme="minorHAnsi" w:hAnsiTheme="minorHAnsi" w:cstheme="minorHAnsi"/>
                <w:sz w:val="22"/>
              </w:rPr>
            </w:pPr>
            <w:r w:rsidRPr="00A80C6F">
              <w:rPr>
                <w:rFonts w:asciiTheme="minorHAnsi" w:hAnsiTheme="minorHAnsi" w:cstheme="minorHAnsi"/>
                <w:b/>
                <w:bCs/>
                <w:sz w:val="22"/>
                <w:lang w:eastAsia="fr-FR"/>
              </w:rPr>
              <w:t>Wetsontwerp betreffende het verzamelen en het bewaren van de identificatiegegevens en van metagegevens in de sector van de elektronische communicatie en de verstrekking ervan aan de autoriteiten</w:t>
            </w:r>
          </w:p>
        </w:tc>
      </w:tr>
      <w:tr w:rsidR="00A80C6F" w:rsidRPr="00A80C6F" w14:paraId="3C4A5681" w14:textId="77777777" w:rsidTr="0025113D">
        <w:tc>
          <w:tcPr>
            <w:tcW w:w="4508" w:type="dxa"/>
          </w:tcPr>
          <w:p w14:paraId="12E69DBA" w14:textId="77777777" w:rsidR="00A80C6F" w:rsidRPr="00A80C6F" w:rsidRDefault="00A80C6F" w:rsidP="00A80C6F">
            <w:pPr>
              <w:rPr>
                <w:rFonts w:asciiTheme="minorHAnsi" w:hAnsiTheme="minorHAnsi" w:cstheme="minorHAnsi"/>
                <w:sz w:val="22"/>
              </w:rPr>
            </w:pPr>
          </w:p>
        </w:tc>
        <w:tc>
          <w:tcPr>
            <w:tcW w:w="4508" w:type="dxa"/>
          </w:tcPr>
          <w:p w14:paraId="343DA75C" w14:textId="77777777" w:rsidR="00A80C6F" w:rsidRPr="00A80C6F" w:rsidRDefault="00A80C6F" w:rsidP="00A80C6F">
            <w:pPr>
              <w:rPr>
                <w:rFonts w:asciiTheme="minorHAnsi" w:hAnsiTheme="minorHAnsi" w:cstheme="minorHAnsi"/>
                <w:sz w:val="22"/>
              </w:rPr>
            </w:pPr>
          </w:p>
        </w:tc>
      </w:tr>
      <w:tr w:rsidR="00A80C6F" w:rsidRPr="00A80C6F" w14:paraId="1F712FB0" w14:textId="77777777" w:rsidTr="0025113D">
        <w:tc>
          <w:tcPr>
            <w:tcW w:w="4508" w:type="dxa"/>
          </w:tcPr>
          <w:p w14:paraId="576B9371" w14:textId="677C9BF1" w:rsidR="00A80C6F" w:rsidRPr="00045A81" w:rsidRDefault="00A80C6F" w:rsidP="00F56ABA">
            <w:pPr>
              <w:pStyle w:val="Kop1"/>
              <w:outlineLvl w:val="0"/>
              <w:rPr>
                <w:lang w:val="fr-BE"/>
              </w:rPr>
            </w:pPr>
            <w:bookmarkStart w:id="0" w:name="_Toc94800250"/>
            <w:bookmarkStart w:id="1" w:name="Amendement"/>
            <w:bookmarkStart w:id="2" w:name="_Toc96611617"/>
            <w:r w:rsidRPr="00045A81">
              <w:rPr>
                <w:lang w:val="fr-BE" w:eastAsia="fr-FR"/>
              </w:rPr>
              <w:t xml:space="preserve">Amendement n° </w:t>
            </w:r>
            <w:r w:rsidR="00045A81">
              <w:rPr>
                <w:lang w:val="fr-BE" w:eastAsia="fr-FR"/>
              </w:rPr>
              <w:t>6</w:t>
            </w:r>
            <w:bookmarkEnd w:id="0"/>
            <w:bookmarkEnd w:id="1"/>
            <w:bookmarkEnd w:id="2"/>
          </w:p>
        </w:tc>
        <w:tc>
          <w:tcPr>
            <w:tcW w:w="4508" w:type="dxa"/>
          </w:tcPr>
          <w:p w14:paraId="55044252" w14:textId="627DB94D" w:rsidR="00A80C6F" w:rsidRPr="00045A81" w:rsidRDefault="00A80C6F" w:rsidP="00F56ABA">
            <w:pPr>
              <w:pStyle w:val="Kop1"/>
              <w:outlineLvl w:val="0"/>
            </w:pPr>
            <w:bookmarkStart w:id="3" w:name="_Toc94800251"/>
            <w:bookmarkStart w:id="4" w:name="_Toc96611618"/>
            <w:r w:rsidRPr="00045A81">
              <w:rPr>
                <w:lang w:eastAsia="fr-FR"/>
              </w:rPr>
              <w:t xml:space="preserve">Amendement nr. </w:t>
            </w:r>
            <w:bookmarkEnd w:id="3"/>
            <w:r w:rsidR="00045A81">
              <w:rPr>
                <w:lang w:eastAsia="fr-FR"/>
              </w:rPr>
              <w:t>6</w:t>
            </w:r>
            <w:bookmarkEnd w:id="4"/>
          </w:p>
        </w:tc>
      </w:tr>
      <w:tr w:rsidR="00A80C6F" w:rsidRPr="00A80C6F" w14:paraId="351FA232" w14:textId="77777777" w:rsidTr="0025113D">
        <w:tc>
          <w:tcPr>
            <w:tcW w:w="4508" w:type="dxa"/>
          </w:tcPr>
          <w:p w14:paraId="28A40612" w14:textId="77777777" w:rsidR="00A80C6F" w:rsidRPr="00A80C6F" w:rsidRDefault="00A80C6F" w:rsidP="00A80C6F">
            <w:pPr>
              <w:rPr>
                <w:rFonts w:asciiTheme="minorHAnsi" w:hAnsiTheme="minorHAnsi" w:cstheme="minorHAnsi"/>
                <w:sz w:val="22"/>
              </w:rPr>
            </w:pPr>
          </w:p>
        </w:tc>
        <w:tc>
          <w:tcPr>
            <w:tcW w:w="4508" w:type="dxa"/>
          </w:tcPr>
          <w:p w14:paraId="37899B82" w14:textId="77777777" w:rsidR="00A80C6F" w:rsidRPr="00A80C6F" w:rsidRDefault="00A80C6F" w:rsidP="00A80C6F">
            <w:pPr>
              <w:rPr>
                <w:rFonts w:asciiTheme="minorHAnsi" w:hAnsiTheme="minorHAnsi" w:cstheme="minorHAnsi"/>
                <w:sz w:val="22"/>
              </w:rPr>
            </w:pPr>
          </w:p>
        </w:tc>
      </w:tr>
      <w:tr w:rsidR="00A80C6F" w:rsidRPr="00A80C6F" w14:paraId="4B87E2DD" w14:textId="77777777" w:rsidTr="0025113D">
        <w:tc>
          <w:tcPr>
            <w:tcW w:w="4508" w:type="dxa"/>
          </w:tcPr>
          <w:p w14:paraId="199E1515" w14:textId="68CB1E5D" w:rsidR="00A80C6F" w:rsidRPr="00294B75" w:rsidRDefault="00A80C6F" w:rsidP="00294B75">
            <w:pPr>
              <w:jc w:val="center"/>
              <w:rPr>
                <w:b/>
                <w:bCs/>
              </w:rPr>
            </w:pPr>
            <w:proofErr w:type="spellStart"/>
            <w:r w:rsidRPr="00294B75">
              <w:rPr>
                <w:b/>
                <w:bCs/>
                <w:lang w:eastAsia="fr-FR"/>
              </w:rPr>
              <w:t>Article</w:t>
            </w:r>
            <w:proofErr w:type="spellEnd"/>
            <w:r w:rsidRPr="00294B75">
              <w:rPr>
                <w:b/>
                <w:bCs/>
                <w:lang w:eastAsia="fr-FR"/>
              </w:rPr>
              <w:t xml:space="preserve"> </w:t>
            </w:r>
            <w:r w:rsidR="00037235" w:rsidRPr="00294B75">
              <w:rPr>
                <w:b/>
                <w:bCs/>
                <w:lang w:eastAsia="fr-FR"/>
              </w:rPr>
              <w:t>10</w:t>
            </w:r>
          </w:p>
        </w:tc>
        <w:tc>
          <w:tcPr>
            <w:tcW w:w="4508" w:type="dxa"/>
          </w:tcPr>
          <w:p w14:paraId="609B93F4" w14:textId="5358C713" w:rsidR="00A80C6F" w:rsidRPr="00294B75" w:rsidRDefault="00A80C6F" w:rsidP="00294B75">
            <w:pPr>
              <w:jc w:val="center"/>
              <w:rPr>
                <w:b/>
                <w:bCs/>
              </w:rPr>
            </w:pPr>
            <w:r w:rsidRPr="00294B75">
              <w:rPr>
                <w:b/>
                <w:bCs/>
                <w:lang w:eastAsia="fr-FR"/>
              </w:rPr>
              <w:t xml:space="preserve">Artikel </w:t>
            </w:r>
            <w:r w:rsidR="00037235" w:rsidRPr="00294B75">
              <w:rPr>
                <w:b/>
                <w:bCs/>
                <w:lang w:eastAsia="fr-FR"/>
              </w:rPr>
              <w:t>10</w:t>
            </w:r>
          </w:p>
        </w:tc>
      </w:tr>
      <w:tr w:rsidR="00A80C6F" w:rsidRPr="00A80C6F" w14:paraId="278B158A" w14:textId="77777777" w:rsidTr="0025113D">
        <w:tc>
          <w:tcPr>
            <w:tcW w:w="4508" w:type="dxa"/>
          </w:tcPr>
          <w:p w14:paraId="6623DE43" w14:textId="77777777" w:rsidR="00A80C6F" w:rsidRPr="00A80C6F" w:rsidRDefault="00A80C6F" w:rsidP="00A80C6F">
            <w:pPr>
              <w:rPr>
                <w:rFonts w:asciiTheme="minorHAnsi" w:hAnsiTheme="minorHAnsi" w:cstheme="minorHAnsi"/>
                <w:b/>
                <w:bCs/>
                <w:sz w:val="22"/>
                <w:lang w:eastAsia="fr-FR"/>
              </w:rPr>
            </w:pPr>
          </w:p>
        </w:tc>
        <w:tc>
          <w:tcPr>
            <w:tcW w:w="4508" w:type="dxa"/>
          </w:tcPr>
          <w:p w14:paraId="09128BD5" w14:textId="77777777" w:rsidR="00A80C6F" w:rsidRPr="00A80C6F" w:rsidRDefault="00A80C6F" w:rsidP="00A80C6F">
            <w:pPr>
              <w:rPr>
                <w:rFonts w:asciiTheme="minorHAnsi" w:hAnsiTheme="minorHAnsi" w:cstheme="minorHAnsi"/>
                <w:b/>
                <w:bCs/>
                <w:sz w:val="22"/>
                <w:lang w:eastAsia="fr-FR"/>
              </w:rPr>
            </w:pPr>
          </w:p>
        </w:tc>
      </w:tr>
      <w:tr w:rsidR="00A80C6F" w:rsidRPr="00A80C6F" w14:paraId="4135DA2C" w14:textId="77777777" w:rsidTr="0025113D">
        <w:tc>
          <w:tcPr>
            <w:tcW w:w="4508" w:type="dxa"/>
          </w:tcPr>
          <w:p w14:paraId="55061A0B" w14:textId="37727BE5" w:rsidR="00A80C6F" w:rsidRPr="00045A81" w:rsidRDefault="00A80C6F" w:rsidP="00A80C6F">
            <w:pPr>
              <w:rPr>
                <w:rFonts w:asciiTheme="minorHAnsi" w:hAnsiTheme="minorHAnsi" w:cstheme="minorHAnsi"/>
                <w:sz w:val="22"/>
                <w:lang w:val="fr-BE"/>
              </w:rPr>
            </w:pPr>
            <w:r w:rsidRPr="00A80C6F">
              <w:rPr>
                <w:rFonts w:asciiTheme="minorHAnsi" w:hAnsiTheme="minorHAnsi" w:cstheme="minorHAnsi"/>
                <w:sz w:val="22"/>
                <w:lang w:val="fr-BE" w:eastAsia="fr-FR"/>
              </w:rPr>
              <w:t>L’article 127 est remplacé par ce qui suit :</w:t>
            </w:r>
          </w:p>
        </w:tc>
        <w:tc>
          <w:tcPr>
            <w:tcW w:w="4508" w:type="dxa"/>
          </w:tcPr>
          <w:p w14:paraId="6621FEB9" w14:textId="3E07CA12" w:rsidR="00A80C6F" w:rsidRPr="00A80C6F" w:rsidRDefault="00A80C6F" w:rsidP="00A80C6F">
            <w:pPr>
              <w:rPr>
                <w:rFonts w:asciiTheme="minorHAnsi" w:hAnsiTheme="minorHAnsi" w:cstheme="minorHAnsi"/>
                <w:sz w:val="22"/>
              </w:rPr>
            </w:pPr>
            <w:r w:rsidRPr="00A80C6F">
              <w:rPr>
                <w:rFonts w:asciiTheme="minorHAnsi" w:hAnsiTheme="minorHAnsi" w:cstheme="minorHAnsi"/>
                <w:sz w:val="22"/>
              </w:rPr>
              <w:t>Artikel 127 wordt vervangen als volgt:</w:t>
            </w:r>
          </w:p>
        </w:tc>
      </w:tr>
      <w:tr w:rsidR="00A80C6F" w:rsidRPr="00A80C6F" w14:paraId="24966A23" w14:textId="77777777" w:rsidTr="0025113D">
        <w:tc>
          <w:tcPr>
            <w:tcW w:w="4508" w:type="dxa"/>
          </w:tcPr>
          <w:p w14:paraId="3CA2225F" w14:textId="77777777" w:rsidR="00A80C6F" w:rsidRPr="00045A81" w:rsidRDefault="00A80C6F" w:rsidP="00A80C6F">
            <w:pPr>
              <w:rPr>
                <w:rFonts w:asciiTheme="minorHAnsi" w:hAnsiTheme="minorHAnsi" w:cstheme="minorHAnsi"/>
                <w:sz w:val="22"/>
                <w:lang w:eastAsia="fr-FR"/>
              </w:rPr>
            </w:pPr>
          </w:p>
        </w:tc>
        <w:tc>
          <w:tcPr>
            <w:tcW w:w="4508" w:type="dxa"/>
          </w:tcPr>
          <w:p w14:paraId="330D6989" w14:textId="77777777" w:rsidR="00A80C6F" w:rsidRPr="00A80C6F" w:rsidRDefault="00A80C6F" w:rsidP="00A80C6F">
            <w:pPr>
              <w:rPr>
                <w:rFonts w:asciiTheme="minorHAnsi" w:hAnsiTheme="minorHAnsi" w:cstheme="minorHAnsi"/>
                <w:sz w:val="22"/>
              </w:rPr>
            </w:pPr>
          </w:p>
        </w:tc>
      </w:tr>
      <w:tr w:rsidR="007471E0" w:rsidRPr="00A80C6F" w14:paraId="54288BE0" w14:textId="77777777" w:rsidTr="0025113D">
        <w:tc>
          <w:tcPr>
            <w:tcW w:w="4508" w:type="dxa"/>
          </w:tcPr>
          <w:p w14:paraId="49FF9117" w14:textId="71412B80" w:rsidR="007471E0" w:rsidRPr="005C321B" w:rsidRDefault="007471E0" w:rsidP="005C321B">
            <w:pPr>
              <w:jc w:val="both"/>
              <w:rPr>
                <w:rFonts w:asciiTheme="minorHAnsi" w:hAnsiTheme="minorHAnsi" w:cstheme="minorHAnsi"/>
                <w:sz w:val="22"/>
                <w:lang w:val="fr-BE"/>
              </w:rPr>
            </w:pPr>
            <w:r w:rsidRPr="005C321B">
              <w:rPr>
                <w:rFonts w:asciiTheme="minorHAnsi" w:hAnsiTheme="minorHAnsi" w:cstheme="minorHAnsi"/>
                <w:b/>
                <w:bCs/>
                <w:color w:val="000000"/>
                <w:sz w:val="22"/>
                <w:lang w:val="fr-BE"/>
              </w:rPr>
              <w:t>Art. 127 § 1</w:t>
            </w:r>
            <w:r w:rsidRPr="005C321B">
              <w:rPr>
                <w:rFonts w:asciiTheme="minorHAnsi" w:hAnsiTheme="minorHAnsi" w:cstheme="minorHAnsi"/>
                <w:b/>
                <w:bCs/>
                <w:color w:val="000000"/>
                <w:sz w:val="22"/>
                <w:vertAlign w:val="superscript"/>
                <w:lang w:val="fr-BE"/>
              </w:rPr>
              <w:t>er</w:t>
            </w:r>
            <w:r w:rsidRPr="005C321B">
              <w:rPr>
                <w:rFonts w:asciiTheme="minorHAnsi" w:hAnsiTheme="minorHAnsi" w:cstheme="minorHAnsi"/>
                <w:b/>
                <w:bCs/>
                <w:color w:val="000000"/>
                <w:sz w:val="22"/>
                <w:lang w:val="fr-BE"/>
              </w:rPr>
              <w:t>.</w:t>
            </w:r>
            <w:r w:rsidRPr="005C321B">
              <w:rPr>
                <w:rFonts w:asciiTheme="minorHAnsi" w:hAnsiTheme="minorHAnsi" w:cstheme="minorHAnsi"/>
                <w:color w:val="000000" w:themeColor="text1"/>
                <w:sz w:val="22"/>
                <w:lang w:val="fr-BE"/>
              </w:rPr>
              <w:t xml:space="preserve"> Le présent article s’applique aux opérateurs qui fournissent en Belgique aux utilisateurs finaux un service de communications électroniques. </w:t>
            </w:r>
          </w:p>
        </w:tc>
        <w:tc>
          <w:tcPr>
            <w:tcW w:w="4508" w:type="dxa"/>
          </w:tcPr>
          <w:p w14:paraId="6C6E07A7" w14:textId="32F0D806" w:rsidR="007471E0" w:rsidRPr="005C321B" w:rsidRDefault="007471E0" w:rsidP="005C321B">
            <w:pPr>
              <w:jc w:val="both"/>
              <w:rPr>
                <w:rFonts w:asciiTheme="minorHAnsi" w:hAnsiTheme="minorHAnsi" w:cstheme="minorHAnsi"/>
                <w:sz w:val="22"/>
              </w:rPr>
            </w:pPr>
            <w:r w:rsidRPr="005C321B">
              <w:rPr>
                <w:rFonts w:asciiTheme="minorHAnsi" w:hAnsiTheme="minorHAnsi" w:cstheme="minorHAnsi"/>
                <w:b/>
                <w:bCs/>
                <w:color w:val="000000"/>
                <w:sz w:val="22"/>
              </w:rPr>
              <w:t xml:space="preserve">Art. 127 § 1. </w:t>
            </w:r>
            <w:r w:rsidRPr="005C321B">
              <w:rPr>
                <w:rFonts w:asciiTheme="minorHAnsi" w:hAnsiTheme="minorHAnsi" w:cstheme="minorHAnsi"/>
                <w:color w:val="000000"/>
                <w:sz w:val="22"/>
              </w:rPr>
              <w:t>Dit artikel is van toepassing op de operatoren die in België een elektronische-communicatiedienst bieden aan eindgebruiker</w:t>
            </w:r>
            <w:r w:rsidR="00472BDC">
              <w:rPr>
                <w:rFonts w:asciiTheme="minorHAnsi" w:hAnsiTheme="minorHAnsi" w:cstheme="minorHAnsi"/>
                <w:color w:val="000000"/>
                <w:sz w:val="22"/>
              </w:rPr>
              <w:t>s</w:t>
            </w:r>
            <w:r w:rsidRPr="005C321B">
              <w:rPr>
                <w:rFonts w:asciiTheme="minorHAnsi" w:hAnsiTheme="minorHAnsi" w:cstheme="minorHAnsi"/>
                <w:color w:val="000000"/>
                <w:sz w:val="22"/>
              </w:rPr>
              <w:t>.</w:t>
            </w:r>
          </w:p>
        </w:tc>
      </w:tr>
      <w:tr w:rsidR="007471E0" w:rsidRPr="00A80C6F" w14:paraId="69CDD2FA" w14:textId="77777777" w:rsidTr="0025113D">
        <w:tc>
          <w:tcPr>
            <w:tcW w:w="4508" w:type="dxa"/>
          </w:tcPr>
          <w:p w14:paraId="0394AF9A" w14:textId="77777777" w:rsidR="007471E0" w:rsidRPr="005C321B" w:rsidRDefault="007471E0" w:rsidP="005C321B">
            <w:pPr>
              <w:jc w:val="both"/>
              <w:rPr>
                <w:rFonts w:asciiTheme="minorHAnsi" w:hAnsiTheme="minorHAnsi" w:cstheme="minorHAnsi"/>
                <w:sz w:val="22"/>
                <w:lang w:eastAsia="fr-FR"/>
              </w:rPr>
            </w:pPr>
          </w:p>
        </w:tc>
        <w:tc>
          <w:tcPr>
            <w:tcW w:w="4508" w:type="dxa"/>
          </w:tcPr>
          <w:p w14:paraId="7A2147D6" w14:textId="77777777" w:rsidR="007471E0" w:rsidRPr="005C321B" w:rsidRDefault="007471E0" w:rsidP="005C321B">
            <w:pPr>
              <w:jc w:val="both"/>
              <w:rPr>
                <w:rFonts w:asciiTheme="minorHAnsi" w:hAnsiTheme="minorHAnsi" w:cstheme="minorHAnsi"/>
                <w:sz w:val="22"/>
              </w:rPr>
            </w:pPr>
          </w:p>
        </w:tc>
      </w:tr>
      <w:tr w:rsidR="007471E0" w:rsidRPr="00A80C6F" w14:paraId="367A7796" w14:textId="77777777" w:rsidTr="0025113D">
        <w:tc>
          <w:tcPr>
            <w:tcW w:w="4508" w:type="dxa"/>
          </w:tcPr>
          <w:p w14:paraId="658133A6" w14:textId="363E021F" w:rsidR="007471E0" w:rsidRPr="005C321B" w:rsidRDefault="007471E0" w:rsidP="005C321B">
            <w:pPr>
              <w:jc w:val="both"/>
              <w:rPr>
                <w:rFonts w:asciiTheme="minorHAnsi" w:hAnsiTheme="minorHAnsi" w:cstheme="minorHAnsi"/>
                <w:sz w:val="22"/>
                <w:lang w:val="fr-BE" w:eastAsia="fr-FR"/>
              </w:rPr>
            </w:pPr>
            <w:r w:rsidRPr="005C321B">
              <w:rPr>
                <w:rFonts w:asciiTheme="minorHAnsi" w:hAnsiTheme="minorHAnsi" w:cstheme="minorHAnsi"/>
                <w:color w:val="000000" w:themeColor="text1"/>
                <w:sz w:val="22"/>
                <w:lang w:val="fr-BE"/>
              </w:rPr>
              <w:t>Il est interdit de distribuer en Belgique, en ce compris par Internet, aux utilisateurs finaux, sans l’accord de l’entreprise qui fournit le service de communications électroniques accessible au public</w:t>
            </w:r>
            <w:r w:rsidR="00D75783">
              <w:rPr>
                <w:rFonts w:asciiTheme="minorHAnsi" w:hAnsiTheme="minorHAnsi" w:cstheme="minorHAnsi"/>
                <w:color w:val="000000" w:themeColor="text1"/>
                <w:sz w:val="22"/>
                <w:lang w:val="fr-BE"/>
              </w:rPr>
              <w:t xml:space="preserve"> </w:t>
            </w:r>
            <w:r w:rsidRPr="005C321B">
              <w:rPr>
                <w:rFonts w:asciiTheme="minorHAnsi" w:hAnsiTheme="minorHAnsi" w:cstheme="minorHAnsi"/>
                <w:color w:val="000000" w:themeColor="text1"/>
                <w:sz w:val="22"/>
                <w:lang w:val="fr-BE"/>
              </w:rPr>
              <w:t xml:space="preserve">: </w:t>
            </w:r>
          </w:p>
        </w:tc>
        <w:tc>
          <w:tcPr>
            <w:tcW w:w="4508" w:type="dxa"/>
          </w:tcPr>
          <w:p w14:paraId="28A75527" w14:textId="5C9C2270" w:rsidR="007471E0" w:rsidRPr="005C321B" w:rsidRDefault="00472BDC" w:rsidP="005C321B">
            <w:pPr>
              <w:jc w:val="both"/>
              <w:rPr>
                <w:rFonts w:asciiTheme="minorHAnsi" w:hAnsiTheme="minorHAnsi" w:cstheme="minorHAnsi"/>
                <w:sz w:val="22"/>
              </w:rPr>
            </w:pPr>
            <w:r>
              <w:rPr>
                <w:rFonts w:asciiTheme="minorHAnsi" w:hAnsiTheme="minorHAnsi" w:cstheme="minorHAnsi"/>
                <w:color w:val="000000"/>
                <w:sz w:val="22"/>
              </w:rPr>
              <w:t>H</w:t>
            </w:r>
            <w:r w:rsidR="007471E0" w:rsidRPr="005C321B">
              <w:rPr>
                <w:rFonts w:asciiTheme="minorHAnsi" w:hAnsiTheme="minorHAnsi" w:cstheme="minorHAnsi"/>
                <w:color w:val="000000"/>
                <w:sz w:val="22"/>
              </w:rPr>
              <w:t xml:space="preserve">et </w:t>
            </w:r>
            <w:r>
              <w:rPr>
                <w:rFonts w:asciiTheme="minorHAnsi" w:hAnsiTheme="minorHAnsi" w:cstheme="minorHAnsi"/>
                <w:color w:val="000000"/>
                <w:sz w:val="22"/>
              </w:rPr>
              <w:t xml:space="preserve">is </w:t>
            </w:r>
            <w:r w:rsidR="007471E0" w:rsidRPr="005C321B">
              <w:rPr>
                <w:rFonts w:asciiTheme="minorHAnsi" w:hAnsiTheme="minorHAnsi" w:cstheme="minorHAnsi"/>
                <w:color w:val="000000"/>
                <w:sz w:val="22"/>
              </w:rPr>
              <w:t>verboden om</w:t>
            </w:r>
            <w:r>
              <w:rPr>
                <w:rFonts w:asciiTheme="minorHAnsi" w:hAnsiTheme="minorHAnsi" w:cstheme="minorHAnsi"/>
                <w:color w:val="000000"/>
                <w:sz w:val="22"/>
              </w:rPr>
              <w:t xml:space="preserve"> in België</w:t>
            </w:r>
            <w:r w:rsidR="007471E0" w:rsidRPr="005C321B">
              <w:rPr>
                <w:rFonts w:asciiTheme="minorHAnsi" w:hAnsiTheme="minorHAnsi" w:cstheme="minorHAnsi"/>
                <w:color w:val="000000"/>
                <w:sz w:val="22"/>
              </w:rPr>
              <w:t>, inclusief via het internet, zonder het akkoord van de onderneming die de voor het publiek beschikbare elektronische-communicatiedienst verstrekt, het volgende aan te bieden aan de eindgebruikers:</w:t>
            </w:r>
          </w:p>
        </w:tc>
      </w:tr>
      <w:tr w:rsidR="007471E0" w:rsidRPr="00A80C6F" w14:paraId="34F7006D" w14:textId="77777777" w:rsidTr="0025113D">
        <w:tc>
          <w:tcPr>
            <w:tcW w:w="4508" w:type="dxa"/>
          </w:tcPr>
          <w:p w14:paraId="134A74BC" w14:textId="77777777" w:rsidR="007471E0" w:rsidRPr="005C321B" w:rsidRDefault="007471E0" w:rsidP="005C321B">
            <w:pPr>
              <w:jc w:val="both"/>
              <w:rPr>
                <w:rFonts w:asciiTheme="minorHAnsi" w:hAnsiTheme="minorHAnsi" w:cstheme="minorHAnsi"/>
                <w:sz w:val="22"/>
                <w:lang w:eastAsia="fr-FR"/>
              </w:rPr>
            </w:pPr>
          </w:p>
        </w:tc>
        <w:tc>
          <w:tcPr>
            <w:tcW w:w="4508" w:type="dxa"/>
          </w:tcPr>
          <w:p w14:paraId="2A6D0F77" w14:textId="77777777" w:rsidR="007471E0" w:rsidRPr="005C321B" w:rsidRDefault="007471E0" w:rsidP="005C321B">
            <w:pPr>
              <w:jc w:val="both"/>
              <w:rPr>
                <w:rFonts w:asciiTheme="minorHAnsi" w:hAnsiTheme="minorHAnsi" w:cstheme="minorHAnsi"/>
                <w:sz w:val="22"/>
              </w:rPr>
            </w:pPr>
          </w:p>
        </w:tc>
      </w:tr>
      <w:tr w:rsidR="007471E0" w:rsidRPr="00A80C6F" w14:paraId="006B9CCE" w14:textId="77777777" w:rsidTr="0025113D">
        <w:tc>
          <w:tcPr>
            <w:tcW w:w="4508" w:type="dxa"/>
          </w:tcPr>
          <w:p w14:paraId="0E09F317" w14:textId="710E82F1" w:rsidR="007471E0" w:rsidRPr="005C321B" w:rsidRDefault="007471E0" w:rsidP="00D75783">
            <w:pPr>
              <w:pStyle w:val="Lijstalinea"/>
              <w:numPr>
                <w:ilvl w:val="0"/>
                <w:numId w:val="4"/>
              </w:numPr>
              <w:spacing w:before="0"/>
              <w:rPr>
                <w:rFonts w:asciiTheme="minorHAnsi" w:hAnsiTheme="minorHAnsi" w:cstheme="minorHAnsi"/>
                <w:lang w:val="fr-BE" w:eastAsia="fr-FR"/>
              </w:rPr>
            </w:pPr>
            <w:r w:rsidRPr="005C321B">
              <w:rPr>
                <w:rFonts w:asciiTheme="minorHAnsi" w:hAnsiTheme="minorHAnsi" w:cstheme="minorHAnsi"/>
                <w:color w:val="000000" w:themeColor="text1"/>
                <w:lang w:val="fr-BE"/>
              </w:rPr>
              <w:t>des cartes prépayées ou des abonnements qui leur permettent d’y utiliser un service de communications électroniques</w:t>
            </w:r>
            <w:r w:rsidR="00D75783">
              <w:rPr>
                <w:rFonts w:asciiTheme="minorHAnsi" w:hAnsiTheme="minorHAnsi" w:cstheme="minorHAnsi"/>
                <w:color w:val="000000" w:themeColor="text1"/>
                <w:lang w:val="fr-BE"/>
              </w:rPr>
              <w:t xml:space="preserve"> </w:t>
            </w:r>
            <w:r w:rsidRPr="005C321B">
              <w:rPr>
                <w:rFonts w:asciiTheme="minorHAnsi" w:hAnsiTheme="minorHAnsi" w:cstheme="minorHAnsi"/>
                <w:color w:val="000000" w:themeColor="text1"/>
                <w:lang w:val="fr-BE"/>
              </w:rPr>
              <w:t xml:space="preserve">; </w:t>
            </w:r>
          </w:p>
        </w:tc>
        <w:tc>
          <w:tcPr>
            <w:tcW w:w="4508" w:type="dxa"/>
          </w:tcPr>
          <w:p w14:paraId="2EBF6AA9" w14:textId="237F90E4" w:rsidR="007471E0" w:rsidRPr="005C321B" w:rsidRDefault="007471E0" w:rsidP="00D75783">
            <w:pPr>
              <w:pStyle w:val="Lijstalinea"/>
              <w:numPr>
                <w:ilvl w:val="0"/>
                <w:numId w:val="4"/>
              </w:numPr>
              <w:spacing w:before="0"/>
              <w:rPr>
                <w:rFonts w:asciiTheme="minorHAnsi" w:hAnsiTheme="minorHAnsi" w:cstheme="minorHAnsi"/>
                <w:lang w:val="nl-BE"/>
              </w:rPr>
            </w:pPr>
            <w:proofErr w:type="spellStart"/>
            <w:r w:rsidRPr="005C321B">
              <w:rPr>
                <w:rFonts w:asciiTheme="minorHAnsi" w:hAnsiTheme="minorHAnsi" w:cstheme="minorHAnsi"/>
                <w:color w:val="000000"/>
                <w:lang w:val="nl-BE"/>
              </w:rPr>
              <w:t>voorafbetaalde</w:t>
            </w:r>
            <w:proofErr w:type="spellEnd"/>
            <w:r w:rsidRPr="005C321B">
              <w:rPr>
                <w:rFonts w:asciiTheme="minorHAnsi" w:hAnsiTheme="minorHAnsi" w:cstheme="minorHAnsi"/>
                <w:color w:val="000000"/>
                <w:lang w:val="nl-BE"/>
              </w:rPr>
              <w:t xml:space="preserve"> kaarten of abonnementen die hen in staat stellen om er een elektronische-communicatiedienst te gebruiken;</w:t>
            </w:r>
          </w:p>
        </w:tc>
      </w:tr>
      <w:tr w:rsidR="007471E0" w:rsidRPr="00A80C6F" w14:paraId="02563DD8" w14:textId="77777777" w:rsidTr="0025113D">
        <w:tc>
          <w:tcPr>
            <w:tcW w:w="4508" w:type="dxa"/>
          </w:tcPr>
          <w:p w14:paraId="0C4D815C" w14:textId="77777777" w:rsidR="007471E0" w:rsidRPr="005C321B" w:rsidRDefault="007471E0" w:rsidP="00D75783">
            <w:pPr>
              <w:jc w:val="both"/>
              <w:rPr>
                <w:rFonts w:asciiTheme="minorHAnsi" w:hAnsiTheme="minorHAnsi" w:cstheme="minorHAnsi"/>
                <w:sz w:val="22"/>
                <w:lang w:eastAsia="fr-FR"/>
              </w:rPr>
            </w:pPr>
          </w:p>
        </w:tc>
        <w:tc>
          <w:tcPr>
            <w:tcW w:w="4508" w:type="dxa"/>
          </w:tcPr>
          <w:p w14:paraId="14685A20" w14:textId="77777777" w:rsidR="007471E0" w:rsidRPr="005C321B" w:rsidRDefault="007471E0" w:rsidP="00D75783">
            <w:pPr>
              <w:jc w:val="both"/>
              <w:rPr>
                <w:rFonts w:asciiTheme="minorHAnsi" w:hAnsiTheme="minorHAnsi" w:cstheme="minorHAnsi"/>
                <w:sz w:val="22"/>
              </w:rPr>
            </w:pPr>
          </w:p>
        </w:tc>
      </w:tr>
      <w:tr w:rsidR="007471E0" w:rsidRPr="00A80C6F" w14:paraId="1F3BEC9B" w14:textId="77777777" w:rsidTr="0025113D">
        <w:tc>
          <w:tcPr>
            <w:tcW w:w="4508" w:type="dxa"/>
          </w:tcPr>
          <w:p w14:paraId="1953DA95" w14:textId="75849CAE" w:rsidR="007471E0" w:rsidRPr="005C321B" w:rsidRDefault="007471E0" w:rsidP="00D75783">
            <w:pPr>
              <w:pStyle w:val="Lijstalinea"/>
              <w:numPr>
                <w:ilvl w:val="0"/>
                <w:numId w:val="4"/>
              </w:numPr>
              <w:spacing w:before="0"/>
              <w:rPr>
                <w:rFonts w:asciiTheme="minorHAnsi" w:hAnsiTheme="minorHAnsi" w:cstheme="minorHAnsi"/>
                <w:lang w:val="fr-BE" w:eastAsia="fr-FR"/>
              </w:rPr>
            </w:pPr>
            <w:r w:rsidRPr="005C321B">
              <w:rPr>
                <w:rFonts w:asciiTheme="minorHAnsi" w:hAnsiTheme="minorHAnsi" w:cstheme="minorHAnsi"/>
                <w:color w:val="000000"/>
                <w:lang w:val="fr-BE"/>
              </w:rPr>
              <w:t>des objets connectés qui leur permettent d’y utiliser un service d’accès à internet ou un service de communication interpersonnelle d’un opérateur.</w:t>
            </w:r>
          </w:p>
        </w:tc>
        <w:tc>
          <w:tcPr>
            <w:tcW w:w="4508" w:type="dxa"/>
          </w:tcPr>
          <w:p w14:paraId="40F557F3" w14:textId="6BEDD52F" w:rsidR="007471E0" w:rsidRPr="005C321B" w:rsidRDefault="007471E0" w:rsidP="00D75783">
            <w:pPr>
              <w:pStyle w:val="Lijstalinea"/>
              <w:numPr>
                <w:ilvl w:val="0"/>
                <w:numId w:val="4"/>
              </w:numPr>
              <w:spacing w:before="0"/>
              <w:rPr>
                <w:rFonts w:asciiTheme="minorHAnsi" w:hAnsiTheme="minorHAnsi" w:cstheme="minorHAnsi"/>
                <w:lang w:val="nl-BE"/>
              </w:rPr>
            </w:pPr>
            <w:r w:rsidRPr="005C321B">
              <w:rPr>
                <w:rFonts w:asciiTheme="minorHAnsi" w:hAnsiTheme="minorHAnsi" w:cstheme="minorHAnsi"/>
                <w:color w:val="000000"/>
                <w:lang w:val="nl-BE"/>
              </w:rPr>
              <w:t>geconnecteerde voorwerpen die hen in staat stellen om er een internettoegangsdienst of een interpersoonlijke communicatiedienst van een operator te gebruiken.</w:t>
            </w:r>
          </w:p>
        </w:tc>
      </w:tr>
      <w:tr w:rsidR="007471E0" w:rsidRPr="00A80C6F" w14:paraId="6BEE96EF" w14:textId="77777777" w:rsidTr="0025113D">
        <w:tc>
          <w:tcPr>
            <w:tcW w:w="4508" w:type="dxa"/>
          </w:tcPr>
          <w:p w14:paraId="580A6BAF" w14:textId="77777777" w:rsidR="007471E0" w:rsidRPr="007471E0" w:rsidRDefault="007471E0" w:rsidP="007471E0">
            <w:pPr>
              <w:rPr>
                <w:rFonts w:asciiTheme="minorHAnsi" w:hAnsiTheme="minorHAnsi" w:cstheme="minorHAnsi"/>
                <w:sz w:val="22"/>
                <w:lang w:eastAsia="fr-FR"/>
              </w:rPr>
            </w:pPr>
          </w:p>
        </w:tc>
        <w:tc>
          <w:tcPr>
            <w:tcW w:w="4508" w:type="dxa"/>
          </w:tcPr>
          <w:p w14:paraId="22D1F69D" w14:textId="77777777" w:rsidR="007471E0" w:rsidRPr="00A80C6F" w:rsidRDefault="007471E0" w:rsidP="007471E0">
            <w:pPr>
              <w:rPr>
                <w:rFonts w:asciiTheme="minorHAnsi" w:hAnsiTheme="minorHAnsi" w:cstheme="minorHAnsi"/>
                <w:sz w:val="22"/>
              </w:rPr>
            </w:pPr>
          </w:p>
        </w:tc>
      </w:tr>
      <w:tr w:rsidR="005C321B" w:rsidRPr="00A80C6F" w14:paraId="00322D87" w14:textId="77777777" w:rsidTr="0025113D">
        <w:tc>
          <w:tcPr>
            <w:tcW w:w="4508" w:type="dxa"/>
          </w:tcPr>
          <w:p w14:paraId="6BB5D9C5" w14:textId="1723FAA4" w:rsidR="005C321B" w:rsidRPr="005C321B" w:rsidRDefault="005C321B" w:rsidP="005C321B">
            <w:pPr>
              <w:jc w:val="both"/>
              <w:rPr>
                <w:rFonts w:asciiTheme="minorHAnsi" w:hAnsiTheme="minorHAnsi" w:cstheme="minorHAnsi"/>
                <w:sz w:val="22"/>
                <w:lang w:val="fr-BE" w:eastAsia="fr-FR"/>
              </w:rPr>
            </w:pPr>
            <w:r w:rsidRPr="005C321B">
              <w:rPr>
                <w:rFonts w:asciiTheme="minorHAnsi" w:hAnsiTheme="minorHAnsi" w:cstheme="minorHAnsi"/>
                <w:color w:val="000000" w:themeColor="text1"/>
                <w:sz w:val="22"/>
                <w:lang w:val="fr-BE"/>
              </w:rPr>
              <w:t>La personne qui distribue les cartes prépayées, les abonnements ou les objets connectés fournit à l’Institut, à sa première demande, la preuve de cet accord.</w:t>
            </w:r>
          </w:p>
        </w:tc>
        <w:tc>
          <w:tcPr>
            <w:tcW w:w="4508" w:type="dxa"/>
          </w:tcPr>
          <w:p w14:paraId="3A7045CA" w14:textId="5A531275" w:rsidR="005C321B" w:rsidRPr="005C321B" w:rsidRDefault="005C321B" w:rsidP="005C321B">
            <w:pPr>
              <w:jc w:val="both"/>
              <w:rPr>
                <w:rFonts w:asciiTheme="minorHAnsi" w:hAnsiTheme="minorHAnsi" w:cstheme="minorHAnsi"/>
                <w:sz w:val="22"/>
              </w:rPr>
            </w:pPr>
            <w:r w:rsidRPr="005C321B">
              <w:rPr>
                <w:rFonts w:asciiTheme="minorHAnsi" w:hAnsiTheme="minorHAnsi" w:cstheme="minorHAnsi"/>
                <w:color w:val="000000"/>
                <w:sz w:val="22"/>
              </w:rPr>
              <w:t xml:space="preserve">De persoon die de </w:t>
            </w:r>
            <w:proofErr w:type="spellStart"/>
            <w:r w:rsidRPr="005C321B">
              <w:rPr>
                <w:rFonts w:asciiTheme="minorHAnsi" w:hAnsiTheme="minorHAnsi" w:cstheme="minorHAnsi"/>
                <w:color w:val="000000"/>
                <w:sz w:val="22"/>
              </w:rPr>
              <w:t>voorafbetaalde</w:t>
            </w:r>
            <w:proofErr w:type="spellEnd"/>
            <w:r w:rsidRPr="005C321B">
              <w:rPr>
                <w:rFonts w:asciiTheme="minorHAnsi" w:hAnsiTheme="minorHAnsi" w:cstheme="minorHAnsi"/>
                <w:color w:val="000000"/>
                <w:sz w:val="22"/>
              </w:rPr>
              <w:t xml:space="preserve"> kaarten, de abonnementen of de geconnecteerde voorwerpen aanbiedt, verstrekt aan het Instituut het bewijs van dat akkoord bij diens eerste verzoek.</w:t>
            </w:r>
          </w:p>
        </w:tc>
      </w:tr>
      <w:tr w:rsidR="005C321B" w:rsidRPr="00A80C6F" w14:paraId="2D687827" w14:textId="77777777" w:rsidTr="0025113D">
        <w:tc>
          <w:tcPr>
            <w:tcW w:w="4508" w:type="dxa"/>
          </w:tcPr>
          <w:p w14:paraId="01147BCE" w14:textId="77777777" w:rsidR="005C321B" w:rsidRPr="005C321B" w:rsidRDefault="005C321B" w:rsidP="005C321B">
            <w:pPr>
              <w:jc w:val="both"/>
              <w:rPr>
                <w:rFonts w:asciiTheme="minorHAnsi" w:hAnsiTheme="minorHAnsi" w:cstheme="minorHAnsi"/>
                <w:sz w:val="22"/>
                <w:lang w:eastAsia="fr-FR"/>
              </w:rPr>
            </w:pPr>
          </w:p>
        </w:tc>
        <w:tc>
          <w:tcPr>
            <w:tcW w:w="4508" w:type="dxa"/>
          </w:tcPr>
          <w:p w14:paraId="09DE3A1F" w14:textId="77777777" w:rsidR="005C321B" w:rsidRPr="005C321B" w:rsidRDefault="005C321B" w:rsidP="005C321B">
            <w:pPr>
              <w:jc w:val="both"/>
              <w:rPr>
                <w:rFonts w:asciiTheme="minorHAnsi" w:hAnsiTheme="minorHAnsi" w:cstheme="minorHAnsi"/>
                <w:sz w:val="22"/>
              </w:rPr>
            </w:pPr>
          </w:p>
        </w:tc>
      </w:tr>
      <w:tr w:rsidR="005C321B" w:rsidRPr="00A80C6F" w14:paraId="37D17D5F" w14:textId="77777777" w:rsidTr="0025113D">
        <w:tc>
          <w:tcPr>
            <w:tcW w:w="4508" w:type="dxa"/>
          </w:tcPr>
          <w:p w14:paraId="0FF68BCF" w14:textId="3FF80B24" w:rsidR="005C321B" w:rsidRPr="005C321B" w:rsidRDefault="005C321B" w:rsidP="005C321B">
            <w:pPr>
              <w:jc w:val="both"/>
              <w:rPr>
                <w:rFonts w:asciiTheme="minorHAnsi" w:hAnsiTheme="minorHAnsi" w:cstheme="minorHAnsi"/>
                <w:sz w:val="22"/>
                <w:lang w:val="fr-BE" w:eastAsia="fr-FR"/>
              </w:rPr>
            </w:pPr>
            <w:r w:rsidRPr="005C321B">
              <w:rPr>
                <w:rFonts w:asciiTheme="minorHAnsi" w:hAnsiTheme="minorHAnsi" w:cstheme="minorHAnsi"/>
                <w:color w:val="000000" w:themeColor="text1"/>
                <w:sz w:val="22"/>
                <w:lang w:val="fr-BE"/>
              </w:rPr>
              <w:t>En cas d’accord de l’entreprise, cette dernière est opérateur et les conditions visées à l’alinéa 1</w:t>
            </w:r>
            <w:r w:rsidRPr="005C321B">
              <w:rPr>
                <w:rFonts w:asciiTheme="minorHAnsi" w:hAnsiTheme="minorHAnsi" w:cstheme="minorHAnsi"/>
                <w:color w:val="000000" w:themeColor="text1"/>
                <w:sz w:val="22"/>
                <w:vertAlign w:val="superscript"/>
                <w:lang w:val="fr-BE"/>
              </w:rPr>
              <w:t>er</w:t>
            </w:r>
            <w:r w:rsidRPr="005C321B">
              <w:rPr>
                <w:rFonts w:asciiTheme="minorHAnsi" w:hAnsiTheme="minorHAnsi" w:cstheme="minorHAnsi"/>
                <w:color w:val="000000" w:themeColor="text1"/>
                <w:sz w:val="22"/>
                <w:lang w:val="fr-BE"/>
              </w:rPr>
              <w:t xml:space="preserve"> sont remplies. </w:t>
            </w:r>
          </w:p>
        </w:tc>
        <w:tc>
          <w:tcPr>
            <w:tcW w:w="4508" w:type="dxa"/>
          </w:tcPr>
          <w:p w14:paraId="005E2C2D" w14:textId="29D0287D" w:rsidR="005C321B" w:rsidRPr="005C321B" w:rsidRDefault="005C321B" w:rsidP="005C321B">
            <w:pPr>
              <w:jc w:val="both"/>
              <w:rPr>
                <w:rFonts w:asciiTheme="minorHAnsi" w:hAnsiTheme="minorHAnsi" w:cstheme="minorHAnsi"/>
                <w:sz w:val="22"/>
              </w:rPr>
            </w:pPr>
            <w:r w:rsidRPr="005C321B">
              <w:rPr>
                <w:rFonts w:asciiTheme="minorHAnsi" w:hAnsiTheme="minorHAnsi" w:cstheme="minorHAnsi"/>
                <w:color w:val="000000"/>
                <w:sz w:val="22"/>
              </w:rPr>
              <w:t>Indien de onderneming akkoord gaat, is zij de operator en zijn de in het eerste lid beoogde voorwaarden vervuld.</w:t>
            </w:r>
          </w:p>
        </w:tc>
      </w:tr>
      <w:tr w:rsidR="005C321B" w:rsidRPr="00A80C6F" w14:paraId="75C8CF42" w14:textId="77777777" w:rsidTr="0025113D">
        <w:tc>
          <w:tcPr>
            <w:tcW w:w="4508" w:type="dxa"/>
          </w:tcPr>
          <w:p w14:paraId="627BB207" w14:textId="77777777" w:rsidR="005C321B" w:rsidRPr="007471E0" w:rsidRDefault="005C321B" w:rsidP="005C321B">
            <w:pPr>
              <w:rPr>
                <w:rFonts w:asciiTheme="minorHAnsi" w:hAnsiTheme="minorHAnsi" w:cstheme="minorHAnsi"/>
                <w:sz w:val="22"/>
                <w:lang w:eastAsia="fr-FR"/>
              </w:rPr>
            </w:pPr>
          </w:p>
        </w:tc>
        <w:tc>
          <w:tcPr>
            <w:tcW w:w="4508" w:type="dxa"/>
          </w:tcPr>
          <w:p w14:paraId="3E69A417" w14:textId="77777777" w:rsidR="005C321B" w:rsidRPr="00A80C6F" w:rsidRDefault="005C321B" w:rsidP="005C321B">
            <w:pPr>
              <w:rPr>
                <w:rFonts w:asciiTheme="minorHAnsi" w:hAnsiTheme="minorHAnsi" w:cstheme="minorHAnsi"/>
                <w:sz w:val="22"/>
              </w:rPr>
            </w:pPr>
          </w:p>
        </w:tc>
      </w:tr>
      <w:tr w:rsidR="005C321B" w:rsidRPr="00A80C6F" w14:paraId="16AD4172" w14:textId="77777777" w:rsidTr="0025113D">
        <w:tc>
          <w:tcPr>
            <w:tcW w:w="4508" w:type="dxa"/>
          </w:tcPr>
          <w:p w14:paraId="4A17DEC0" w14:textId="01AB0B85" w:rsidR="005C321B" w:rsidRPr="00205E14" w:rsidRDefault="005C321B" w:rsidP="00205E14">
            <w:pPr>
              <w:jc w:val="both"/>
              <w:rPr>
                <w:rFonts w:asciiTheme="minorHAnsi" w:hAnsiTheme="minorHAnsi" w:cstheme="minorHAnsi"/>
                <w:sz w:val="22"/>
                <w:lang w:val="fr-BE" w:eastAsia="fr-FR"/>
              </w:rPr>
            </w:pPr>
            <w:r w:rsidRPr="00205E14">
              <w:rPr>
                <w:rFonts w:asciiTheme="minorHAnsi" w:hAnsiTheme="minorHAnsi" w:cstheme="minorHAnsi"/>
                <w:color w:val="000000"/>
                <w:sz w:val="22"/>
                <w:lang w:val="fr-BE"/>
              </w:rPr>
              <w:t>Pour l’application du présent article, il faut entendre par :</w:t>
            </w:r>
          </w:p>
        </w:tc>
        <w:tc>
          <w:tcPr>
            <w:tcW w:w="4508" w:type="dxa"/>
          </w:tcPr>
          <w:p w14:paraId="10C95421" w14:textId="19E5A01F" w:rsidR="005C321B" w:rsidRPr="00205E14" w:rsidRDefault="005C321B" w:rsidP="00205E14">
            <w:pPr>
              <w:jc w:val="both"/>
              <w:rPr>
                <w:rFonts w:asciiTheme="minorHAnsi" w:hAnsiTheme="minorHAnsi" w:cstheme="minorHAnsi"/>
                <w:sz w:val="22"/>
              </w:rPr>
            </w:pPr>
            <w:r w:rsidRPr="00136EDB">
              <w:rPr>
                <w:rFonts w:asciiTheme="minorHAnsi" w:hAnsiTheme="minorHAnsi" w:cstheme="minorHAnsi"/>
                <w:color w:val="000000" w:themeColor="text1"/>
                <w:sz w:val="22"/>
                <w:lang w:val="fr-BE"/>
              </w:rPr>
              <w:t xml:space="preserve"> </w:t>
            </w:r>
            <w:r w:rsidRPr="00205E14">
              <w:rPr>
                <w:rFonts w:asciiTheme="minorHAnsi" w:hAnsiTheme="minorHAnsi" w:cstheme="minorHAnsi"/>
                <w:color w:val="000000" w:themeColor="text1"/>
                <w:sz w:val="22"/>
              </w:rPr>
              <w:t>Voor de toepassing van dit artikel wordt verstaan onder:</w:t>
            </w:r>
          </w:p>
        </w:tc>
      </w:tr>
      <w:tr w:rsidR="005C321B" w:rsidRPr="00136EDB" w14:paraId="6BD45E4E" w14:textId="77777777" w:rsidTr="0025113D">
        <w:tc>
          <w:tcPr>
            <w:tcW w:w="4508" w:type="dxa"/>
          </w:tcPr>
          <w:p w14:paraId="706D43CF" w14:textId="4D6D017F" w:rsidR="005C321B" w:rsidRPr="00136EDB" w:rsidRDefault="005C321B" w:rsidP="00205E14">
            <w:pPr>
              <w:jc w:val="both"/>
              <w:rPr>
                <w:rFonts w:asciiTheme="minorHAnsi" w:hAnsiTheme="minorHAnsi" w:cstheme="minorHAnsi"/>
                <w:sz w:val="22"/>
                <w:lang w:eastAsia="fr-FR"/>
              </w:rPr>
            </w:pPr>
          </w:p>
        </w:tc>
        <w:tc>
          <w:tcPr>
            <w:tcW w:w="4508" w:type="dxa"/>
          </w:tcPr>
          <w:p w14:paraId="2ACF3FEE" w14:textId="77777777" w:rsidR="005C321B" w:rsidRPr="00136EDB" w:rsidRDefault="005C321B" w:rsidP="00205E14">
            <w:pPr>
              <w:jc w:val="both"/>
              <w:rPr>
                <w:rFonts w:asciiTheme="minorHAnsi" w:hAnsiTheme="minorHAnsi" w:cstheme="minorHAnsi"/>
                <w:sz w:val="22"/>
              </w:rPr>
            </w:pPr>
          </w:p>
        </w:tc>
      </w:tr>
      <w:tr w:rsidR="00205E14" w:rsidRPr="00136EDB" w14:paraId="06DB66ED" w14:textId="77777777" w:rsidTr="0025113D">
        <w:tc>
          <w:tcPr>
            <w:tcW w:w="4508" w:type="dxa"/>
          </w:tcPr>
          <w:p w14:paraId="16BE8F84" w14:textId="7A36ED0D" w:rsidR="00205E14" w:rsidRPr="00136EDB" w:rsidRDefault="00205E14" w:rsidP="00205E14">
            <w:pPr>
              <w:jc w:val="both"/>
              <w:rPr>
                <w:rFonts w:asciiTheme="minorHAnsi" w:hAnsiTheme="minorHAnsi" w:cstheme="minorHAnsi"/>
                <w:sz w:val="22"/>
                <w:lang w:val="fr-BE" w:eastAsia="fr-FR"/>
              </w:rPr>
            </w:pPr>
            <w:r w:rsidRPr="00136EDB">
              <w:rPr>
                <w:rFonts w:asciiTheme="minorHAnsi" w:hAnsiTheme="minorHAnsi" w:cstheme="minorHAnsi"/>
                <w:color w:val="000000" w:themeColor="text1"/>
                <w:sz w:val="22"/>
                <w:lang w:val="fr-BE"/>
              </w:rPr>
              <w:t>1° service de communications électroniques payant : le service de communications électroniques pour lequel un paiement de l’abonné à l’opérateur est nécessaire pour utiliser le service ou continuer à l’utiliser, ainsi que tout service de communications électroniques offert sans surcoût  par l’opérateur à l’abonné conjointement à ce service</w:t>
            </w:r>
            <w:r w:rsidR="00D75783" w:rsidRPr="00136EDB">
              <w:rPr>
                <w:rFonts w:asciiTheme="minorHAnsi" w:hAnsiTheme="minorHAnsi" w:cstheme="minorHAnsi"/>
                <w:color w:val="000000" w:themeColor="text1"/>
                <w:sz w:val="22"/>
                <w:lang w:val="fr-BE"/>
              </w:rPr>
              <w:t xml:space="preserve"> </w:t>
            </w:r>
            <w:r w:rsidRPr="00136EDB">
              <w:rPr>
                <w:rFonts w:asciiTheme="minorHAnsi" w:hAnsiTheme="minorHAnsi" w:cstheme="minorHAnsi"/>
                <w:color w:val="000000" w:themeColor="text1"/>
                <w:sz w:val="22"/>
                <w:lang w:val="fr-BE"/>
              </w:rPr>
              <w:t xml:space="preserve">;  </w:t>
            </w:r>
          </w:p>
        </w:tc>
        <w:tc>
          <w:tcPr>
            <w:tcW w:w="4508" w:type="dxa"/>
          </w:tcPr>
          <w:p w14:paraId="27947F11" w14:textId="375C194A" w:rsidR="00205E14" w:rsidRPr="00136EDB" w:rsidRDefault="00205E14" w:rsidP="00205E14">
            <w:pPr>
              <w:jc w:val="both"/>
              <w:rPr>
                <w:rFonts w:asciiTheme="minorHAnsi" w:hAnsiTheme="minorHAnsi" w:cstheme="minorHAnsi"/>
                <w:sz w:val="22"/>
              </w:rPr>
            </w:pPr>
            <w:r w:rsidRPr="00136EDB">
              <w:rPr>
                <w:rFonts w:asciiTheme="minorHAnsi" w:hAnsiTheme="minorHAnsi" w:cstheme="minorHAnsi"/>
                <w:color w:val="000000" w:themeColor="text1"/>
                <w:sz w:val="22"/>
              </w:rPr>
              <w:t>1° elektronische-communicatiebetaaldienst: een elektronische-communicatiedienst waarbij de abonnee moet betalen aan de operator om de dienst te gebruiken of te blijven gebruiken, evenals elke elektronische-communicatiedienst die samen met deze dienst zonder meerkosten door de operator wordt aangeboden aan de abonnee;</w:t>
            </w:r>
          </w:p>
        </w:tc>
      </w:tr>
      <w:tr w:rsidR="00205E14" w:rsidRPr="00136EDB" w14:paraId="662FD346" w14:textId="77777777" w:rsidTr="0025113D">
        <w:tc>
          <w:tcPr>
            <w:tcW w:w="4508" w:type="dxa"/>
          </w:tcPr>
          <w:p w14:paraId="3D2B7C6C" w14:textId="77777777" w:rsidR="00205E14" w:rsidRPr="00136EDB" w:rsidRDefault="00205E14" w:rsidP="00205E14">
            <w:pPr>
              <w:jc w:val="both"/>
              <w:rPr>
                <w:rFonts w:asciiTheme="minorHAnsi" w:hAnsiTheme="minorHAnsi" w:cstheme="minorHAnsi"/>
                <w:sz w:val="22"/>
                <w:lang w:eastAsia="fr-FR"/>
              </w:rPr>
            </w:pPr>
          </w:p>
        </w:tc>
        <w:tc>
          <w:tcPr>
            <w:tcW w:w="4508" w:type="dxa"/>
          </w:tcPr>
          <w:p w14:paraId="4850FE12" w14:textId="77777777" w:rsidR="00205E14" w:rsidRPr="00136EDB" w:rsidRDefault="00205E14" w:rsidP="00205E14">
            <w:pPr>
              <w:jc w:val="both"/>
              <w:rPr>
                <w:rFonts w:asciiTheme="minorHAnsi" w:hAnsiTheme="minorHAnsi" w:cstheme="minorHAnsi"/>
                <w:sz w:val="22"/>
              </w:rPr>
            </w:pPr>
          </w:p>
        </w:tc>
      </w:tr>
      <w:tr w:rsidR="00205E14" w:rsidRPr="00136EDB" w14:paraId="19DA17AF" w14:textId="77777777" w:rsidTr="0025113D">
        <w:tc>
          <w:tcPr>
            <w:tcW w:w="4508" w:type="dxa"/>
          </w:tcPr>
          <w:p w14:paraId="4AFEE1ED" w14:textId="406023AA" w:rsidR="00205E14" w:rsidRPr="00136EDB" w:rsidRDefault="00205E14" w:rsidP="00205E14">
            <w:pPr>
              <w:jc w:val="both"/>
              <w:rPr>
                <w:rFonts w:asciiTheme="minorHAnsi" w:hAnsiTheme="minorHAnsi" w:cstheme="minorHAnsi"/>
                <w:sz w:val="22"/>
                <w:lang w:val="fr-BE" w:eastAsia="fr-FR"/>
              </w:rPr>
            </w:pPr>
            <w:r w:rsidRPr="00136EDB">
              <w:rPr>
                <w:rFonts w:asciiTheme="minorHAnsi" w:hAnsiTheme="minorHAnsi" w:cstheme="minorHAnsi"/>
                <w:color w:val="000000" w:themeColor="text1"/>
                <w:sz w:val="22"/>
                <w:lang w:val="fr-BE"/>
              </w:rPr>
              <w:t xml:space="preserve">2° service de communications électroniques gratuit : le service de communications électroniques offert par l’opérateur à l’abonné autre que le service de communications électroniques payant ;    </w:t>
            </w:r>
          </w:p>
        </w:tc>
        <w:tc>
          <w:tcPr>
            <w:tcW w:w="4508" w:type="dxa"/>
          </w:tcPr>
          <w:p w14:paraId="2F2E2F52" w14:textId="4344F89D" w:rsidR="00205E14" w:rsidRPr="00136EDB" w:rsidRDefault="00205E14" w:rsidP="00205E14">
            <w:pPr>
              <w:jc w:val="both"/>
              <w:rPr>
                <w:rFonts w:asciiTheme="minorHAnsi" w:hAnsiTheme="minorHAnsi" w:cstheme="minorHAnsi"/>
                <w:sz w:val="22"/>
              </w:rPr>
            </w:pPr>
            <w:r w:rsidRPr="00136EDB">
              <w:rPr>
                <w:rFonts w:asciiTheme="minorHAnsi" w:hAnsiTheme="minorHAnsi" w:cstheme="minorHAnsi"/>
                <w:color w:val="000000" w:themeColor="text1"/>
                <w:sz w:val="22"/>
              </w:rPr>
              <w:t>2° gratis elektronische-communicatiedienst: de elektronische-communicatiedienst aangeboden door de operator aan de abonnee die geen elektronische-communicatiebetaaldienst is;</w:t>
            </w:r>
          </w:p>
        </w:tc>
      </w:tr>
      <w:tr w:rsidR="00205E14" w:rsidRPr="00136EDB" w14:paraId="41F2D3B2" w14:textId="77777777" w:rsidTr="0025113D">
        <w:tc>
          <w:tcPr>
            <w:tcW w:w="4508" w:type="dxa"/>
          </w:tcPr>
          <w:p w14:paraId="12B3B101" w14:textId="77777777" w:rsidR="00205E14" w:rsidRPr="00136EDB" w:rsidRDefault="00205E14" w:rsidP="00205E14">
            <w:pPr>
              <w:jc w:val="both"/>
              <w:rPr>
                <w:rFonts w:asciiTheme="minorHAnsi" w:hAnsiTheme="minorHAnsi" w:cstheme="minorHAnsi"/>
                <w:sz w:val="22"/>
                <w:lang w:eastAsia="fr-FR"/>
              </w:rPr>
            </w:pPr>
          </w:p>
        </w:tc>
        <w:tc>
          <w:tcPr>
            <w:tcW w:w="4508" w:type="dxa"/>
          </w:tcPr>
          <w:p w14:paraId="129A3BBF" w14:textId="77777777" w:rsidR="00205E14" w:rsidRPr="00136EDB" w:rsidRDefault="00205E14" w:rsidP="00205E14">
            <w:pPr>
              <w:jc w:val="both"/>
              <w:rPr>
                <w:rFonts w:asciiTheme="minorHAnsi" w:hAnsiTheme="minorHAnsi" w:cstheme="minorHAnsi"/>
                <w:sz w:val="22"/>
              </w:rPr>
            </w:pPr>
          </w:p>
        </w:tc>
      </w:tr>
      <w:tr w:rsidR="00205E14" w:rsidRPr="00136EDB" w14:paraId="61BFEE69" w14:textId="77777777" w:rsidTr="0025113D">
        <w:tc>
          <w:tcPr>
            <w:tcW w:w="4508" w:type="dxa"/>
          </w:tcPr>
          <w:p w14:paraId="7D793D2C" w14:textId="203101D9" w:rsidR="00205E14" w:rsidRPr="00136EDB" w:rsidRDefault="00205E14" w:rsidP="00205E14">
            <w:pPr>
              <w:jc w:val="both"/>
              <w:rPr>
                <w:rFonts w:asciiTheme="minorHAnsi" w:hAnsiTheme="minorHAnsi" w:cstheme="minorHAnsi"/>
                <w:sz w:val="22"/>
                <w:lang w:val="fr-BE" w:eastAsia="fr-FR"/>
              </w:rPr>
            </w:pPr>
            <w:r w:rsidRPr="00136EDB">
              <w:rPr>
                <w:rFonts w:asciiTheme="minorHAnsi" w:hAnsiTheme="minorHAnsi" w:cstheme="minorHAnsi"/>
                <w:color w:val="000000" w:themeColor="text1"/>
                <w:sz w:val="22"/>
                <w:lang w:val="fr-BE"/>
              </w:rPr>
              <w:t>3° méthode d’identification directe : méthode par laquelle l’</w:t>
            </w:r>
            <w:r w:rsidRPr="00136EDB">
              <w:rPr>
                <w:rFonts w:asciiTheme="minorHAnsi" w:hAnsiTheme="minorHAnsi" w:cstheme="minorHAnsi"/>
                <w:color w:val="000000" w:themeColor="text1"/>
                <w:sz w:val="22"/>
                <w:lang w:val="fr-FR"/>
              </w:rPr>
              <w:t xml:space="preserve">opérateur collecte et conserve </w:t>
            </w:r>
            <w:r w:rsidRPr="00136EDB">
              <w:rPr>
                <w:rFonts w:asciiTheme="minorHAnsi" w:hAnsiTheme="minorHAnsi" w:cstheme="minorHAnsi"/>
                <w:color w:val="000000" w:themeColor="text1"/>
                <w:sz w:val="22"/>
                <w:vertAlign w:val="superscript"/>
                <w:lang w:val="fr-BE"/>
              </w:rPr>
              <w:t xml:space="preserve"> </w:t>
            </w:r>
            <w:r w:rsidRPr="00136EDB">
              <w:rPr>
                <w:rFonts w:asciiTheme="minorHAnsi" w:hAnsiTheme="minorHAnsi" w:cstheme="minorHAnsi"/>
                <w:color w:val="000000" w:themeColor="text1"/>
                <w:sz w:val="22"/>
                <w:lang w:val="fr-FR"/>
              </w:rPr>
              <w:t xml:space="preserve">des données fiables relatives à l’identité civile d’une personne physique qui est son abonné ou qui agit pour le compte de son abonné qui est une personne morale afin de remplir les obligations d’identification de la personne morale et, le cas échéant, une copie du </w:t>
            </w:r>
            <w:r w:rsidR="00075722" w:rsidRPr="00A13F7A">
              <w:rPr>
                <w:rFonts w:asciiTheme="minorHAnsi" w:hAnsiTheme="minorHAnsi" w:cstheme="minorHAnsi"/>
                <w:color w:val="000000" w:themeColor="text1"/>
                <w:sz w:val="22"/>
                <w:lang w:val="fr-FR"/>
              </w:rPr>
              <w:t>document d’identification</w:t>
            </w:r>
            <w:r w:rsidR="0042084E">
              <w:rPr>
                <w:rFonts w:asciiTheme="minorHAnsi" w:hAnsiTheme="minorHAnsi" w:cstheme="minorHAnsi"/>
                <w:color w:val="000000" w:themeColor="text1"/>
                <w:sz w:val="22"/>
                <w:lang w:val="fr-FR"/>
              </w:rPr>
              <w:t xml:space="preserve"> </w:t>
            </w:r>
            <w:r w:rsidRPr="00136EDB">
              <w:rPr>
                <w:rFonts w:asciiTheme="minorHAnsi" w:hAnsiTheme="minorHAnsi" w:cstheme="minorHAnsi"/>
                <w:color w:val="000000" w:themeColor="text1"/>
                <w:sz w:val="22"/>
                <w:lang w:val="fr-FR"/>
              </w:rPr>
              <w:t>de cette personne physique</w:t>
            </w:r>
            <w:r w:rsidR="00D75783" w:rsidRPr="00136EDB">
              <w:rPr>
                <w:rFonts w:asciiTheme="minorHAnsi" w:hAnsiTheme="minorHAnsi" w:cstheme="minorHAnsi"/>
                <w:color w:val="000000" w:themeColor="text1"/>
                <w:sz w:val="22"/>
                <w:lang w:val="fr-FR"/>
              </w:rPr>
              <w:t xml:space="preserve"> </w:t>
            </w:r>
            <w:r w:rsidRPr="00136EDB">
              <w:rPr>
                <w:rFonts w:asciiTheme="minorHAnsi" w:hAnsiTheme="minorHAnsi" w:cstheme="minorHAnsi"/>
                <w:color w:val="000000" w:themeColor="text1"/>
                <w:sz w:val="22"/>
                <w:lang w:val="fr-FR"/>
              </w:rPr>
              <w:t xml:space="preserve">; </w:t>
            </w:r>
          </w:p>
        </w:tc>
        <w:tc>
          <w:tcPr>
            <w:tcW w:w="4508" w:type="dxa"/>
          </w:tcPr>
          <w:p w14:paraId="2F2CB8F2" w14:textId="1320B6F4" w:rsidR="00205E14" w:rsidRPr="00136EDB" w:rsidRDefault="00205E14" w:rsidP="00205E14">
            <w:pPr>
              <w:jc w:val="both"/>
              <w:rPr>
                <w:rFonts w:asciiTheme="minorHAnsi" w:hAnsiTheme="minorHAnsi" w:cstheme="minorHAnsi"/>
                <w:sz w:val="22"/>
              </w:rPr>
            </w:pPr>
            <w:r w:rsidRPr="00136EDB">
              <w:rPr>
                <w:rFonts w:asciiTheme="minorHAnsi" w:hAnsiTheme="minorHAnsi" w:cstheme="minorHAnsi"/>
                <w:color w:val="000000" w:themeColor="text1"/>
                <w:sz w:val="22"/>
              </w:rPr>
              <w:t xml:space="preserve">3° directe identificatiemethode: methode waarbij de operator betrouwbare gegevens verzamelt en bewaart met betrekking tot de burgerlijke identiteit van een natuurlijke persoon die zijn abonnee is of die optreedt voor rekening van zijn abonnee die een rechtspersoon is om de verplichtingen inzake identificatie van de rechtspersoon te vervullen en, in voorkomend geval, een kopie van het </w:t>
            </w:r>
            <w:r w:rsidR="00D608D4">
              <w:rPr>
                <w:rFonts w:asciiTheme="minorHAnsi" w:hAnsiTheme="minorHAnsi" w:cstheme="minorHAnsi"/>
                <w:color w:val="000000" w:themeColor="text1"/>
                <w:sz w:val="22"/>
              </w:rPr>
              <w:t>identificatiedocument</w:t>
            </w:r>
            <w:r w:rsidR="00D608D4" w:rsidRPr="00136EDB">
              <w:rPr>
                <w:rFonts w:asciiTheme="minorHAnsi" w:hAnsiTheme="minorHAnsi" w:cstheme="minorHAnsi"/>
                <w:color w:val="000000" w:themeColor="text1"/>
                <w:sz w:val="22"/>
              </w:rPr>
              <w:t xml:space="preserve"> </w:t>
            </w:r>
            <w:r w:rsidRPr="00136EDB">
              <w:rPr>
                <w:rFonts w:asciiTheme="minorHAnsi" w:hAnsiTheme="minorHAnsi" w:cstheme="minorHAnsi"/>
                <w:color w:val="000000" w:themeColor="text1"/>
                <w:sz w:val="22"/>
              </w:rPr>
              <w:t>van deze natuurlijke persoon;</w:t>
            </w:r>
          </w:p>
        </w:tc>
      </w:tr>
      <w:tr w:rsidR="00205E14" w:rsidRPr="00136EDB" w14:paraId="279497DA" w14:textId="77777777" w:rsidTr="0025113D">
        <w:tc>
          <w:tcPr>
            <w:tcW w:w="4508" w:type="dxa"/>
          </w:tcPr>
          <w:p w14:paraId="0DC81C80" w14:textId="77777777" w:rsidR="00205E14" w:rsidRPr="00136EDB" w:rsidRDefault="00205E14" w:rsidP="00205E14">
            <w:pPr>
              <w:jc w:val="both"/>
              <w:rPr>
                <w:rFonts w:asciiTheme="minorHAnsi" w:hAnsiTheme="minorHAnsi" w:cstheme="minorHAnsi"/>
                <w:sz w:val="22"/>
                <w:lang w:eastAsia="fr-FR"/>
              </w:rPr>
            </w:pPr>
          </w:p>
        </w:tc>
        <w:tc>
          <w:tcPr>
            <w:tcW w:w="4508" w:type="dxa"/>
          </w:tcPr>
          <w:p w14:paraId="50FA261A" w14:textId="77777777" w:rsidR="00205E14" w:rsidRPr="00136EDB" w:rsidRDefault="00205E14" w:rsidP="00205E14">
            <w:pPr>
              <w:jc w:val="both"/>
              <w:rPr>
                <w:rFonts w:asciiTheme="minorHAnsi" w:hAnsiTheme="minorHAnsi" w:cstheme="minorHAnsi"/>
                <w:sz w:val="22"/>
              </w:rPr>
            </w:pPr>
          </w:p>
        </w:tc>
      </w:tr>
      <w:tr w:rsidR="00205E14" w:rsidRPr="00136EDB" w14:paraId="0A953766" w14:textId="77777777" w:rsidTr="0025113D">
        <w:tc>
          <w:tcPr>
            <w:tcW w:w="4508" w:type="dxa"/>
          </w:tcPr>
          <w:p w14:paraId="5AA8329D" w14:textId="675DC7EC" w:rsidR="00205E14" w:rsidRPr="00136EDB" w:rsidRDefault="00205E14" w:rsidP="00205E14">
            <w:pPr>
              <w:jc w:val="both"/>
              <w:rPr>
                <w:rFonts w:asciiTheme="minorHAnsi" w:hAnsiTheme="minorHAnsi" w:cstheme="minorHAnsi"/>
                <w:sz w:val="22"/>
                <w:lang w:val="fr-BE" w:eastAsia="fr-FR"/>
              </w:rPr>
            </w:pPr>
            <w:r w:rsidRPr="00136EDB">
              <w:rPr>
                <w:rFonts w:asciiTheme="minorHAnsi" w:hAnsiTheme="minorHAnsi" w:cstheme="minorHAnsi"/>
                <w:color w:val="000000" w:themeColor="text1"/>
                <w:sz w:val="22"/>
                <w:lang w:val="fr-BE"/>
              </w:rPr>
              <w:t>4° méthode d’identification indirecte : méthode par laquelle l’</w:t>
            </w:r>
            <w:r w:rsidRPr="00136EDB">
              <w:rPr>
                <w:rFonts w:asciiTheme="minorHAnsi" w:hAnsiTheme="minorHAnsi" w:cstheme="minorHAnsi"/>
                <w:color w:val="000000" w:themeColor="text1"/>
                <w:sz w:val="22"/>
                <w:lang w:val="fr-FR"/>
              </w:rPr>
              <w:t>opérateur collecte et conserve des données qui permettent aux autorités visées à l’article 127/1, § 3</w:t>
            </w:r>
            <w:r w:rsidRPr="00136EDB">
              <w:rPr>
                <w:rFonts w:asciiTheme="minorHAnsi" w:hAnsiTheme="minorHAnsi" w:cstheme="minorHAnsi"/>
                <w:color w:val="000000" w:themeColor="text1"/>
                <w:sz w:val="22"/>
                <w:lang w:val="fr-BE"/>
              </w:rPr>
              <w:t>, alinéa 1</w:t>
            </w:r>
            <w:r w:rsidRPr="00136EDB">
              <w:rPr>
                <w:rFonts w:asciiTheme="minorHAnsi" w:hAnsiTheme="minorHAnsi" w:cstheme="minorHAnsi"/>
                <w:color w:val="000000" w:themeColor="text1"/>
                <w:sz w:val="22"/>
                <w:vertAlign w:val="superscript"/>
                <w:lang w:val="fr-BE"/>
              </w:rPr>
              <w:t>er</w:t>
            </w:r>
            <w:r w:rsidRPr="00136EDB">
              <w:rPr>
                <w:rFonts w:asciiTheme="minorHAnsi" w:hAnsiTheme="minorHAnsi" w:cstheme="minorHAnsi"/>
                <w:color w:val="000000" w:themeColor="text1"/>
                <w:sz w:val="22"/>
                <w:lang w:val="fr-FR"/>
              </w:rPr>
              <w:t xml:space="preserve">, d’obtenir d’un tiers l’identité de ses abonnés. </w:t>
            </w:r>
          </w:p>
        </w:tc>
        <w:tc>
          <w:tcPr>
            <w:tcW w:w="4508" w:type="dxa"/>
          </w:tcPr>
          <w:p w14:paraId="01AAA554" w14:textId="13CB9C0D" w:rsidR="00205E14" w:rsidRPr="00136EDB" w:rsidRDefault="00205E14" w:rsidP="00205E14">
            <w:pPr>
              <w:jc w:val="both"/>
              <w:rPr>
                <w:rFonts w:asciiTheme="minorHAnsi" w:hAnsiTheme="minorHAnsi" w:cstheme="minorHAnsi"/>
                <w:sz w:val="22"/>
              </w:rPr>
            </w:pPr>
            <w:r w:rsidRPr="00136EDB">
              <w:rPr>
                <w:rFonts w:asciiTheme="minorHAnsi" w:hAnsiTheme="minorHAnsi" w:cstheme="minorHAnsi"/>
                <w:color w:val="000000" w:themeColor="text1"/>
                <w:sz w:val="22"/>
              </w:rPr>
              <w:t>4° indirecte identificatiemethode: methode waarbij de operator gegevens verzamelt en bewaart aan de hand waarvan de in artikel 127/1, § 3, eerste lid, bedoelde autoriteiten van een derde de identiteit van zijn abonnees kunnen krijgen.</w:t>
            </w:r>
          </w:p>
        </w:tc>
      </w:tr>
      <w:tr w:rsidR="00205E14" w:rsidRPr="00136EDB" w14:paraId="7631001A" w14:textId="77777777" w:rsidTr="0025113D">
        <w:tc>
          <w:tcPr>
            <w:tcW w:w="4508" w:type="dxa"/>
          </w:tcPr>
          <w:p w14:paraId="0DAAE527" w14:textId="77777777" w:rsidR="00205E14" w:rsidRPr="00136EDB" w:rsidRDefault="00205E14" w:rsidP="00205E14">
            <w:pPr>
              <w:jc w:val="both"/>
              <w:rPr>
                <w:rFonts w:asciiTheme="minorHAnsi" w:hAnsiTheme="minorHAnsi" w:cstheme="minorHAnsi"/>
                <w:sz w:val="22"/>
                <w:lang w:eastAsia="fr-FR"/>
              </w:rPr>
            </w:pPr>
          </w:p>
        </w:tc>
        <w:tc>
          <w:tcPr>
            <w:tcW w:w="4508" w:type="dxa"/>
          </w:tcPr>
          <w:p w14:paraId="7025D388" w14:textId="77777777" w:rsidR="00205E14" w:rsidRPr="00136EDB" w:rsidRDefault="00205E14" w:rsidP="00205E14">
            <w:pPr>
              <w:jc w:val="both"/>
              <w:rPr>
                <w:rFonts w:asciiTheme="minorHAnsi" w:hAnsiTheme="minorHAnsi" w:cstheme="minorHAnsi"/>
                <w:sz w:val="22"/>
              </w:rPr>
            </w:pPr>
          </w:p>
        </w:tc>
      </w:tr>
      <w:tr w:rsidR="00205E14" w:rsidRPr="00136EDB" w14:paraId="2E618F6F" w14:textId="77777777" w:rsidTr="0025113D">
        <w:tc>
          <w:tcPr>
            <w:tcW w:w="4508" w:type="dxa"/>
          </w:tcPr>
          <w:p w14:paraId="5D40CC73" w14:textId="6A855DAC" w:rsidR="00205E14" w:rsidRPr="00136EDB" w:rsidRDefault="00205E14" w:rsidP="00205E14">
            <w:pPr>
              <w:jc w:val="both"/>
              <w:rPr>
                <w:rFonts w:asciiTheme="minorHAnsi" w:hAnsiTheme="minorHAnsi" w:cstheme="minorHAnsi"/>
                <w:sz w:val="22"/>
                <w:lang w:val="fr-BE" w:eastAsia="fr-FR"/>
              </w:rPr>
            </w:pPr>
            <w:r w:rsidRPr="00136EDB">
              <w:rPr>
                <w:rFonts w:asciiTheme="minorHAnsi" w:hAnsiTheme="minorHAnsi" w:cstheme="minorHAnsi"/>
                <w:color w:val="000000" w:themeColor="text1"/>
                <w:sz w:val="22"/>
                <w:lang w:val="fr-BE"/>
              </w:rPr>
              <w:t xml:space="preserve">Pour les besoins des autorités visées </w:t>
            </w:r>
            <w:r w:rsidRPr="00136EDB">
              <w:rPr>
                <w:rFonts w:asciiTheme="minorHAnsi" w:hAnsiTheme="minorHAnsi" w:cstheme="minorHAnsi"/>
                <w:color w:val="000000" w:themeColor="text1"/>
                <w:sz w:val="22"/>
                <w:lang w:val="fr-FR"/>
              </w:rPr>
              <w:t>à l’article 127/1, § 3</w:t>
            </w:r>
            <w:r w:rsidRPr="00136EDB">
              <w:rPr>
                <w:rFonts w:asciiTheme="minorHAnsi" w:hAnsiTheme="minorHAnsi" w:cstheme="minorHAnsi"/>
                <w:color w:val="000000" w:themeColor="text1"/>
                <w:sz w:val="22"/>
                <w:lang w:val="fr-BE"/>
              </w:rPr>
              <w:t>, alinéa 1</w:t>
            </w:r>
            <w:r w:rsidRPr="00136EDB">
              <w:rPr>
                <w:rFonts w:asciiTheme="minorHAnsi" w:hAnsiTheme="minorHAnsi" w:cstheme="minorHAnsi"/>
                <w:color w:val="000000" w:themeColor="text1"/>
                <w:sz w:val="22"/>
                <w:vertAlign w:val="superscript"/>
                <w:lang w:val="fr-BE"/>
              </w:rPr>
              <w:t>er</w:t>
            </w:r>
            <w:r w:rsidRPr="00136EDB">
              <w:rPr>
                <w:rFonts w:asciiTheme="minorHAnsi" w:hAnsiTheme="minorHAnsi" w:cstheme="minorHAnsi"/>
                <w:color w:val="000000" w:themeColor="text1"/>
                <w:sz w:val="22"/>
                <w:lang w:val="fr-BE"/>
              </w:rPr>
              <w:t xml:space="preserve"> et lorsqu’il offre en Belgique un service de communications électroniques payant, l’opérateur identifie ses abonnés au moyen d’une méthode d’identification directe ou de la méthode d’identification indirecte visée au paragraphe 9, alinéa 1</w:t>
            </w:r>
            <w:r w:rsidRPr="00136EDB">
              <w:rPr>
                <w:rFonts w:asciiTheme="minorHAnsi" w:hAnsiTheme="minorHAnsi" w:cstheme="minorHAnsi"/>
                <w:color w:val="000000" w:themeColor="text1"/>
                <w:sz w:val="22"/>
                <w:vertAlign w:val="superscript"/>
                <w:lang w:val="fr-BE"/>
              </w:rPr>
              <w:t>er</w:t>
            </w:r>
            <w:r w:rsidRPr="00136EDB">
              <w:rPr>
                <w:rFonts w:asciiTheme="minorHAnsi" w:hAnsiTheme="minorHAnsi" w:cstheme="minorHAnsi"/>
                <w:color w:val="000000" w:themeColor="text1"/>
                <w:sz w:val="22"/>
                <w:lang w:val="fr-BE"/>
              </w:rPr>
              <w:t xml:space="preserve">, 3°, à l’exception des services de communications électroniques suivants pour lesquels l’opérateur peut recourir à </w:t>
            </w:r>
            <w:r w:rsidR="00D22785">
              <w:rPr>
                <w:rFonts w:asciiTheme="minorHAnsi" w:hAnsiTheme="minorHAnsi" w:cstheme="minorHAnsi"/>
                <w:color w:val="000000" w:themeColor="text1"/>
                <w:sz w:val="22"/>
                <w:lang w:val="fr-BE"/>
              </w:rPr>
              <w:t xml:space="preserve">toutes les </w:t>
            </w:r>
            <w:r w:rsidRPr="00136EDB">
              <w:rPr>
                <w:rFonts w:asciiTheme="minorHAnsi" w:hAnsiTheme="minorHAnsi" w:cstheme="minorHAnsi"/>
                <w:color w:val="000000" w:themeColor="text1"/>
                <w:sz w:val="22"/>
                <w:lang w:val="fr-BE"/>
              </w:rPr>
              <w:t xml:space="preserve"> méthode</w:t>
            </w:r>
            <w:r w:rsidR="00D22785">
              <w:rPr>
                <w:rFonts w:asciiTheme="minorHAnsi" w:hAnsiTheme="minorHAnsi" w:cstheme="minorHAnsi"/>
                <w:color w:val="000000" w:themeColor="text1"/>
                <w:sz w:val="22"/>
                <w:lang w:val="fr-BE"/>
              </w:rPr>
              <w:t>s</w:t>
            </w:r>
            <w:r w:rsidRPr="00136EDB">
              <w:rPr>
                <w:rFonts w:asciiTheme="minorHAnsi" w:hAnsiTheme="minorHAnsi" w:cstheme="minorHAnsi"/>
                <w:color w:val="000000" w:themeColor="text1"/>
                <w:sz w:val="22"/>
                <w:lang w:val="fr-BE"/>
              </w:rPr>
              <w:t xml:space="preserve"> d’identification indirecte :  </w:t>
            </w:r>
          </w:p>
        </w:tc>
        <w:tc>
          <w:tcPr>
            <w:tcW w:w="4508" w:type="dxa"/>
          </w:tcPr>
          <w:p w14:paraId="19F02FAC" w14:textId="19678C18" w:rsidR="00205E14" w:rsidRPr="00136EDB" w:rsidRDefault="00205E14" w:rsidP="00205E14">
            <w:pPr>
              <w:jc w:val="both"/>
              <w:rPr>
                <w:rFonts w:asciiTheme="minorHAnsi" w:hAnsiTheme="minorHAnsi" w:cstheme="minorHAnsi"/>
                <w:sz w:val="22"/>
              </w:rPr>
            </w:pPr>
            <w:r w:rsidRPr="00136EDB">
              <w:rPr>
                <w:rFonts w:asciiTheme="minorHAnsi" w:hAnsiTheme="minorHAnsi" w:cstheme="minorHAnsi"/>
                <w:color w:val="000000" w:themeColor="text1"/>
                <w:sz w:val="22"/>
              </w:rPr>
              <w:t xml:space="preserve">Voor de behoeften van de autoriteiten bedoeld in artikel 127/1, § 3, eerste lid en wanneer hij in België een elektronische-communicatiebetaaldienst verstrekt, identificeert de operator zijn abonnees door middel van een directe identificatiemethode of door middel van de indirecte identificatiemethode bedoeld in paragraaf 9, eerste lid, 3°, met uitzondering van de volgende elektronische-communicatiediensten waarvoor de operator een beroep kan doen op </w:t>
            </w:r>
            <w:r w:rsidR="00D22785">
              <w:rPr>
                <w:rFonts w:asciiTheme="minorHAnsi" w:hAnsiTheme="minorHAnsi" w:cstheme="minorHAnsi"/>
                <w:color w:val="000000" w:themeColor="text1"/>
                <w:sz w:val="22"/>
              </w:rPr>
              <w:t>alle</w:t>
            </w:r>
            <w:r w:rsidRPr="00136EDB">
              <w:rPr>
                <w:rFonts w:asciiTheme="minorHAnsi" w:hAnsiTheme="minorHAnsi" w:cstheme="minorHAnsi"/>
                <w:color w:val="000000" w:themeColor="text1"/>
                <w:sz w:val="22"/>
              </w:rPr>
              <w:t xml:space="preserve"> indirecte identificatiemethode</w:t>
            </w:r>
            <w:r w:rsidR="00D22785">
              <w:rPr>
                <w:rFonts w:asciiTheme="minorHAnsi" w:hAnsiTheme="minorHAnsi" w:cstheme="minorHAnsi"/>
                <w:color w:val="000000" w:themeColor="text1"/>
                <w:sz w:val="22"/>
              </w:rPr>
              <w:t>s</w:t>
            </w:r>
            <w:r w:rsidRPr="00136EDB">
              <w:rPr>
                <w:rFonts w:asciiTheme="minorHAnsi" w:hAnsiTheme="minorHAnsi" w:cstheme="minorHAnsi"/>
                <w:color w:val="000000" w:themeColor="text1"/>
                <w:sz w:val="22"/>
              </w:rPr>
              <w:t>:</w:t>
            </w:r>
          </w:p>
        </w:tc>
      </w:tr>
      <w:tr w:rsidR="00205E14" w:rsidRPr="00136EDB" w14:paraId="6822704F" w14:textId="77777777" w:rsidTr="0025113D">
        <w:tc>
          <w:tcPr>
            <w:tcW w:w="4508" w:type="dxa"/>
          </w:tcPr>
          <w:p w14:paraId="17CD8340" w14:textId="77777777" w:rsidR="00205E14" w:rsidRPr="00136EDB" w:rsidRDefault="00205E14" w:rsidP="00205E14">
            <w:pPr>
              <w:jc w:val="both"/>
              <w:rPr>
                <w:rFonts w:asciiTheme="minorHAnsi" w:hAnsiTheme="minorHAnsi" w:cstheme="minorHAnsi"/>
                <w:sz w:val="22"/>
                <w:lang w:eastAsia="fr-FR"/>
              </w:rPr>
            </w:pPr>
          </w:p>
        </w:tc>
        <w:tc>
          <w:tcPr>
            <w:tcW w:w="4508" w:type="dxa"/>
          </w:tcPr>
          <w:p w14:paraId="4230E087" w14:textId="77777777" w:rsidR="00205E14" w:rsidRPr="00136EDB" w:rsidRDefault="00205E14" w:rsidP="00205E14">
            <w:pPr>
              <w:jc w:val="both"/>
              <w:rPr>
                <w:rFonts w:asciiTheme="minorHAnsi" w:hAnsiTheme="minorHAnsi" w:cstheme="minorHAnsi"/>
                <w:sz w:val="22"/>
              </w:rPr>
            </w:pPr>
          </w:p>
        </w:tc>
      </w:tr>
      <w:tr w:rsidR="00205E14" w:rsidRPr="00136EDB" w14:paraId="26563117" w14:textId="77777777" w:rsidTr="0025113D">
        <w:tc>
          <w:tcPr>
            <w:tcW w:w="4508" w:type="dxa"/>
          </w:tcPr>
          <w:p w14:paraId="6F40F7A5" w14:textId="53AE2BD2" w:rsidR="00205E14" w:rsidRPr="00136EDB" w:rsidRDefault="00205E14" w:rsidP="00C1019B">
            <w:pPr>
              <w:jc w:val="both"/>
              <w:rPr>
                <w:rFonts w:asciiTheme="minorHAnsi" w:hAnsiTheme="minorHAnsi" w:cstheme="minorHAnsi"/>
                <w:sz w:val="22"/>
                <w:lang w:val="fr-BE" w:eastAsia="fr-FR"/>
              </w:rPr>
            </w:pPr>
            <w:r w:rsidRPr="00136EDB">
              <w:rPr>
                <w:rFonts w:asciiTheme="minorHAnsi" w:hAnsiTheme="minorHAnsi" w:cstheme="minorHAnsi"/>
                <w:color w:val="000000" w:themeColor="text1"/>
                <w:sz w:val="22"/>
                <w:lang w:val="fr-BE"/>
              </w:rPr>
              <w:t xml:space="preserve">1° les services de communications électroniques utilisés à titre </w:t>
            </w:r>
            <w:r w:rsidR="00BC4E38" w:rsidRPr="00136EDB">
              <w:rPr>
                <w:rFonts w:asciiTheme="minorHAnsi" w:hAnsiTheme="minorHAnsi" w:cstheme="minorHAnsi"/>
                <w:color w:val="000000" w:themeColor="text1"/>
                <w:sz w:val="22"/>
                <w:lang w:val="fr-BE"/>
              </w:rPr>
              <w:t>occasionnel</w:t>
            </w:r>
            <w:r w:rsidRPr="00136EDB">
              <w:rPr>
                <w:rFonts w:asciiTheme="minorHAnsi" w:hAnsiTheme="minorHAnsi" w:cstheme="minorHAnsi"/>
                <w:color w:val="000000" w:themeColor="text1"/>
                <w:sz w:val="22"/>
                <w:lang w:val="fr-BE"/>
              </w:rPr>
              <w:t xml:space="preserve"> par les abonnés, pour </w:t>
            </w:r>
            <w:r w:rsidRPr="00136EDB">
              <w:rPr>
                <w:rFonts w:asciiTheme="minorHAnsi" w:hAnsiTheme="minorHAnsi" w:cstheme="minorHAnsi"/>
                <w:color w:val="000000" w:themeColor="text1"/>
                <w:sz w:val="22"/>
                <w:lang w:val="fr-BE"/>
              </w:rPr>
              <w:lastRenderedPageBreak/>
              <w:t>lesquels une méthode d’identification directe implique des contraintes importantes pour les abonnés et les opérateurs et pour lesquels une méthode d’identification indirecte permet aux autorités légalement habilitées d’identifier l’abonné de manière fiable, à savoir :</w:t>
            </w:r>
          </w:p>
        </w:tc>
        <w:tc>
          <w:tcPr>
            <w:tcW w:w="4508" w:type="dxa"/>
          </w:tcPr>
          <w:p w14:paraId="2A6957B3" w14:textId="1C98A362" w:rsidR="00205E14" w:rsidRPr="00136EDB" w:rsidRDefault="00205E14" w:rsidP="00205E14">
            <w:pPr>
              <w:jc w:val="both"/>
              <w:rPr>
                <w:rFonts w:asciiTheme="minorHAnsi" w:hAnsiTheme="minorHAnsi" w:cstheme="minorHAnsi"/>
                <w:sz w:val="22"/>
              </w:rPr>
            </w:pPr>
            <w:r w:rsidRPr="00136EDB">
              <w:rPr>
                <w:rFonts w:asciiTheme="minorHAnsi" w:hAnsiTheme="minorHAnsi" w:cstheme="minorHAnsi"/>
                <w:color w:val="000000" w:themeColor="text1"/>
                <w:sz w:val="22"/>
              </w:rPr>
              <w:lastRenderedPageBreak/>
              <w:t xml:space="preserve">1° de elektronische-communicatiediensten die occasioneel worden gebruikt door de abonnees, </w:t>
            </w:r>
            <w:r w:rsidRPr="00136EDB">
              <w:rPr>
                <w:rFonts w:asciiTheme="minorHAnsi" w:hAnsiTheme="minorHAnsi" w:cstheme="minorHAnsi"/>
                <w:color w:val="000000" w:themeColor="text1"/>
                <w:sz w:val="22"/>
              </w:rPr>
              <w:lastRenderedPageBreak/>
              <w:t xml:space="preserve">waarvoor een directe identificatiemethode belangrijke </w:t>
            </w:r>
            <w:r w:rsidR="00317374">
              <w:rPr>
                <w:rFonts w:asciiTheme="minorHAnsi" w:hAnsiTheme="minorHAnsi" w:cstheme="minorHAnsi"/>
                <w:color w:val="000000" w:themeColor="text1"/>
                <w:sz w:val="22"/>
              </w:rPr>
              <w:t>lasten met zich meebrengt</w:t>
            </w:r>
            <w:r w:rsidRPr="00136EDB">
              <w:rPr>
                <w:rFonts w:asciiTheme="minorHAnsi" w:hAnsiTheme="minorHAnsi" w:cstheme="minorHAnsi"/>
                <w:color w:val="000000" w:themeColor="text1"/>
                <w:sz w:val="22"/>
              </w:rPr>
              <w:t xml:space="preserve"> voor de abonnees en de operatoren en waarvoor een indirecte identificatiemethode de wettelijk bevoegde autoriteiten in staat stelt om de abonnee op betrouwbare wijze te identificeren, namelijk:</w:t>
            </w:r>
          </w:p>
        </w:tc>
      </w:tr>
      <w:tr w:rsidR="00205E14" w:rsidRPr="00136EDB" w14:paraId="757811F8" w14:textId="77777777" w:rsidTr="0025113D">
        <w:tc>
          <w:tcPr>
            <w:tcW w:w="4508" w:type="dxa"/>
          </w:tcPr>
          <w:p w14:paraId="375CD54C" w14:textId="77777777" w:rsidR="00205E14" w:rsidRPr="00136EDB" w:rsidRDefault="00205E14" w:rsidP="00205E14">
            <w:pPr>
              <w:jc w:val="both"/>
              <w:rPr>
                <w:rFonts w:asciiTheme="minorHAnsi" w:hAnsiTheme="minorHAnsi" w:cstheme="minorHAnsi"/>
                <w:sz w:val="22"/>
                <w:lang w:eastAsia="fr-FR"/>
              </w:rPr>
            </w:pPr>
          </w:p>
        </w:tc>
        <w:tc>
          <w:tcPr>
            <w:tcW w:w="4508" w:type="dxa"/>
          </w:tcPr>
          <w:p w14:paraId="7F6F8CC3" w14:textId="77777777" w:rsidR="00205E14" w:rsidRPr="00136EDB" w:rsidRDefault="00205E14" w:rsidP="00205E14">
            <w:pPr>
              <w:jc w:val="both"/>
              <w:rPr>
                <w:rFonts w:asciiTheme="minorHAnsi" w:hAnsiTheme="minorHAnsi" w:cstheme="minorHAnsi"/>
                <w:sz w:val="22"/>
              </w:rPr>
            </w:pPr>
          </w:p>
        </w:tc>
      </w:tr>
      <w:tr w:rsidR="00205E14" w:rsidRPr="00136EDB" w14:paraId="5DA88BB4" w14:textId="77777777" w:rsidTr="0025113D">
        <w:tc>
          <w:tcPr>
            <w:tcW w:w="4508" w:type="dxa"/>
          </w:tcPr>
          <w:p w14:paraId="235E1828" w14:textId="5BD3F89F" w:rsidR="00205E14" w:rsidRPr="00136EDB" w:rsidRDefault="00205E14" w:rsidP="00D75783">
            <w:pPr>
              <w:pStyle w:val="Lijstalinea"/>
              <w:numPr>
                <w:ilvl w:val="0"/>
                <w:numId w:val="4"/>
              </w:numPr>
              <w:spacing w:before="0"/>
              <w:rPr>
                <w:rFonts w:asciiTheme="minorHAnsi" w:hAnsiTheme="minorHAnsi" w:cstheme="minorHAnsi"/>
                <w:lang w:val="fr-BE" w:eastAsia="fr-FR"/>
              </w:rPr>
            </w:pPr>
            <w:r w:rsidRPr="00136EDB">
              <w:rPr>
                <w:rFonts w:asciiTheme="minorHAnsi" w:hAnsiTheme="minorHAnsi" w:cstheme="minorHAnsi"/>
                <w:color w:val="000000" w:themeColor="text1"/>
                <w:lang w:val="fr-BE"/>
              </w:rPr>
              <w:t xml:space="preserve">les services fixes d’accès à internet utilisés à titre </w:t>
            </w:r>
            <w:r w:rsidR="00BC4E38" w:rsidRPr="00136EDB">
              <w:rPr>
                <w:rFonts w:asciiTheme="minorHAnsi" w:hAnsiTheme="minorHAnsi" w:cstheme="minorHAnsi"/>
                <w:color w:val="000000" w:themeColor="text1"/>
                <w:lang w:val="fr-BE"/>
              </w:rPr>
              <w:t>occasionnel</w:t>
            </w:r>
            <w:r w:rsidRPr="00136EDB">
              <w:rPr>
                <w:rFonts w:asciiTheme="minorHAnsi" w:hAnsiTheme="minorHAnsi" w:cstheme="minorHAnsi"/>
                <w:color w:val="000000" w:themeColor="text1"/>
                <w:lang w:val="fr-BE"/>
              </w:rPr>
              <w:t xml:space="preserve"> par des personnes physiques en dehors de leur lieu de résidence et du  lieu où elles exercent une activité professionnelle ; </w:t>
            </w:r>
          </w:p>
        </w:tc>
        <w:tc>
          <w:tcPr>
            <w:tcW w:w="4508" w:type="dxa"/>
          </w:tcPr>
          <w:p w14:paraId="6BD175FE" w14:textId="15C3487A" w:rsidR="00205E14" w:rsidRPr="00136EDB" w:rsidRDefault="00205E14" w:rsidP="00D75783">
            <w:pPr>
              <w:pStyle w:val="Lijstalinea"/>
              <w:numPr>
                <w:ilvl w:val="0"/>
                <w:numId w:val="4"/>
              </w:numPr>
              <w:spacing w:before="0"/>
              <w:rPr>
                <w:rFonts w:asciiTheme="minorHAnsi" w:hAnsiTheme="minorHAnsi" w:cstheme="minorHAnsi"/>
                <w:lang w:val="nl-BE"/>
              </w:rPr>
            </w:pPr>
            <w:r w:rsidRPr="00136EDB">
              <w:rPr>
                <w:rFonts w:asciiTheme="minorHAnsi" w:hAnsiTheme="minorHAnsi" w:cstheme="minorHAnsi"/>
                <w:color w:val="000000" w:themeColor="text1"/>
                <w:lang w:val="nl-BE"/>
              </w:rPr>
              <w:t xml:space="preserve">de vaste internettoegangsdiensten die occasioneel worden gebruikt door natuurlijke personen buiten hun verblijfplaats </w:t>
            </w:r>
            <w:r w:rsidR="00305664">
              <w:rPr>
                <w:rFonts w:asciiTheme="minorHAnsi" w:hAnsiTheme="minorHAnsi" w:cstheme="minorHAnsi"/>
                <w:color w:val="000000" w:themeColor="text1"/>
                <w:lang w:val="nl-BE"/>
              </w:rPr>
              <w:t xml:space="preserve">en de plaats </w:t>
            </w:r>
            <w:r w:rsidRPr="00136EDB">
              <w:rPr>
                <w:rFonts w:asciiTheme="minorHAnsi" w:hAnsiTheme="minorHAnsi" w:cstheme="minorHAnsi"/>
                <w:color w:val="000000" w:themeColor="text1"/>
                <w:lang w:val="nl-BE"/>
              </w:rPr>
              <w:t>waar ze een beroepsactiviteit uitoefenen;</w:t>
            </w:r>
          </w:p>
        </w:tc>
      </w:tr>
      <w:tr w:rsidR="00205E14" w:rsidRPr="00136EDB" w14:paraId="7EABC9E3" w14:textId="77777777" w:rsidTr="0025113D">
        <w:tc>
          <w:tcPr>
            <w:tcW w:w="4508" w:type="dxa"/>
          </w:tcPr>
          <w:p w14:paraId="5A461726" w14:textId="77777777" w:rsidR="00205E14" w:rsidRPr="00136EDB" w:rsidRDefault="00205E14" w:rsidP="00D75783">
            <w:pPr>
              <w:jc w:val="both"/>
              <w:rPr>
                <w:rFonts w:asciiTheme="minorHAnsi" w:hAnsiTheme="minorHAnsi" w:cstheme="minorHAnsi"/>
                <w:sz w:val="22"/>
                <w:lang w:eastAsia="fr-FR"/>
              </w:rPr>
            </w:pPr>
          </w:p>
        </w:tc>
        <w:tc>
          <w:tcPr>
            <w:tcW w:w="4508" w:type="dxa"/>
          </w:tcPr>
          <w:p w14:paraId="4DF3024B" w14:textId="77777777" w:rsidR="00205E14" w:rsidRPr="00136EDB" w:rsidRDefault="00205E14" w:rsidP="00D75783">
            <w:pPr>
              <w:jc w:val="both"/>
              <w:rPr>
                <w:rFonts w:asciiTheme="minorHAnsi" w:hAnsiTheme="minorHAnsi" w:cstheme="minorHAnsi"/>
                <w:sz w:val="22"/>
              </w:rPr>
            </w:pPr>
          </w:p>
        </w:tc>
      </w:tr>
      <w:tr w:rsidR="00205E14" w:rsidRPr="00136EDB" w14:paraId="632C37C2" w14:textId="77777777" w:rsidTr="0025113D">
        <w:tc>
          <w:tcPr>
            <w:tcW w:w="4508" w:type="dxa"/>
          </w:tcPr>
          <w:p w14:paraId="2B6B2D4F" w14:textId="086299DB" w:rsidR="00205E14" w:rsidRPr="00136EDB" w:rsidRDefault="00205E14" w:rsidP="00D75783">
            <w:pPr>
              <w:pStyle w:val="Lijstalinea"/>
              <w:numPr>
                <w:ilvl w:val="0"/>
                <w:numId w:val="4"/>
              </w:numPr>
              <w:spacing w:before="0"/>
              <w:rPr>
                <w:rFonts w:asciiTheme="minorHAnsi" w:hAnsiTheme="minorHAnsi" w:cstheme="minorHAnsi"/>
                <w:lang w:val="fr-BE" w:eastAsia="fr-FR"/>
              </w:rPr>
            </w:pPr>
            <w:r w:rsidRPr="00136EDB">
              <w:rPr>
                <w:rFonts w:asciiTheme="minorHAnsi" w:hAnsiTheme="minorHAnsi" w:cstheme="minorHAnsi"/>
                <w:color w:val="000000" w:themeColor="text1"/>
                <w:lang w:val="fr-BE"/>
              </w:rPr>
              <w:t>les autres services déterminés par le Roi</w:t>
            </w:r>
            <w:r w:rsidR="00A13922" w:rsidRPr="00136EDB">
              <w:rPr>
                <w:rFonts w:asciiTheme="minorHAnsi" w:hAnsiTheme="minorHAnsi" w:cstheme="minorHAnsi"/>
                <w:color w:val="000000" w:themeColor="text1"/>
                <w:lang w:val="fr-BE"/>
              </w:rPr>
              <w:t>.</w:t>
            </w:r>
          </w:p>
        </w:tc>
        <w:tc>
          <w:tcPr>
            <w:tcW w:w="4508" w:type="dxa"/>
          </w:tcPr>
          <w:p w14:paraId="49B5EC04" w14:textId="49B50D99" w:rsidR="00205E14" w:rsidRPr="00136EDB" w:rsidRDefault="00205E14" w:rsidP="00D75783">
            <w:pPr>
              <w:pStyle w:val="Lijstalinea"/>
              <w:numPr>
                <w:ilvl w:val="0"/>
                <w:numId w:val="4"/>
              </w:numPr>
              <w:spacing w:before="0"/>
              <w:rPr>
                <w:rFonts w:asciiTheme="minorHAnsi" w:hAnsiTheme="minorHAnsi" w:cstheme="minorHAnsi"/>
                <w:lang w:val="nl-BE"/>
              </w:rPr>
            </w:pPr>
            <w:r w:rsidRPr="00136EDB">
              <w:rPr>
                <w:rFonts w:asciiTheme="minorHAnsi" w:hAnsiTheme="minorHAnsi" w:cstheme="minorHAnsi"/>
                <w:color w:val="000000" w:themeColor="text1"/>
                <w:lang w:val="nl-BE"/>
              </w:rPr>
              <w:t>de andere diensten bepaald door de Koning</w:t>
            </w:r>
            <w:r w:rsidR="00A13922" w:rsidRPr="00136EDB">
              <w:rPr>
                <w:rFonts w:asciiTheme="minorHAnsi" w:hAnsiTheme="minorHAnsi" w:cstheme="minorHAnsi"/>
                <w:color w:val="000000" w:themeColor="text1"/>
                <w:lang w:val="nl-BE"/>
              </w:rPr>
              <w:t>.</w:t>
            </w:r>
          </w:p>
        </w:tc>
      </w:tr>
      <w:tr w:rsidR="00205E14" w:rsidRPr="00136EDB" w14:paraId="451C59DE" w14:textId="77777777" w:rsidTr="0025113D">
        <w:tc>
          <w:tcPr>
            <w:tcW w:w="4508" w:type="dxa"/>
          </w:tcPr>
          <w:p w14:paraId="3E7D26FA" w14:textId="77777777" w:rsidR="00205E14" w:rsidRPr="00136EDB" w:rsidRDefault="00205E14" w:rsidP="00205E14">
            <w:pPr>
              <w:jc w:val="both"/>
              <w:rPr>
                <w:rFonts w:asciiTheme="minorHAnsi" w:hAnsiTheme="minorHAnsi" w:cstheme="minorHAnsi"/>
                <w:sz w:val="22"/>
                <w:lang w:eastAsia="fr-FR"/>
              </w:rPr>
            </w:pPr>
          </w:p>
        </w:tc>
        <w:tc>
          <w:tcPr>
            <w:tcW w:w="4508" w:type="dxa"/>
          </w:tcPr>
          <w:p w14:paraId="624D289F" w14:textId="77777777" w:rsidR="00205E14" w:rsidRPr="00136EDB" w:rsidRDefault="00205E14" w:rsidP="00205E14">
            <w:pPr>
              <w:jc w:val="both"/>
              <w:rPr>
                <w:rFonts w:asciiTheme="minorHAnsi" w:hAnsiTheme="minorHAnsi" w:cstheme="minorHAnsi"/>
                <w:sz w:val="22"/>
              </w:rPr>
            </w:pPr>
          </w:p>
        </w:tc>
      </w:tr>
      <w:tr w:rsidR="00205E14" w:rsidRPr="00136EDB" w14:paraId="681F952E" w14:textId="77777777" w:rsidTr="0025113D">
        <w:tc>
          <w:tcPr>
            <w:tcW w:w="4508" w:type="dxa"/>
          </w:tcPr>
          <w:p w14:paraId="5BD039D2" w14:textId="5018CC2E" w:rsidR="00205E14" w:rsidRPr="00136EDB" w:rsidRDefault="00205E14" w:rsidP="00205E14">
            <w:pPr>
              <w:jc w:val="both"/>
              <w:rPr>
                <w:rFonts w:asciiTheme="minorHAnsi" w:hAnsiTheme="minorHAnsi" w:cstheme="minorHAnsi"/>
                <w:sz w:val="22"/>
                <w:lang w:val="fr-BE" w:eastAsia="fr-FR"/>
              </w:rPr>
            </w:pPr>
            <w:r w:rsidRPr="00136EDB">
              <w:rPr>
                <w:rFonts w:asciiTheme="minorHAnsi" w:hAnsiTheme="minorHAnsi" w:cstheme="minorHAnsi"/>
                <w:color w:val="000000" w:themeColor="text1"/>
                <w:sz w:val="22"/>
                <w:lang w:val="fr-BE"/>
              </w:rPr>
              <w:t xml:space="preserve">2° les services de communications électroniques mobiles fournis au moyen d'une carte prépayée à des personnes qui résident dans des centres fermés ou des  lieux d’hébergement au sens des articles 74/8 et 74/9 de la loi du </w:t>
            </w:r>
            <w:r w:rsidRPr="00136EDB">
              <w:rPr>
                <w:rFonts w:asciiTheme="minorHAnsi" w:hAnsiTheme="minorHAnsi" w:cstheme="minorHAnsi"/>
                <w:color w:val="000000"/>
                <w:sz w:val="22"/>
                <w:lang w:val="fr-BE"/>
              </w:rPr>
              <w:t>15 décembre 1980 sur l'accès au territoire, le séjour, l'établissement et l'éloignement des étrangers</w:t>
            </w:r>
            <w:r w:rsidRPr="00136EDB">
              <w:rPr>
                <w:rFonts w:asciiTheme="minorHAnsi" w:hAnsiTheme="minorHAnsi" w:cstheme="minorHAnsi"/>
                <w:color w:val="000000" w:themeColor="text1"/>
                <w:sz w:val="22"/>
                <w:lang w:val="fr-BE"/>
              </w:rPr>
              <w:t>,  lorsque l’opérateur met en œuvre la méthode d’identification indirecte visée au paragraphe 9, alinéa 1</w:t>
            </w:r>
            <w:r w:rsidRPr="00136EDB">
              <w:rPr>
                <w:rFonts w:asciiTheme="minorHAnsi" w:hAnsiTheme="minorHAnsi" w:cstheme="minorHAnsi"/>
                <w:color w:val="000000" w:themeColor="text1"/>
                <w:sz w:val="22"/>
                <w:vertAlign w:val="superscript"/>
                <w:lang w:val="fr-BE"/>
              </w:rPr>
              <w:t>er</w:t>
            </w:r>
            <w:r w:rsidRPr="00136EDB">
              <w:rPr>
                <w:rFonts w:asciiTheme="minorHAnsi" w:hAnsiTheme="minorHAnsi" w:cstheme="minorHAnsi"/>
                <w:color w:val="000000" w:themeColor="text1"/>
                <w:sz w:val="22"/>
                <w:lang w:val="fr-BE"/>
              </w:rPr>
              <w:t xml:space="preserve">, 4°;  </w:t>
            </w:r>
          </w:p>
        </w:tc>
        <w:tc>
          <w:tcPr>
            <w:tcW w:w="4508" w:type="dxa"/>
          </w:tcPr>
          <w:p w14:paraId="5E4715E3" w14:textId="26C0A279" w:rsidR="00205E14" w:rsidRPr="00136EDB" w:rsidRDefault="00205E14" w:rsidP="00205E14">
            <w:pPr>
              <w:jc w:val="both"/>
              <w:rPr>
                <w:rFonts w:asciiTheme="minorHAnsi" w:hAnsiTheme="minorHAnsi" w:cstheme="minorHAnsi"/>
                <w:sz w:val="22"/>
              </w:rPr>
            </w:pPr>
            <w:r w:rsidRPr="00136EDB">
              <w:rPr>
                <w:rFonts w:asciiTheme="minorHAnsi" w:hAnsiTheme="minorHAnsi" w:cstheme="minorHAnsi"/>
                <w:color w:val="000000" w:themeColor="text1"/>
                <w:sz w:val="22"/>
              </w:rPr>
              <w:t xml:space="preserve">2° de mobiele elektronische-communicatiediensten verstrekt door middel van een </w:t>
            </w:r>
            <w:proofErr w:type="spellStart"/>
            <w:r w:rsidRPr="00136EDB">
              <w:rPr>
                <w:rFonts w:asciiTheme="minorHAnsi" w:hAnsiTheme="minorHAnsi" w:cstheme="minorHAnsi"/>
                <w:color w:val="000000" w:themeColor="text1"/>
                <w:sz w:val="22"/>
              </w:rPr>
              <w:t>voorafbetaalde</w:t>
            </w:r>
            <w:proofErr w:type="spellEnd"/>
            <w:r w:rsidRPr="00136EDB">
              <w:rPr>
                <w:rFonts w:asciiTheme="minorHAnsi" w:hAnsiTheme="minorHAnsi" w:cstheme="minorHAnsi"/>
                <w:color w:val="000000" w:themeColor="text1"/>
                <w:sz w:val="22"/>
              </w:rPr>
              <w:t xml:space="preserve"> kaart aan personen die in gesloten centra of woonunits verblijven in de zin van de artikelen 74/8 en 74/9 van de wet van 15 december 1980 betreffende de toegang tot het grondgebied, het verblijf, de vestiging en de verwijdering van vreemdelingen, wanneer de operator de indirecte identificatiemethode zoals bedoeld in paragraaf 9, eerste lid, 4°</w:t>
            </w:r>
            <w:r w:rsidR="00305664">
              <w:rPr>
                <w:rFonts w:asciiTheme="minorHAnsi" w:hAnsiTheme="minorHAnsi" w:cstheme="minorHAnsi"/>
                <w:color w:val="000000" w:themeColor="text1"/>
                <w:sz w:val="22"/>
              </w:rPr>
              <w:t xml:space="preserve"> hanteert</w:t>
            </w:r>
            <w:r w:rsidRPr="00136EDB">
              <w:rPr>
                <w:rFonts w:asciiTheme="minorHAnsi" w:hAnsiTheme="minorHAnsi" w:cstheme="minorHAnsi"/>
                <w:color w:val="000000" w:themeColor="text1"/>
                <w:sz w:val="22"/>
              </w:rPr>
              <w:t>;</w:t>
            </w:r>
            <w:r w:rsidRPr="00136EDB" w:rsidDel="000A0066">
              <w:rPr>
                <w:rFonts w:asciiTheme="minorHAnsi" w:hAnsiTheme="minorHAnsi" w:cstheme="minorHAnsi"/>
                <w:color w:val="000000" w:themeColor="text1"/>
                <w:sz w:val="22"/>
              </w:rPr>
              <w:t xml:space="preserve"> </w:t>
            </w:r>
          </w:p>
        </w:tc>
      </w:tr>
      <w:tr w:rsidR="00205E14" w:rsidRPr="00136EDB" w14:paraId="4DAA68E5" w14:textId="77777777" w:rsidTr="0025113D">
        <w:tc>
          <w:tcPr>
            <w:tcW w:w="4508" w:type="dxa"/>
          </w:tcPr>
          <w:p w14:paraId="52952355" w14:textId="77777777" w:rsidR="00205E14" w:rsidRPr="00136EDB" w:rsidRDefault="00205E14" w:rsidP="00205E14">
            <w:pPr>
              <w:jc w:val="both"/>
              <w:rPr>
                <w:rFonts w:asciiTheme="minorHAnsi" w:hAnsiTheme="minorHAnsi" w:cstheme="minorHAnsi"/>
                <w:sz w:val="22"/>
                <w:lang w:eastAsia="fr-FR"/>
              </w:rPr>
            </w:pPr>
          </w:p>
        </w:tc>
        <w:tc>
          <w:tcPr>
            <w:tcW w:w="4508" w:type="dxa"/>
          </w:tcPr>
          <w:p w14:paraId="3E794720" w14:textId="77777777" w:rsidR="00205E14" w:rsidRPr="00136EDB" w:rsidRDefault="00205E14" w:rsidP="00205E14">
            <w:pPr>
              <w:jc w:val="both"/>
              <w:rPr>
                <w:rFonts w:asciiTheme="minorHAnsi" w:hAnsiTheme="minorHAnsi" w:cstheme="minorHAnsi"/>
                <w:sz w:val="22"/>
              </w:rPr>
            </w:pPr>
          </w:p>
        </w:tc>
      </w:tr>
      <w:tr w:rsidR="00205E14" w:rsidRPr="00136EDB" w14:paraId="064711C7" w14:textId="77777777" w:rsidTr="0025113D">
        <w:tc>
          <w:tcPr>
            <w:tcW w:w="4508" w:type="dxa"/>
          </w:tcPr>
          <w:p w14:paraId="7B57C171" w14:textId="2DD5B989" w:rsidR="00205E14" w:rsidRPr="00136EDB" w:rsidRDefault="00205E14" w:rsidP="00205E14">
            <w:pPr>
              <w:jc w:val="both"/>
              <w:rPr>
                <w:rFonts w:asciiTheme="minorHAnsi" w:hAnsiTheme="minorHAnsi" w:cstheme="minorHAnsi"/>
                <w:sz w:val="22"/>
                <w:lang w:val="fr-BE" w:eastAsia="fr-FR"/>
              </w:rPr>
            </w:pPr>
            <w:r w:rsidRPr="00136EDB">
              <w:rPr>
                <w:rFonts w:asciiTheme="minorHAnsi" w:hAnsiTheme="minorHAnsi" w:cstheme="minorHAnsi"/>
                <w:color w:val="000000" w:themeColor="text1"/>
                <w:sz w:val="22"/>
                <w:lang w:val="fr-BE"/>
              </w:rPr>
              <w:t>3° les services de communications électroniques déterminés par le Roi,  fournis à des personnes qui ne disposent d’aucun des documents d’identité visés au paragraphe 5, alinéa 2.</w:t>
            </w:r>
          </w:p>
        </w:tc>
        <w:tc>
          <w:tcPr>
            <w:tcW w:w="4508" w:type="dxa"/>
          </w:tcPr>
          <w:p w14:paraId="70A50894" w14:textId="579D6F7B" w:rsidR="00205E14" w:rsidRPr="00136EDB" w:rsidRDefault="00205E14" w:rsidP="00205E14">
            <w:pPr>
              <w:jc w:val="both"/>
              <w:rPr>
                <w:rFonts w:asciiTheme="minorHAnsi" w:hAnsiTheme="minorHAnsi" w:cstheme="minorHAnsi"/>
                <w:sz w:val="22"/>
              </w:rPr>
            </w:pPr>
            <w:r w:rsidRPr="00136EDB">
              <w:rPr>
                <w:rFonts w:asciiTheme="minorHAnsi" w:hAnsiTheme="minorHAnsi" w:cstheme="minorHAnsi"/>
                <w:color w:val="000000" w:themeColor="text1"/>
                <w:sz w:val="22"/>
              </w:rPr>
              <w:t>3° de elektronische-communicatiediensten bepaald door de Koning, verstrekt aan personen die niet over een in paragraaf 5, tweede lid, bedoeld identiteitsstuk beschikken.</w:t>
            </w:r>
          </w:p>
        </w:tc>
      </w:tr>
      <w:tr w:rsidR="00205E14" w:rsidRPr="00205E14" w14:paraId="54AC7423" w14:textId="77777777" w:rsidTr="0025113D">
        <w:tc>
          <w:tcPr>
            <w:tcW w:w="4508" w:type="dxa"/>
          </w:tcPr>
          <w:p w14:paraId="6FB74820" w14:textId="77777777" w:rsidR="00205E14" w:rsidRPr="00205E14" w:rsidRDefault="00205E14" w:rsidP="00205E14">
            <w:pPr>
              <w:jc w:val="both"/>
              <w:rPr>
                <w:rFonts w:asciiTheme="minorHAnsi" w:hAnsiTheme="minorHAnsi" w:cstheme="minorHAnsi"/>
                <w:sz w:val="22"/>
                <w:lang w:eastAsia="fr-FR"/>
              </w:rPr>
            </w:pPr>
          </w:p>
        </w:tc>
        <w:tc>
          <w:tcPr>
            <w:tcW w:w="4508" w:type="dxa"/>
          </w:tcPr>
          <w:p w14:paraId="6556F972" w14:textId="77777777" w:rsidR="00205E14" w:rsidRPr="00205E14" w:rsidRDefault="00205E14" w:rsidP="00205E14">
            <w:pPr>
              <w:jc w:val="both"/>
              <w:rPr>
                <w:rFonts w:asciiTheme="minorHAnsi" w:hAnsiTheme="minorHAnsi" w:cstheme="minorHAnsi"/>
                <w:sz w:val="22"/>
              </w:rPr>
            </w:pPr>
          </w:p>
        </w:tc>
      </w:tr>
      <w:tr w:rsidR="00205E14" w:rsidRPr="00205E14" w14:paraId="62BB331B" w14:textId="77777777" w:rsidTr="0025113D">
        <w:tc>
          <w:tcPr>
            <w:tcW w:w="4508" w:type="dxa"/>
          </w:tcPr>
          <w:p w14:paraId="14A363EF" w14:textId="34EB2BE3" w:rsidR="00205E14" w:rsidRPr="00205E14" w:rsidRDefault="00205E14" w:rsidP="00205E14">
            <w:pPr>
              <w:jc w:val="both"/>
              <w:rPr>
                <w:rFonts w:asciiTheme="minorHAnsi" w:hAnsiTheme="minorHAnsi" w:cstheme="minorHAnsi"/>
                <w:sz w:val="22"/>
                <w:lang w:val="fr-BE" w:eastAsia="fr-FR"/>
              </w:rPr>
            </w:pPr>
            <w:bookmarkStart w:id="5" w:name="_Hlk88821519"/>
            <w:r w:rsidRPr="00205E14">
              <w:rPr>
                <w:rFonts w:asciiTheme="minorHAnsi" w:hAnsiTheme="minorHAnsi" w:cstheme="minorHAnsi"/>
                <w:color w:val="000000" w:themeColor="text1"/>
                <w:sz w:val="22"/>
                <w:lang w:val="fr-BE"/>
              </w:rPr>
              <w:t>Lorsqu’un opérateur fournit en Belgique aux abonnés un service de communications électroniques gratuit, il met en œuvre une méthode d’identification indirecte visée au paragraphe 9.</w:t>
            </w:r>
            <w:bookmarkEnd w:id="5"/>
          </w:p>
        </w:tc>
        <w:tc>
          <w:tcPr>
            <w:tcW w:w="4508" w:type="dxa"/>
          </w:tcPr>
          <w:p w14:paraId="5B3D88F0" w14:textId="3CFF6314" w:rsidR="00205E14" w:rsidRPr="00205E14" w:rsidRDefault="00205E14" w:rsidP="00205E14">
            <w:pPr>
              <w:jc w:val="both"/>
              <w:rPr>
                <w:rFonts w:asciiTheme="minorHAnsi" w:hAnsiTheme="minorHAnsi" w:cstheme="minorHAnsi"/>
                <w:sz w:val="22"/>
              </w:rPr>
            </w:pPr>
            <w:r w:rsidRPr="00205E14">
              <w:rPr>
                <w:rFonts w:asciiTheme="minorHAnsi" w:hAnsiTheme="minorHAnsi" w:cstheme="minorHAnsi"/>
                <w:color w:val="000000" w:themeColor="text1"/>
                <w:sz w:val="22"/>
              </w:rPr>
              <w:t>Wanneer een operator in België aan de abonnees een gratis elektronische-communicatiedienst verstrekt, hanteert hij een indirecte identificatiemethode zoals bedoeld in paragraaf 9.</w:t>
            </w:r>
          </w:p>
        </w:tc>
      </w:tr>
      <w:tr w:rsidR="00205E14" w:rsidRPr="00205E14" w14:paraId="74C43EE0" w14:textId="77777777" w:rsidTr="0025113D">
        <w:tc>
          <w:tcPr>
            <w:tcW w:w="4508" w:type="dxa"/>
          </w:tcPr>
          <w:p w14:paraId="589B10B8" w14:textId="77777777" w:rsidR="00205E14" w:rsidRPr="00205E14" w:rsidRDefault="00205E14" w:rsidP="00205E14">
            <w:pPr>
              <w:jc w:val="both"/>
              <w:rPr>
                <w:rFonts w:asciiTheme="minorHAnsi" w:hAnsiTheme="minorHAnsi" w:cstheme="minorHAnsi"/>
                <w:sz w:val="22"/>
                <w:lang w:eastAsia="fr-FR"/>
              </w:rPr>
            </w:pPr>
          </w:p>
        </w:tc>
        <w:tc>
          <w:tcPr>
            <w:tcW w:w="4508" w:type="dxa"/>
          </w:tcPr>
          <w:p w14:paraId="4FDD3843" w14:textId="77777777" w:rsidR="00205E14" w:rsidRPr="00205E14" w:rsidRDefault="00205E14" w:rsidP="00205E14">
            <w:pPr>
              <w:jc w:val="both"/>
              <w:rPr>
                <w:rFonts w:asciiTheme="minorHAnsi" w:hAnsiTheme="minorHAnsi" w:cstheme="minorHAnsi"/>
                <w:sz w:val="22"/>
              </w:rPr>
            </w:pPr>
          </w:p>
        </w:tc>
      </w:tr>
      <w:tr w:rsidR="002C3924" w:rsidRPr="00205E14" w14:paraId="5D777CA0" w14:textId="77777777" w:rsidTr="0025113D">
        <w:tc>
          <w:tcPr>
            <w:tcW w:w="4508" w:type="dxa"/>
          </w:tcPr>
          <w:p w14:paraId="25B15F8B" w14:textId="0DA7D0F0" w:rsidR="002C3924" w:rsidRPr="002C3924" w:rsidRDefault="002C3924" w:rsidP="002C3924">
            <w:pPr>
              <w:jc w:val="both"/>
              <w:rPr>
                <w:rFonts w:asciiTheme="minorHAnsi" w:hAnsiTheme="minorHAnsi" w:cstheme="minorHAnsi"/>
                <w:sz w:val="22"/>
                <w:lang w:val="fr-BE" w:eastAsia="fr-FR"/>
              </w:rPr>
            </w:pPr>
            <w:r w:rsidRPr="002C3924">
              <w:rPr>
                <w:rFonts w:asciiTheme="minorHAnsi" w:hAnsiTheme="minorHAnsi" w:cstheme="minorHAnsi"/>
                <w:b/>
                <w:bCs/>
                <w:color w:val="000000"/>
                <w:sz w:val="22"/>
                <w:lang w:val="fr-BE"/>
              </w:rPr>
              <w:t>§ 3.</w:t>
            </w:r>
            <w:r w:rsidRPr="002C3924">
              <w:rPr>
                <w:rFonts w:asciiTheme="minorHAnsi" w:hAnsiTheme="minorHAnsi" w:cstheme="minorHAnsi"/>
                <w:color w:val="000000"/>
                <w:sz w:val="22"/>
                <w:lang w:val="fr-BE"/>
              </w:rPr>
              <w:t xml:space="preserve"> Le point de vente de services de communications électroniques ne conserve pas de données d’identification ni de copie de documents  d'identité, qui sont transmis à l'</w:t>
            </w:r>
            <w:r w:rsidR="000129CC" w:rsidRPr="002C3924">
              <w:rPr>
                <w:rFonts w:asciiTheme="minorHAnsi" w:hAnsiTheme="minorHAnsi" w:cstheme="minorHAnsi"/>
                <w:color w:val="000000"/>
                <w:sz w:val="22"/>
                <w:lang w:val="fr-BE"/>
              </w:rPr>
              <w:t>opérateur ou</w:t>
            </w:r>
            <w:r w:rsidRPr="002C3924">
              <w:rPr>
                <w:rFonts w:asciiTheme="minorHAnsi" w:hAnsiTheme="minorHAnsi" w:cstheme="minorHAnsi"/>
                <w:color w:val="000000"/>
                <w:sz w:val="22"/>
                <w:lang w:val="fr-BE"/>
              </w:rPr>
              <w:t xml:space="preserve"> à l'entreprise fournissant un service d'identification.</w:t>
            </w:r>
          </w:p>
        </w:tc>
        <w:tc>
          <w:tcPr>
            <w:tcW w:w="4508" w:type="dxa"/>
          </w:tcPr>
          <w:p w14:paraId="20AB0F52" w14:textId="0DC51D09" w:rsidR="002C3924" w:rsidRPr="002C3924" w:rsidRDefault="002C3924" w:rsidP="002C3924">
            <w:pPr>
              <w:jc w:val="both"/>
              <w:rPr>
                <w:rFonts w:asciiTheme="minorHAnsi" w:hAnsiTheme="minorHAnsi" w:cstheme="minorHAnsi"/>
                <w:sz w:val="22"/>
              </w:rPr>
            </w:pPr>
            <w:r w:rsidRPr="002C3924">
              <w:rPr>
                <w:rFonts w:asciiTheme="minorHAnsi" w:hAnsiTheme="minorHAnsi" w:cstheme="minorHAnsi"/>
                <w:b/>
                <w:bCs/>
                <w:color w:val="000000"/>
                <w:sz w:val="22"/>
              </w:rPr>
              <w:t>§ 3.</w:t>
            </w:r>
            <w:r w:rsidRPr="002C3924">
              <w:rPr>
                <w:rFonts w:asciiTheme="minorHAnsi" w:hAnsiTheme="minorHAnsi" w:cstheme="minorHAnsi"/>
                <w:color w:val="000000"/>
                <w:sz w:val="22"/>
              </w:rPr>
              <w:t xml:space="preserve"> Het verkooppunt van elektronische-communicatiediensten bewaart noch identificatiegegevens noch kopieën van identiteitsstukken, die worden overgezonden naar de operator of naar de onderneming die een identificatiedienst verstrekt.</w:t>
            </w:r>
          </w:p>
        </w:tc>
      </w:tr>
      <w:tr w:rsidR="002C3924" w:rsidRPr="00205E14" w14:paraId="3A65E5B8" w14:textId="77777777" w:rsidTr="0025113D">
        <w:tc>
          <w:tcPr>
            <w:tcW w:w="4508" w:type="dxa"/>
          </w:tcPr>
          <w:p w14:paraId="7CEE10E2" w14:textId="77777777" w:rsidR="002C3924" w:rsidRPr="002C3924" w:rsidRDefault="002C3924" w:rsidP="002C3924">
            <w:pPr>
              <w:jc w:val="both"/>
              <w:rPr>
                <w:rFonts w:asciiTheme="minorHAnsi" w:hAnsiTheme="minorHAnsi" w:cstheme="minorHAnsi"/>
                <w:sz w:val="22"/>
                <w:lang w:eastAsia="fr-FR"/>
              </w:rPr>
            </w:pPr>
          </w:p>
        </w:tc>
        <w:tc>
          <w:tcPr>
            <w:tcW w:w="4508" w:type="dxa"/>
          </w:tcPr>
          <w:p w14:paraId="540AB8F1" w14:textId="77777777" w:rsidR="002C3924" w:rsidRPr="002C3924" w:rsidRDefault="002C3924" w:rsidP="002C3924">
            <w:pPr>
              <w:jc w:val="both"/>
              <w:rPr>
                <w:rFonts w:asciiTheme="minorHAnsi" w:hAnsiTheme="minorHAnsi" w:cstheme="minorHAnsi"/>
                <w:sz w:val="22"/>
              </w:rPr>
            </w:pPr>
          </w:p>
        </w:tc>
      </w:tr>
      <w:tr w:rsidR="002C3924" w:rsidRPr="00205E14" w14:paraId="7A71C50D" w14:textId="77777777" w:rsidTr="0025113D">
        <w:tc>
          <w:tcPr>
            <w:tcW w:w="4508" w:type="dxa"/>
          </w:tcPr>
          <w:p w14:paraId="722A9A75" w14:textId="17D4332D" w:rsidR="002C3924" w:rsidRPr="002C3924" w:rsidRDefault="002C3924" w:rsidP="00A13922">
            <w:pPr>
              <w:jc w:val="both"/>
              <w:rPr>
                <w:rFonts w:asciiTheme="minorHAnsi" w:hAnsiTheme="minorHAnsi" w:cstheme="minorHAnsi"/>
                <w:sz w:val="22"/>
                <w:lang w:val="fr-BE" w:eastAsia="fr-FR"/>
              </w:rPr>
            </w:pPr>
            <w:r w:rsidRPr="002C3924">
              <w:rPr>
                <w:rFonts w:asciiTheme="minorHAnsi" w:hAnsiTheme="minorHAnsi" w:cstheme="minorHAnsi"/>
                <w:color w:val="000000"/>
                <w:sz w:val="22"/>
                <w:lang w:val="fr-BE"/>
              </w:rPr>
              <w:t>Si une introduction directe dans les systèmes informatiques de l'</w:t>
            </w:r>
            <w:r w:rsidR="000129CC" w:rsidRPr="002C3924">
              <w:rPr>
                <w:rFonts w:asciiTheme="minorHAnsi" w:hAnsiTheme="minorHAnsi" w:cstheme="minorHAnsi"/>
                <w:color w:val="000000"/>
                <w:sz w:val="22"/>
                <w:lang w:val="fr-BE"/>
              </w:rPr>
              <w:t>opérateur ou</w:t>
            </w:r>
            <w:r w:rsidRPr="002C3924">
              <w:rPr>
                <w:rFonts w:asciiTheme="minorHAnsi" w:hAnsiTheme="minorHAnsi" w:cstheme="minorHAnsi"/>
                <w:color w:val="000000"/>
                <w:sz w:val="22"/>
                <w:lang w:val="fr-BE"/>
              </w:rPr>
              <w:t xml:space="preserve"> de l'entreprise fournissant un service d'identification n'est pas possible, le point de vente de services de communications électroniques peut faire une </w:t>
            </w:r>
            <w:r w:rsidRPr="002C3924">
              <w:rPr>
                <w:rFonts w:asciiTheme="minorHAnsi" w:hAnsiTheme="minorHAnsi" w:cstheme="minorHAnsi"/>
                <w:color w:val="000000"/>
                <w:sz w:val="22"/>
                <w:lang w:val="fr-BE"/>
              </w:rPr>
              <w:lastRenderedPageBreak/>
              <w:t xml:space="preserve">copie du </w:t>
            </w:r>
            <w:r w:rsidR="00075722">
              <w:rPr>
                <w:rFonts w:asciiTheme="minorHAnsi" w:hAnsiTheme="minorHAnsi" w:cstheme="minorHAnsi"/>
                <w:color w:val="000000"/>
                <w:sz w:val="22"/>
                <w:lang w:val="fr-BE"/>
              </w:rPr>
              <w:t>document d’identification</w:t>
            </w:r>
            <w:r w:rsidRPr="002C3924">
              <w:rPr>
                <w:rFonts w:asciiTheme="minorHAnsi" w:hAnsiTheme="minorHAnsi" w:cstheme="minorHAnsi"/>
                <w:color w:val="000000"/>
                <w:sz w:val="22"/>
                <w:lang w:val="fr-BE"/>
              </w:rPr>
              <w:t>, dont la carte d'identité électronique belge, mais cette copie est détruite au plus tard après l'activation du service de communications électroniques.</w:t>
            </w:r>
          </w:p>
        </w:tc>
        <w:tc>
          <w:tcPr>
            <w:tcW w:w="4508" w:type="dxa"/>
          </w:tcPr>
          <w:p w14:paraId="677479CE" w14:textId="42BBF873" w:rsidR="002C3924" w:rsidRPr="002C3924" w:rsidRDefault="002C3924" w:rsidP="00A13922">
            <w:pPr>
              <w:jc w:val="both"/>
              <w:rPr>
                <w:rFonts w:asciiTheme="minorHAnsi" w:hAnsiTheme="minorHAnsi" w:cstheme="minorHAnsi"/>
                <w:sz w:val="22"/>
              </w:rPr>
            </w:pPr>
            <w:r w:rsidRPr="002C3924">
              <w:rPr>
                <w:rFonts w:asciiTheme="minorHAnsi" w:hAnsiTheme="minorHAnsi" w:cstheme="minorHAnsi"/>
                <w:color w:val="000000"/>
                <w:sz w:val="22"/>
              </w:rPr>
              <w:lastRenderedPageBreak/>
              <w:t>Indien een rechtstreekse invoer in de computersystemen van de operator</w:t>
            </w:r>
            <w:r w:rsidR="000129CC">
              <w:rPr>
                <w:rFonts w:asciiTheme="minorHAnsi" w:hAnsiTheme="minorHAnsi" w:cstheme="minorHAnsi"/>
                <w:color w:val="000000"/>
                <w:sz w:val="22"/>
              </w:rPr>
              <w:t xml:space="preserve"> </w:t>
            </w:r>
            <w:r w:rsidRPr="002C3924">
              <w:rPr>
                <w:rFonts w:asciiTheme="minorHAnsi" w:hAnsiTheme="minorHAnsi" w:cstheme="minorHAnsi"/>
                <w:color w:val="000000"/>
                <w:sz w:val="22"/>
              </w:rPr>
              <w:t xml:space="preserve">of van de onderneming die een identificatiedienst verstrekt, niet mogelijk is, mag het verkooppunt van elektronische-communicatiediensten een </w:t>
            </w:r>
            <w:r w:rsidRPr="002C3924">
              <w:rPr>
                <w:rFonts w:asciiTheme="minorHAnsi" w:hAnsiTheme="minorHAnsi" w:cstheme="minorHAnsi"/>
                <w:color w:val="000000"/>
                <w:sz w:val="22"/>
              </w:rPr>
              <w:lastRenderedPageBreak/>
              <w:t xml:space="preserve">kopie maken van het </w:t>
            </w:r>
            <w:r w:rsidR="00D608D4">
              <w:rPr>
                <w:rFonts w:asciiTheme="minorHAnsi" w:hAnsiTheme="minorHAnsi" w:cstheme="minorHAnsi"/>
                <w:color w:val="000000" w:themeColor="text1"/>
                <w:sz w:val="22"/>
              </w:rPr>
              <w:t>identificatiedocument</w:t>
            </w:r>
            <w:r w:rsidRPr="002C3924">
              <w:rPr>
                <w:rFonts w:asciiTheme="minorHAnsi" w:hAnsiTheme="minorHAnsi" w:cstheme="minorHAnsi"/>
                <w:color w:val="000000"/>
                <w:sz w:val="22"/>
              </w:rPr>
              <w:t>, waaronder van de Belgische elektronische identiteitskaart, maar deze kopie wordt uiterlijk na de activering van de elektronische-communicatiedienst vernietigd.</w:t>
            </w:r>
          </w:p>
        </w:tc>
      </w:tr>
      <w:tr w:rsidR="002C3924" w:rsidRPr="00205E14" w14:paraId="79032879" w14:textId="77777777" w:rsidTr="0025113D">
        <w:tc>
          <w:tcPr>
            <w:tcW w:w="4508" w:type="dxa"/>
          </w:tcPr>
          <w:p w14:paraId="17E3ECCA" w14:textId="77777777" w:rsidR="002C3924" w:rsidRPr="002C3924" w:rsidRDefault="002C3924" w:rsidP="002C3924">
            <w:pPr>
              <w:jc w:val="both"/>
              <w:rPr>
                <w:rFonts w:asciiTheme="minorHAnsi" w:hAnsiTheme="minorHAnsi" w:cstheme="minorHAnsi"/>
                <w:sz w:val="22"/>
                <w:lang w:eastAsia="fr-FR"/>
              </w:rPr>
            </w:pPr>
          </w:p>
        </w:tc>
        <w:tc>
          <w:tcPr>
            <w:tcW w:w="4508" w:type="dxa"/>
          </w:tcPr>
          <w:p w14:paraId="1DFFCA5E" w14:textId="77777777" w:rsidR="002C3924" w:rsidRPr="002C3924" w:rsidRDefault="002C3924" w:rsidP="002C3924">
            <w:pPr>
              <w:jc w:val="both"/>
              <w:rPr>
                <w:rFonts w:asciiTheme="minorHAnsi" w:hAnsiTheme="minorHAnsi" w:cstheme="minorHAnsi"/>
                <w:sz w:val="22"/>
              </w:rPr>
            </w:pPr>
          </w:p>
        </w:tc>
      </w:tr>
      <w:tr w:rsidR="002C3924" w:rsidRPr="00205E14" w14:paraId="5F592A39" w14:textId="77777777" w:rsidTr="0025113D">
        <w:tc>
          <w:tcPr>
            <w:tcW w:w="4508" w:type="dxa"/>
          </w:tcPr>
          <w:p w14:paraId="7C6215D5" w14:textId="67A95EB5" w:rsidR="002C3924" w:rsidRPr="002C3924" w:rsidRDefault="002C3924" w:rsidP="002C3924">
            <w:pPr>
              <w:jc w:val="both"/>
              <w:rPr>
                <w:rFonts w:asciiTheme="minorHAnsi" w:hAnsiTheme="minorHAnsi" w:cstheme="minorHAnsi"/>
                <w:sz w:val="22"/>
                <w:lang w:val="fr-BE" w:eastAsia="fr-FR"/>
              </w:rPr>
            </w:pPr>
            <w:r w:rsidRPr="002C3924">
              <w:rPr>
                <w:rFonts w:asciiTheme="minorHAnsi" w:hAnsiTheme="minorHAnsi" w:cstheme="minorHAnsi"/>
                <w:sz w:val="22"/>
                <w:lang w:val="fr-FR"/>
              </w:rPr>
              <w:t xml:space="preserve">Les données d’identification et les copies de </w:t>
            </w:r>
            <w:r w:rsidR="00075722">
              <w:rPr>
                <w:rFonts w:asciiTheme="minorHAnsi" w:hAnsiTheme="minorHAnsi" w:cstheme="minorHAnsi"/>
                <w:sz w:val="22"/>
                <w:lang w:val="fr-FR"/>
              </w:rPr>
              <w:t>document d’identification</w:t>
            </w:r>
            <w:r w:rsidRPr="002C3924">
              <w:rPr>
                <w:rFonts w:asciiTheme="minorHAnsi" w:hAnsiTheme="minorHAnsi" w:cstheme="minorHAnsi"/>
                <w:sz w:val="22"/>
                <w:lang w:val="fr-FR"/>
              </w:rPr>
              <w:t xml:space="preserve"> collectées en vertu des  paragraphes 4 à 9 </w:t>
            </w:r>
            <w:r w:rsidRPr="002C3924">
              <w:rPr>
                <w:rFonts w:asciiTheme="minorHAnsi" w:hAnsiTheme="minorHAnsi" w:cstheme="minorHAnsi"/>
                <w:color w:val="000000" w:themeColor="text1"/>
                <w:sz w:val="22"/>
                <w:lang w:val="fr-FR"/>
              </w:rPr>
              <w:t>sont conservées à partir de la date d’activation du service jusqu’à douze mois après la fin du service de communications électroniques.</w:t>
            </w:r>
          </w:p>
        </w:tc>
        <w:tc>
          <w:tcPr>
            <w:tcW w:w="4508" w:type="dxa"/>
          </w:tcPr>
          <w:p w14:paraId="59EC7534" w14:textId="483E9CA6" w:rsidR="002C3924" w:rsidRPr="002C3924" w:rsidRDefault="002C3924" w:rsidP="002C3924">
            <w:pPr>
              <w:jc w:val="both"/>
              <w:rPr>
                <w:rFonts w:asciiTheme="minorHAnsi" w:hAnsiTheme="minorHAnsi" w:cstheme="minorHAnsi"/>
                <w:sz w:val="22"/>
              </w:rPr>
            </w:pPr>
            <w:r w:rsidRPr="002C3924">
              <w:rPr>
                <w:rFonts w:asciiTheme="minorHAnsi" w:hAnsiTheme="minorHAnsi" w:cstheme="minorHAnsi"/>
                <w:color w:val="000000" w:themeColor="text1"/>
                <w:sz w:val="22"/>
              </w:rPr>
              <w:t xml:space="preserve">De identificatiegegevens en de kopieën van </w:t>
            </w:r>
            <w:r w:rsidR="00D608D4">
              <w:rPr>
                <w:rFonts w:asciiTheme="minorHAnsi" w:hAnsiTheme="minorHAnsi" w:cstheme="minorHAnsi"/>
                <w:color w:val="000000" w:themeColor="text1"/>
                <w:sz w:val="22"/>
              </w:rPr>
              <w:t>identificatiedocumenten</w:t>
            </w:r>
            <w:r w:rsidR="00D608D4" w:rsidRPr="00136EDB">
              <w:rPr>
                <w:rFonts w:asciiTheme="minorHAnsi" w:hAnsiTheme="minorHAnsi" w:cstheme="minorHAnsi"/>
                <w:color w:val="000000" w:themeColor="text1"/>
                <w:sz w:val="22"/>
              </w:rPr>
              <w:t xml:space="preserve"> </w:t>
            </w:r>
            <w:r w:rsidRPr="002C3924">
              <w:rPr>
                <w:rFonts w:asciiTheme="minorHAnsi" w:hAnsiTheme="minorHAnsi" w:cstheme="minorHAnsi"/>
                <w:color w:val="000000" w:themeColor="text1"/>
                <w:sz w:val="22"/>
              </w:rPr>
              <w:t>vergaard krachtens de paragrafen 4 tot 9 worden bewaard vanaf de datum van activering van de dienst tot twaalf maanden na de stopzetting van de elektronische-communicatiedienst.</w:t>
            </w:r>
          </w:p>
        </w:tc>
      </w:tr>
      <w:tr w:rsidR="002C3924" w:rsidRPr="00205E14" w14:paraId="7B68DC7D" w14:textId="77777777" w:rsidTr="0025113D">
        <w:tc>
          <w:tcPr>
            <w:tcW w:w="4508" w:type="dxa"/>
          </w:tcPr>
          <w:p w14:paraId="7AB5C0D8" w14:textId="77777777" w:rsidR="002C3924" w:rsidRPr="00205E14" w:rsidRDefault="002C3924" w:rsidP="002C3924">
            <w:pPr>
              <w:rPr>
                <w:rFonts w:asciiTheme="minorHAnsi" w:hAnsiTheme="minorHAnsi" w:cstheme="minorHAnsi"/>
                <w:sz w:val="22"/>
                <w:lang w:eastAsia="fr-FR"/>
              </w:rPr>
            </w:pPr>
          </w:p>
        </w:tc>
        <w:tc>
          <w:tcPr>
            <w:tcW w:w="4508" w:type="dxa"/>
          </w:tcPr>
          <w:p w14:paraId="29B40D24" w14:textId="77777777" w:rsidR="002C3924" w:rsidRPr="00205E14" w:rsidRDefault="002C3924" w:rsidP="002C3924">
            <w:pPr>
              <w:rPr>
                <w:rFonts w:asciiTheme="minorHAnsi" w:hAnsiTheme="minorHAnsi" w:cstheme="minorHAnsi"/>
                <w:sz w:val="22"/>
              </w:rPr>
            </w:pPr>
          </w:p>
        </w:tc>
      </w:tr>
      <w:tr w:rsidR="002C3924" w:rsidRPr="00205E14" w14:paraId="648000FA" w14:textId="77777777" w:rsidTr="0025113D">
        <w:tc>
          <w:tcPr>
            <w:tcW w:w="4508" w:type="dxa"/>
          </w:tcPr>
          <w:p w14:paraId="00DFB361" w14:textId="1A7F0BE6" w:rsidR="002C3924" w:rsidRPr="00792142" w:rsidRDefault="002C3924" w:rsidP="00792142">
            <w:pPr>
              <w:jc w:val="both"/>
              <w:rPr>
                <w:rFonts w:asciiTheme="minorHAnsi" w:hAnsiTheme="minorHAnsi" w:cstheme="minorHAnsi"/>
                <w:sz w:val="22"/>
                <w:lang w:val="fr-BE" w:eastAsia="fr-FR"/>
              </w:rPr>
            </w:pPr>
            <w:r w:rsidRPr="00792142">
              <w:rPr>
                <w:rFonts w:asciiTheme="minorHAnsi" w:hAnsiTheme="minorHAnsi" w:cstheme="minorHAnsi"/>
                <w:b/>
                <w:bCs/>
                <w:color w:val="000000"/>
                <w:sz w:val="22"/>
                <w:lang w:val="fr-BE"/>
              </w:rPr>
              <w:t>§ 4.</w:t>
            </w:r>
            <w:r w:rsidRPr="00792142">
              <w:rPr>
                <w:rFonts w:asciiTheme="minorHAnsi" w:hAnsiTheme="minorHAnsi" w:cstheme="minorHAnsi"/>
                <w:color w:val="000000"/>
                <w:sz w:val="22"/>
                <w:lang w:val="fr-BE"/>
              </w:rPr>
              <w:t xml:space="preserve"> L’opérateur met tout en œuvre pour assurer la fiabilité de l’identification de l’abonné qui est une personne physique.  </w:t>
            </w:r>
          </w:p>
        </w:tc>
        <w:tc>
          <w:tcPr>
            <w:tcW w:w="4508" w:type="dxa"/>
          </w:tcPr>
          <w:p w14:paraId="20F14F68" w14:textId="16F824F0" w:rsidR="002C3924" w:rsidRPr="00792142" w:rsidRDefault="002C3924" w:rsidP="00792142">
            <w:pPr>
              <w:jc w:val="both"/>
              <w:rPr>
                <w:rFonts w:asciiTheme="minorHAnsi" w:hAnsiTheme="minorHAnsi" w:cstheme="minorHAnsi"/>
                <w:sz w:val="22"/>
              </w:rPr>
            </w:pPr>
            <w:r w:rsidRPr="00792142">
              <w:rPr>
                <w:rFonts w:asciiTheme="minorHAnsi" w:hAnsiTheme="minorHAnsi" w:cstheme="minorHAnsi"/>
                <w:b/>
                <w:color w:val="000000"/>
                <w:sz w:val="22"/>
              </w:rPr>
              <w:t>§ 4.</w:t>
            </w:r>
            <w:r w:rsidRPr="00792142">
              <w:rPr>
                <w:rFonts w:asciiTheme="minorHAnsi" w:hAnsiTheme="minorHAnsi" w:cstheme="minorHAnsi"/>
                <w:color w:val="000000"/>
                <w:sz w:val="22"/>
              </w:rPr>
              <w:t xml:space="preserve"> De operator stelt alles in het werk om de betrouwbaarheid te garanderen van de identificatie van de abonnee die een natuurlijke persoon is.</w:t>
            </w:r>
          </w:p>
        </w:tc>
      </w:tr>
      <w:tr w:rsidR="002C3924" w:rsidRPr="00205E14" w14:paraId="3B2863D1" w14:textId="77777777" w:rsidTr="0025113D">
        <w:tc>
          <w:tcPr>
            <w:tcW w:w="4508" w:type="dxa"/>
          </w:tcPr>
          <w:p w14:paraId="1DB26501" w14:textId="77777777" w:rsidR="002C3924" w:rsidRPr="00792142" w:rsidRDefault="002C3924" w:rsidP="00792142">
            <w:pPr>
              <w:jc w:val="both"/>
              <w:rPr>
                <w:rFonts w:asciiTheme="minorHAnsi" w:hAnsiTheme="minorHAnsi" w:cstheme="minorHAnsi"/>
                <w:sz w:val="22"/>
                <w:lang w:eastAsia="fr-FR"/>
              </w:rPr>
            </w:pPr>
          </w:p>
        </w:tc>
        <w:tc>
          <w:tcPr>
            <w:tcW w:w="4508" w:type="dxa"/>
          </w:tcPr>
          <w:p w14:paraId="5FD9A1FE" w14:textId="77777777" w:rsidR="002C3924" w:rsidRPr="00792142" w:rsidRDefault="002C3924" w:rsidP="00792142">
            <w:pPr>
              <w:jc w:val="both"/>
              <w:rPr>
                <w:rFonts w:asciiTheme="minorHAnsi" w:hAnsiTheme="minorHAnsi" w:cstheme="minorHAnsi"/>
                <w:sz w:val="22"/>
              </w:rPr>
            </w:pPr>
          </w:p>
        </w:tc>
      </w:tr>
      <w:tr w:rsidR="002C3924" w:rsidRPr="00205E14" w14:paraId="564F1E3E" w14:textId="77777777" w:rsidTr="0025113D">
        <w:tc>
          <w:tcPr>
            <w:tcW w:w="4508" w:type="dxa"/>
          </w:tcPr>
          <w:p w14:paraId="178A1AE6" w14:textId="48ADCF5F" w:rsidR="002C3924" w:rsidRPr="00792142" w:rsidRDefault="002C3924" w:rsidP="00792142">
            <w:pPr>
              <w:jc w:val="both"/>
              <w:rPr>
                <w:rFonts w:asciiTheme="minorHAnsi" w:hAnsiTheme="minorHAnsi" w:cstheme="minorHAnsi"/>
                <w:sz w:val="22"/>
                <w:lang w:eastAsia="fr-FR"/>
              </w:rPr>
            </w:pPr>
            <w:r w:rsidRPr="00792142">
              <w:rPr>
                <w:rFonts w:asciiTheme="minorHAnsi" w:hAnsiTheme="minorHAnsi" w:cstheme="minorHAnsi"/>
                <w:color w:val="000000"/>
                <w:sz w:val="22"/>
                <w:lang w:val="fr-BE"/>
              </w:rPr>
              <w:t xml:space="preserve">Il s’assure que les données d’identification collectées correspondent aux données sur le document d’identité. </w:t>
            </w:r>
            <w:proofErr w:type="spellStart"/>
            <w:r w:rsidRPr="00792142">
              <w:rPr>
                <w:rFonts w:asciiTheme="minorHAnsi" w:hAnsiTheme="minorHAnsi" w:cstheme="minorHAnsi"/>
                <w:color w:val="000000"/>
                <w:sz w:val="22"/>
              </w:rPr>
              <w:t>Il</w:t>
            </w:r>
            <w:proofErr w:type="spellEnd"/>
            <w:r w:rsidRPr="00792142">
              <w:rPr>
                <w:rFonts w:asciiTheme="minorHAnsi" w:hAnsiTheme="minorHAnsi" w:cstheme="minorHAnsi"/>
                <w:color w:val="000000"/>
                <w:sz w:val="22"/>
              </w:rPr>
              <w:t xml:space="preserve"> </w:t>
            </w:r>
            <w:proofErr w:type="spellStart"/>
            <w:r w:rsidRPr="00792142">
              <w:rPr>
                <w:rFonts w:asciiTheme="minorHAnsi" w:hAnsiTheme="minorHAnsi" w:cstheme="minorHAnsi"/>
                <w:color w:val="000000"/>
                <w:sz w:val="22"/>
              </w:rPr>
              <w:t>vérifie</w:t>
            </w:r>
            <w:proofErr w:type="spellEnd"/>
            <w:r w:rsidRPr="00792142">
              <w:rPr>
                <w:rFonts w:asciiTheme="minorHAnsi" w:hAnsiTheme="minorHAnsi" w:cstheme="minorHAnsi"/>
                <w:color w:val="000000"/>
                <w:sz w:val="22"/>
              </w:rPr>
              <w:t xml:space="preserve"> : </w:t>
            </w:r>
          </w:p>
        </w:tc>
        <w:tc>
          <w:tcPr>
            <w:tcW w:w="4508" w:type="dxa"/>
          </w:tcPr>
          <w:p w14:paraId="2836B875" w14:textId="4EF95497" w:rsidR="002C3924" w:rsidRPr="00792142" w:rsidRDefault="002C3924" w:rsidP="00792142">
            <w:pPr>
              <w:jc w:val="both"/>
              <w:rPr>
                <w:rFonts w:asciiTheme="minorHAnsi" w:hAnsiTheme="minorHAnsi" w:cstheme="minorHAnsi"/>
                <w:sz w:val="22"/>
              </w:rPr>
            </w:pPr>
            <w:r w:rsidRPr="00792142">
              <w:rPr>
                <w:rFonts w:asciiTheme="minorHAnsi" w:hAnsiTheme="minorHAnsi" w:cstheme="minorHAnsi"/>
                <w:bCs/>
                <w:color w:val="000000"/>
                <w:sz w:val="22"/>
              </w:rPr>
              <w:t xml:space="preserve">Hij vergewist zich ervan dat de vergaarde identificatiegegevens overeenstemmen met de gegevens op het identiteitsstuk. Hij controleert : </w:t>
            </w:r>
          </w:p>
        </w:tc>
      </w:tr>
      <w:tr w:rsidR="002C3924" w:rsidRPr="00205E14" w14:paraId="4D0CA348" w14:textId="77777777" w:rsidTr="0025113D">
        <w:tc>
          <w:tcPr>
            <w:tcW w:w="4508" w:type="dxa"/>
          </w:tcPr>
          <w:p w14:paraId="34482424" w14:textId="77777777" w:rsidR="002C3924" w:rsidRPr="00792142" w:rsidRDefault="002C3924" w:rsidP="00792142">
            <w:pPr>
              <w:jc w:val="both"/>
              <w:rPr>
                <w:rFonts w:asciiTheme="minorHAnsi" w:hAnsiTheme="minorHAnsi" w:cstheme="minorHAnsi"/>
                <w:sz w:val="22"/>
                <w:lang w:eastAsia="fr-FR"/>
              </w:rPr>
            </w:pPr>
          </w:p>
        </w:tc>
        <w:tc>
          <w:tcPr>
            <w:tcW w:w="4508" w:type="dxa"/>
          </w:tcPr>
          <w:p w14:paraId="4E9F36F8" w14:textId="77777777" w:rsidR="002C3924" w:rsidRPr="00792142" w:rsidRDefault="002C3924" w:rsidP="00792142">
            <w:pPr>
              <w:jc w:val="both"/>
              <w:rPr>
                <w:rFonts w:asciiTheme="minorHAnsi" w:hAnsiTheme="minorHAnsi" w:cstheme="minorHAnsi"/>
                <w:sz w:val="22"/>
              </w:rPr>
            </w:pPr>
          </w:p>
        </w:tc>
      </w:tr>
      <w:tr w:rsidR="002C3924" w:rsidRPr="00205E14" w14:paraId="1D49C0FF" w14:textId="77777777" w:rsidTr="0025113D">
        <w:tc>
          <w:tcPr>
            <w:tcW w:w="4508" w:type="dxa"/>
          </w:tcPr>
          <w:p w14:paraId="78E0DD2A" w14:textId="7886F5CF" w:rsidR="002C3924" w:rsidRPr="00792142" w:rsidRDefault="002C3924" w:rsidP="00A13922">
            <w:pPr>
              <w:pStyle w:val="Lijstalinea"/>
              <w:numPr>
                <w:ilvl w:val="0"/>
                <w:numId w:val="4"/>
              </w:numPr>
              <w:spacing w:before="0"/>
              <w:rPr>
                <w:rFonts w:asciiTheme="minorHAnsi" w:hAnsiTheme="minorHAnsi" w:cstheme="minorHAnsi"/>
                <w:lang w:val="fr-BE" w:eastAsia="fr-FR"/>
              </w:rPr>
            </w:pPr>
            <w:r w:rsidRPr="00792142">
              <w:rPr>
                <w:rFonts w:asciiTheme="minorHAnsi" w:hAnsiTheme="minorHAnsi" w:cstheme="minorHAnsi"/>
                <w:color w:val="000000"/>
                <w:lang w:val="fr-BE"/>
              </w:rPr>
              <w:t xml:space="preserve">que le </w:t>
            </w:r>
            <w:r w:rsidR="00075722">
              <w:rPr>
                <w:rFonts w:asciiTheme="minorHAnsi" w:hAnsiTheme="minorHAnsi" w:cstheme="minorHAnsi"/>
                <w:color w:val="000000"/>
                <w:lang w:val="fr-BE"/>
              </w:rPr>
              <w:t>document d’identification</w:t>
            </w:r>
            <w:r w:rsidRPr="00792142">
              <w:rPr>
                <w:rFonts w:asciiTheme="minorHAnsi" w:hAnsiTheme="minorHAnsi" w:cstheme="minorHAnsi"/>
                <w:color w:val="000000"/>
                <w:lang w:val="fr-BE"/>
              </w:rPr>
              <w:t xml:space="preserve"> que l’abonné soumet  pour s’identifier  est l’original, lisible et présente l’apparence d'authenticité ;  </w:t>
            </w:r>
          </w:p>
        </w:tc>
        <w:tc>
          <w:tcPr>
            <w:tcW w:w="4508" w:type="dxa"/>
          </w:tcPr>
          <w:p w14:paraId="6591968E" w14:textId="250C68D8" w:rsidR="002C3924" w:rsidRPr="00792142" w:rsidRDefault="002C3924" w:rsidP="00A13922">
            <w:pPr>
              <w:pStyle w:val="Lijstalinea"/>
              <w:numPr>
                <w:ilvl w:val="0"/>
                <w:numId w:val="4"/>
              </w:numPr>
              <w:spacing w:before="0"/>
              <w:rPr>
                <w:rFonts w:asciiTheme="minorHAnsi" w:hAnsiTheme="minorHAnsi" w:cstheme="minorHAnsi"/>
                <w:lang w:val="nl-BE"/>
              </w:rPr>
            </w:pPr>
            <w:r w:rsidRPr="00792142">
              <w:rPr>
                <w:rFonts w:asciiTheme="minorHAnsi" w:hAnsiTheme="minorHAnsi" w:cstheme="minorHAnsi"/>
                <w:bCs/>
                <w:color w:val="000000"/>
                <w:lang w:val="nl-BE"/>
              </w:rPr>
              <w:t xml:space="preserve">of het </w:t>
            </w:r>
            <w:r w:rsidR="00D608D4" w:rsidRPr="00B81FB2">
              <w:rPr>
                <w:rFonts w:asciiTheme="minorHAnsi" w:hAnsiTheme="minorHAnsi" w:cstheme="minorHAnsi"/>
                <w:color w:val="000000" w:themeColor="text1"/>
                <w:lang w:val="nl-BE"/>
              </w:rPr>
              <w:t xml:space="preserve">identificatiedocument </w:t>
            </w:r>
            <w:r w:rsidRPr="00792142">
              <w:rPr>
                <w:rFonts w:asciiTheme="minorHAnsi" w:hAnsiTheme="minorHAnsi" w:cstheme="minorHAnsi"/>
                <w:bCs/>
                <w:color w:val="000000"/>
                <w:lang w:val="nl-BE"/>
              </w:rPr>
              <w:t>dat de abonnee ter identificatie voorlegt, het origineel is, leesbaar is</w:t>
            </w:r>
            <w:r w:rsidR="00DF4BA6">
              <w:rPr>
                <w:rFonts w:asciiTheme="minorHAnsi" w:hAnsiTheme="minorHAnsi" w:cstheme="minorHAnsi"/>
                <w:bCs/>
                <w:color w:val="000000"/>
                <w:lang w:val="nl-BE"/>
              </w:rPr>
              <w:t xml:space="preserve"> en</w:t>
            </w:r>
            <w:r w:rsidRPr="00792142">
              <w:rPr>
                <w:rFonts w:asciiTheme="minorHAnsi" w:hAnsiTheme="minorHAnsi" w:cstheme="minorHAnsi"/>
                <w:bCs/>
                <w:color w:val="000000"/>
                <w:lang w:val="nl-BE"/>
              </w:rPr>
              <w:t xml:space="preserve"> de indruk geeft van authenticiteit; </w:t>
            </w:r>
          </w:p>
        </w:tc>
      </w:tr>
      <w:tr w:rsidR="002C3924" w:rsidRPr="00205E14" w14:paraId="5ACC9C6D" w14:textId="77777777" w:rsidTr="0025113D">
        <w:tc>
          <w:tcPr>
            <w:tcW w:w="4508" w:type="dxa"/>
          </w:tcPr>
          <w:p w14:paraId="78765627" w14:textId="77777777" w:rsidR="002C3924" w:rsidRPr="00792142" w:rsidRDefault="002C3924" w:rsidP="00A13922">
            <w:pPr>
              <w:jc w:val="both"/>
              <w:rPr>
                <w:rFonts w:asciiTheme="minorHAnsi" w:hAnsiTheme="minorHAnsi" w:cstheme="minorHAnsi"/>
                <w:sz w:val="22"/>
                <w:lang w:eastAsia="fr-FR"/>
              </w:rPr>
            </w:pPr>
          </w:p>
        </w:tc>
        <w:tc>
          <w:tcPr>
            <w:tcW w:w="4508" w:type="dxa"/>
          </w:tcPr>
          <w:p w14:paraId="6ED41F95" w14:textId="77777777" w:rsidR="002C3924" w:rsidRPr="00792142" w:rsidRDefault="002C3924" w:rsidP="00A13922">
            <w:pPr>
              <w:jc w:val="both"/>
              <w:rPr>
                <w:rFonts w:asciiTheme="minorHAnsi" w:hAnsiTheme="minorHAnsi" w:cstheme="minorHAnsi"/>
                <w:sz w:val="22"/>
              </w:rPr>
            </w:pPr>
          </w:p>
        </w:tc>
      </w:tr>
      <w:tr w:rsidR="002C3924" w:rsidRPr="00205E14" w14:paraId="78015016" w14:textId="77777777" w:rsidTr="0025113D">
        <w:tc>
          <w:tcPr>
            <w:tcW w:w="4508" w:type="dxa"/>
          </w:tcPr>
          <w:p w14:paraId="7699E0D4" w14:textId="76C3F6AC" w:rsidR="002C3924" w:rsidRPr="00792142" w:rsidRDefault="002C3924" w:rsidP="00A13922">
            <w:pPr>
              <w:pStyle w:val="Lijstalinea"/>
              <w:numPr>
                <w:ilvl w:val="0"/>
                <w:numId w:val="4"/>
              </w:numPr>
              <w:spacing w:before="0"/>
              <w:rPr>
                <w:rFonts w:asciiTheme="minorHAnsi" w:hAnsiTheme="minorHAnsi" w:cstheme="minorHAnsi"/>
                <w:lang w:val="fr-BE" w:eastAsia="fr-FR"/>
              </w:rPr>
            </w:pPr>
            <w:bookmarkStart w:id="6" w:name="_Hlk94798575"/>
            <w:r w:rsidRPr="00792142">
              <w:rPr>
                <w:rFonts w:asciiTheme="minorHAnsi" w:hAnsiTheme="minorHAnsi" w:cstheme="minorHAnsi"/>
                <w:color w:val="000000"/>
                <w:lang w:val="fr-BE"/>
              </w:rPr>
              <w:t>que la date de validité de ce document  n’est pas dépassée</w:t>
            </w:r>
            <w:r w:rsidR="002E12F5">
              <w:rPr>
                <w:rFonts w:asciiTheme="minorHAnsi" w:hAnsiTheme="minorHAnsi" w:cstheme="minorHAnsi"/>
                <w:color w:val="000000"/>
                <w:lang w:val="fr-BE"/>
              </w:rPr>
              <w:t xml:space="preserve"> </w:t>
            </w:r>
            <w:r w:rsidRPr="00792142">
              <w:rPr>
                <w:rFonts w:asciiTheme="minorHAnsi" w:hAnsiTheme="minorHAnsi" w:cstheme="minorHAnsi"/>
                <w:color w:val="000000"/>
                <w:lang w:val="fr-BE"/>
              </w:rPr>
              <w:t xml:space="preserve">; </w:t>
            </w:r>
            <w:bookmarkEnd w:id="6"/>
          </w:p>
        </w:tc>
        <w:tc>
          <w:tcPr>
            <w:tcW w:w="4508" w:type="dxa"/>
          </w:tcPr>
          <w:p w14:paraId="0853200D" w14:textId="58ED4EE4" w:rsidR="002C3924" w:rsidRPr="00792142" w:rsidRDefault="002C3924" w:rsidP="00A13922">
            <w:pPr>
              <w:pStyle w:val="Lijstalinea"/>
              <w:numPr>
                <w:ilvl w:val="0"/>
                <w:numId w:val="4"/>
              </w:numPr>
              <w:spacing w:before="0"/>
              <w:rPr>
                <w:rFonts w:asciiTheme="minorHAnsi" w:hAnsiTheme="minorHAnsi" w:cstheme="minorHAnsi"/>
                <w:lang w:val="nl-BE"/>
              </w:rPr>
            </w:pPr>
            <w:r w:rsidRPr="00792142">
              <w:rPr>
                <w:rFonts w:asciiTheme="minorHAnsi" w:hAnsiTheme="minorHAnsi" w:cstheme="minorHAnsi"/>
                <w:color w:val="000000"/>
                <w:lang w:val="nl-BE"/>
              </w:rPr>
              <w:t>dat de geldigheidsdatum van dat document niet overschreden is;</w:t>
            </w:r>
          </w:p>
        </w:tc>
      </w:tr>
      <w:tr w:rsidR="002C3924" w:rsidRPr="00205E14" w14:paraId="20738D1B" w14:textId="77777777" w:rsidTr="0025113D">
        <w:tc>
          <w:tcPr>
            <w:tcW w:w="4508" w:type="dxa"/>
          </w:tcPr>
          <w:p w14:paraId="656A5320" w14:textId="77777777" w:rsidR="002C3924" w:rsidRPr="00792142" w:rsidRDefault="002C3924" w:rsidP="00A13922">
            <w:pPr>
              <w:jc w:val="both"/>
              <w:rPr>
                <w:rFonts w:asciiTheme="minorHAnsi" w:hAnsiTheme="minorHAnsi" w:cstheme="minorHAnsi"/>
                <w:sz w:val="22"/>
                <w:lang w:eastAsia="fr-FR"/>
              </w:rPr>
            </w:pPr>
          </w:p>
        </w:tc>
        <w:tc>
          <w:tcPr>
            <w:tcW w:w="4508" w:type="dxa"/>
          </w:tcPr>
          <w:p w14:paraId="3B03EBA3" w14:textId="77777777" w:rsidR="002C3924" w:rsidRPr="00792142" w:rsidRDefault="002C3924" w:rsidP="00A13922">
            <w:pPr>
              <w:jc w:val="both"/>
              <w:rPr>
                <w:rFonts w:asciiTheme="minorHAnsi" w:hAnsiTheme="minorHAnsi" w:cstheme="minorHAnsi"/>
                <w:sz w:val="22"/>
              </w:rPr>
            </w:pPr>
          </w:p>
        </w:tc>
      </w:tr>
      <w:tr w:rsidR="002C3924" w:rsidRPr="00205E14" w14:paraId="0D70165B" w14:textId="77777777" w:rsidTr="0025113D">
        <w:tc>
          <w:tcPr>
            <w:tcW w:w="4508" w:type="dxa"/>
          </w:tcPr>
          <w:p w14:paraId="0BF903D4" w14:textId="6C99A69D" w:rsidR="002C3924" w:rsidRPr="00792142" w:rsidRDefault="002C3924" w:rsidP="00A13922">
            <w:pPr>
              <w:pStyle w:val="Lijstalinea"/>
              <w:numPr>
                <w:ilvl w:val="0"/>
                <w:numId w:val="4"/>
              </w:numPr>
              <w:spacing w:before="0"/>
              <w:rPr>
                <w:rFonts w:asciiTheme="minorHAnsi" w:hAnsiTheme="minorHAnsi" w:cstheme="minorHAnsi"/>
                <w:lang w:val="fr-BE" w:eastAsia="fr-FR"/>
              </w:rPr>
            </w:pPr>
            <w:r w:rsidRPr="00792142">
              <w:rPr>
                <w:rFonts w:asciiTheme="minorHAnsi" w:hAnsiTheme="minorHAnsi" w:cstheme="minorHAnsi"/>
                <w:color w:val="000000"/>
                <w:lang w:val="fr-BE"/>
              </w:rPr>
              <w:t xml:space="preserve">que ce document  est relatif à la personne identifiée.  </w:t>
            </w:r>
          </w:p>
        </w:tc>
        <w:tc>
          <w:tcPr>
            <w:tcW w:w="4508" w:type="dxa"/>
          </w:tcPr>
          <w:p w14:paraId="6B148646" w14:textId="2D2CF238" w:rsidR="002C3924" w:rsidRPr="00792142" w:rsidRDefault="002C3924" w:rsidP="00A13922">
            <w:pPr>
              <w:pStyle w:val="Lijstalinea"/>
              <w:numPr>
                <w:ilvl w:val="0"/>
                <w:numId w:val="4"/>
              </w:numPr>
              <w:spacing w:before="0"/>
              <w:rPr>
                <w:rFonts w:asciiTheme="minorHAnsi" w:hAnsiTheme="minorHAnsi" w:cstheme="minorHAnsi"/>
                <w:lang w:val="nl-BE"/>
              </w:rPr>
            </w:pPr>
            <w:r w:rsidRPr="00792142">
              <w:rPr>
                <w:rFonts w:asciiTheme="minorHAnsi" w:hAnsiTheme="minorHAnsi" w:cstheme="minorHAnsi"/>
                <w:bCs/>
                <w:color w:val="000000"/>
                <w:lang w:val="nl-BE"/>
              </w:rPr>
              <w:t xml:space="preserve">en dat dit document betrekking heeft op de geïdentificeerde persoon.  </w:t>
            </w:r>
          </w:p>
        </w:tc>
      </w:tr>
      <w:tr w:rsidR="002C3924" w:rsidRPr="00205E14" w14:paraId="0F981613" w14:textId="77777777" w:rsidTr="0025113D">
        <w:tc>
          <w:tcPr>
            <w:tcW w:w="4508" w:type="dxa"/>
          </w:tcPr>
          <w:p w14:paraId="20165C54" w14:textId="77777777" w:rsidR="002C3924" w:rsidRPr="00792142" w:rsidRDefault="002C3924" w:rsidP="00792142">
            <w:pPr>
              <w:jc w:val="both"/>
              <w:rPr>
                <w:rFonts w:asciiTheme="minorHAnsi" w:hAnsiTheme="minorHAnsi" w:cstheme="minorHAnsi"/>
                <w:sz w:val="22"/>
                <w:lang w:eastAsia="fr-FR"/>
              </w:rPr>
            </w:pPr>
          </w:p>
        </w:tc>
        <w:tc>
          <w:tcPr>
            <w:tcW w:w="4508" w:type="dxa"/>
          </w:tcPr>
          <w:p w14:paraId="14E0CFFF" w14:textId="77777777" w:rsidR="002C3924" w:rsidRPr="00792142" w:rsidRDefault="002C3924" w:rsidP="00792142">
            <w:pPr>
              <w:jc w:val="both"/>
              <w:rPr>
                <w:rFonts w:asciiTheme="minorHAnsi" w:hAnsiTheme="minorHAnsi" w:cstheme="minorHAnsi"/>
                <w:sz w:val="22"/>
              </w:rPr>
            </w:pPr>
          </w:p>
        </w:tc>
      </w:tr>
      <w:tr w:rsidR="002C3924" w:rsidRPr="00205E14" w14:paraId="1FC6021C" w14:textId="77777777" w:rsidTr="0025113D">
        <w:tc>
          <w:tcPr>
            <w:tcW w:w="4508" w:type="dxa"/>
          </w:tcPr>
          <w:p w14:paraId="58937F5D" w14:textId="5ACDEAA9" w:rsidR="002C3924" w:rsidRPr="00792142" w:rsidRDefault="002C3924" w:rsidP="00792142">
            <w:pPr>
              <w:jc w:val="both"/>
              <w:rPr>
                <w:rFonts w:asciiTheme="minorHAnsi" w:hAnsiTheme="minorHAnsi" w:cstheme="minorHAnsi"/>
                <w:sz w:val="22"/>
                <w:lang w:val="fr-BE" w:eastAsia="fr-FR"/>
              </w:rPr>
            </w:pPr>
            <w:r w:rsidRPr="00792142">
              <w:rPr>
                <w:rFonts w:asciiTheme="minorHAnsi" w:hAnsiTheme="minorHAnsi" w:cstheme="minorHAnsi"/>
                <w:color w:val="000000" w:themeColor="text1"/>
                <w:sz w:val="22"/>
                <w:lang w:val="fr-FR"/>
              </w:rPr>
              <w:t xml:space="preserve">Afin d’assurer cette fiabilité et après autorisation du ministre et du ministre de la Justice, l’opérateur ou le point de vente de services de communications électroniques peut réaliser, avec le consentement de l’abonné et de manière automatique, une comparaison entre les paramètres biométriques sur la photo du document  d’identité de l’abonné et ceux de son visage. </w:t>
            </w:r>
          </w:p>
        </w:tc>
        <w:tc>
          <w:tcPr>
            <w:tcW w:w="4508" w:type="dxa"/>
          </w:tcPr>
          <w:p w14:paraId="2D89EFEC" w14:textId="28B02A71" w:rsidR="002C3924" w:rsidRPr="00792142" w:rsidRDefault="002C3924" w:rsidP="00792142">
            <w:pPr>
              <w:jc w:val="both"/>
              <w:rPr>
                <w:rFonts w:asciiTheme="minorHAnsi" w:hAnsiTheme="minorHAnsi" w:cstheme="minorHAnsi"/>
                <w:sz w:val="22"/>
              </w:rPr>
            </w:pPr>
            <w:r w:rsidRPr="00792142">
              <w:rPr>
                <w:rFonts w:asciiTheme="minorHAnsi" w:hAnsiTheme="minorHAnsi" w:cstheme="minorHAnsi"/>
                <w:bCs/>
                <w:color w:val="000000" w:themeColor="text1"/>
                <w:sz w:val="22"/>
                <w:lang w:eastAsia="nl-BE"/>
              </w:rPr>
              <w:t>Teneinde die betrouwbaarheid te garanderen en na machtiging van de minister en van de minister van Justitie, kan de operator of het verkooppunt van elektronische-communicatiediensten met de instemming van de abonnee en automatisch een vergelijking uitvoeren tussen de biometrische gegevens op de foto van het identiteitsdocument van de abonnee en deze van zijn gezicht.</w:t>
            </w:r>
          </w:p>
        </w:tc>
      </w:tr>
      <w:tr w:rsidR="002C3924" w:rsidRPr="00205E14" w14:paraId="53C7E18F" w14:textId="77777777" w:rsidTr="0025113D">
        <w:tc>
          <w:tcPr>
            <w:tcW w:w="4508" w:type="dxa"/>
          </w:tcPr>
          <w:p w14:paraId="0A4BA9B1" w14:textId="77777777" w:rsidR="002C3924" w:rsidRPr="00792142" w:rsidRDefault="002C3924" w:rsidP="00792142">
            <w:pPr>
              <w:jc w:val="both"/>
              <w:rPr>
                <w:rFonts w:asciiTheme="minorHAnsi" w:hAnsiTheme="minorHAnsi" w:cstheme="minorHAnsi"/>
                <w:sz w:val="22"/>
                <w:lang w:eastAsia="fr-FR"/>
              </w:rPr>
            </w:pPr>
          </w:p>
        </w:tc>
        <w:tc>
          <w:tcPr>
            <w:tcW w:w="4508" w:type="dxa"/>
          </w:tcPr>
          <w:p w14:paraId="13B9A3A6" w14:textId="77777777" w:rsidR="002C3924" w:rsidRPr="00792142" w:rsidRDefault="002C3924" w:rsidP="00792142">
            <w:pPr>
              <w:jc w:val="both"/>
              <w:rPr>
                <w:rFonts w:asciiTheme="minorHAnsi" w:hAnsiTheme="minorHAnsi" w:cstheme="minorHAnsi"/>
                <w:sz w:val="22"/>
              </w:rPr>
            </w:pPr>
          </w:p>
        </w:tc>
      </w:tr>
      <w:tr w:rsidR="002C3924" w:rsidRPr="00205E14" w14:paraId="7CF7AF25" w14:textId="77777777" w:rsidTr="0025113D">
        <w:tc>
          <w:tcPr>
            <w:tcW w:w="4508" w:type="dxa"/>
          </w:tcPr>
          <w:p w14:paraId="36250504" w14:textId="0958EAC0" w:rsidR="002C3924" w:rsidRPr="00792142" w:rsidRDefault="002C3924" w:rsidP="00792142">
            <w:pPr>
              <w:jc w:val="both"/>
              <w:rPr>
                <w:rFonts w:asciiTheme="minorHAnsi" w:hAnsiTheme="minorHAnsi" w:cstheme="minorHAnsi"/>
                <w:sz w:val="22"/>
                <w:lang w:val="fr-BE" w:eastAsia="fr-FR"/>
              </w:rPr>
            </w:pPr>
            <w:r w:rsidRPr="00792142">
              <w:rPr>
                <w:rFonts w:asciiTheme="minorHAnsi" w:hAnsiTheme="minorHAnsi" w:cstheme="minorHAnsi"/>
                <w:color w:val="000000"/>
                <w:sz w:val="22"/>
                <w:lang w:val="fr-BE"/>
              </w:rPr>
              <w:t xml:space="preserve">L’autorisation est accordée à un opérateur ou à une entreprise qui propose la méthode de comparaison visée à l’alinéa 3. </w:t>
            </w:r>
          </w:p>
        </w:tc>
        <w:tc>
          <w:tcPr>
            <w:tcW w:w="4508" w:type="dxa"/>
          </w:tcPr>
          <w:p w14:paraId="453E2AAB" w14:textId="333275FB" w:rsidR="002C3924" w:rsidRPr="00792142" w:rsidRDefault="002C3924" w:rsidP="00792142">
            <w:pPr>
              <w:jc w:val="both"/>
              <w:rPr>
                <w:rFonts w:asciiTheme="minorHAnsi" w:hAnsiTheme="minorHAnsi" w:cstheme="minorHAnsi"/>
                <w:sz w:val="22"/>
              </w:rPr>
            </w:pPr>
            <w:r w:rsidRPr="00792142">
              <w:rPr>
                <w:rFonts w:asciiTheme="minorHAnsi" w:hAnsiTheme="minorHAnsi" w:cstheme="minorHAnsi"/>
                <w:color w:val="000000" w:themeColor="text1"/>
                <w:sz w:val="22"/>
              </w:rPr>
              <w:t>De machtiging wordt verleend aan een operator of aan een onderneming die de in het derde lid bedoelde vergelijkingsmethode aanbiedt.</w:t>
            </w:r>
          </w:p>
        </w:tc>
      </w:tr>
      <w:tr w:rsidR="002C3924" w:rsidRPr="00205E14" w14:paraId="190A5069" w14:textId="77777777" w:rsidTr="0025113D">
        <w:tc>
          <w:tcPr>
            <w:tcW w:w="4508" w:type="dxa"/>
          </w:tcPr>
          <w:p w14:paraId="393320A6" w14:textId="77777777" w:rsidR="002C3924" w:rsidRPr="00792142" w:rsidRDefault="002C3924" w:rsidP="00792142">
            <w:pPr>
              <w:jc w:val="both"/>
              <w:rPr>
                <w:rFonts w:asciiTheme="minorHAnsi" w:hAnsiTheme="minorHAnsi" w:cstheme="minorHAnsi"/>
                <w:sz w:val="22"/>
                <w:lang w:eastAsia="fr-FR"/>
              </w:rPr>
            </w:pPr>
          </w:p>
        </w:tc>
        <w:tc>
          <w:tcPr>
            <w:tcW w:w="4508" w:type="dxa"/>
          </w:tcPr>
          <w:p w14:paraId="79785964" w14:textId="77777777" w:rsidR="002C3924" w:rsidRPr="00792142" w:rsidRDefault="002C3924" w:rsidP="00792142">
            <w:pPr>
              <w:jc w:val="both"/>
              <w:rPr>
                <w:rFonts w:asciiTheme="minorHAnsi" w:hAnsiTheme="minorHAnsi" w:cstheme="minorHAnsi"/>
                <w:sz w:val="22"/>
              </w:rPr>
            </w:pPr>
          </w:p>
        </w:tc>
      </w:tr>
      <w:tr w:rsidR="002C3924" w:rsidRPr="00205E14" w14:paraId="44B26037" w14:textId="77777777" w:rsidTr="0025113D">
        <w:tc>
          <w:tcPr>
            <w:tcW w:w="4508" w:type="dxa"/>
          </w:tcPr>
          <w:p w14:paraId="3BBB8205" w14:textId="31E4FACC" w:rsidR="002C3924" w:rsidRPr="00792142" w:rsidRDefault="002C3924" w:rsidP="00792142">
            <w:pPr>
              <w:jc w:val="both"/>
              <w:rPr>
                <w:rFonts w:asciiTheme="minorHAnsi" w:hAnsiTheme="minorHAnsi" w:cstheme="minorHAnsi"/>
                <w:sz w:val="22"/>
                <w:lang w:val="fr-BE" w:eastAsia="fr-FR"/>
              </w:rPr>
            </w:pPr>
            <w:r w:rsidRPr="00792142">
              <w:rPr>
                <w:rFonts w:asciiTheme="minorHAnsi" w:hAnsiTheme="minorHAnsi" w:cstheme="minorHAnsi"/>
                <w:sz w:val="22"/>
                <w:lang w:val="fr-FR"/>
              </w:rPr>
              <w:t xml:space="preserve">L’autorisation visée à l’alinéa 3 a pour objectif de vérifier la fiabilité de cette comparaison pour les besoins des autorités. </w:t>
            </w:r>
            <w:r w:rsidRPr="00792142">
              <w:rPr>
                <w:rFonts w:asciiTheme="minorHAnsi" w:hAnsiTheme="minorHAnsi" w:cstheme="minorHAnsi"/>
                <w:color w:val="000000" w:themeColor="text1"/>
                <w:sz w:val="22"/>
                <w:lang w:val="fr-FR"/>
              </w:rPr>
              <w:t xml:space="preserve">  </w:t>
            </w:r>
          </w:p>
        </w:tc>
        <w:tc>
          <w:tcPr>
            <w:tcW w:w="4508" w:type="dxa"/>
          </w:tcPr>
          <w:p w14:paraId="2377C44C" w14:textId="38762B11" w:rsidR="002C3924" w:rsidRPr="00792142" w:rsidRDefault="002C3924" w:rsidP="00792142">
            <w:pPr>
              <w:jc w:val="both"/>
              <w:rPr>
                <w:rFonts w:asciiTheme="minorHAnsi" w:hAnsiTheme="minorHAnsi" w:cstheme="minorHAnsi"/>
                <w:sz w:val="22"/>
              </w:rPr>
            </w:pPr>
            <w:r w:rsidRPr="00792142">
              <w:rPr>
                <w:rFonts w:asciiTheme="minorHAnsi" w:hAnsiTheme="minorHAnsi" w:cstheme="minorHAnsi"/>
                <w:sz w:val="22"/>
              </w:rPr>
              <w:t xml:space="preserve">De in het derde lid bedoelde machtiging heeft tot doel de betrouwbaarheid van deze vergelijking ten behoeve van de autoriteiten na te gaan. </w:t>
            </w:r>
            <w:r w:rsidRPr="00792142">
              <w:rPr>
                <w:rFonts w:asciiTheme="minorHAnsi" w:hAnsiTheme="minorHAnsi" w:cstheme="minorHAnsi"/>
                <w:color w:val="000000" w:themeColor="text1"/>
                <w:sz w:val="22"/>
              </w:rPr>
              <w:t xml:space="preserve">  </w:t>
            </w:r>
          </w:p>
        </w:tc>
      </w:tr>
      <w:tr w:rsidR="002C3924" w:rsidRPr="00205E14" w14:paraId="05843C37" w14:textId="77777777" w:rsidTr="0025113D">
        <w:tc>
          <w:tcPr>
            <w:tcW w:w="4508" w:type="dxa"/>
          </w:tcPr>
          <w:p w14:paraId="0A21F833" w14:textId="77777777" w:rsidR="002C3924" w:rsidRPr="00792142" w:rsidRDefault="002C3924" w:rsidP="00792142">
            <w:pPr>
              <w:jc w:val="both"/>
              <w:rPr>
                <w:rFonts w:asciiTheme="minorHAnsi" w:hAnsiTheme="minorHAnsi" w:cstheme="minorHAnsi"/>
                <w:sz w:val="22"/>
                <w:lang w:eastAsia="fr-FR"/>
              </w:rPr>
            </w:pPr>
          </w:p>
        </w:tc>
        <w:tc>
          <w:tcPr>
            <w:tcW w:w="4508" w:type="dxa"/>
          </w:tcPr>
          <w:p w14:paraId="543B6450" w14:textId="77777777" w:rsidR="002C3924" w:rsidRPr="00792142" w:rsidRDefault="002C3924" w:rsidP="00792142">
            <w:pPr>
              <w:jc w:val="both"/>
              <w:rPr>
                <w:rFonts w:asciiTheme="minorHAnsi" w:hAnsiTheme="minorHAnsi" w:cstheme="minorHAnsi"/>
                <w:sz w:val="22"/>
              </w:rPr>
            </w:pPr>
          </w:p>
        </w:tc>
      </w:tr>
      <w:tr w:rsidR="002C3924" w:rsidRPr="00205E14" w14:paraId="5D87E8F3" w14:textId="77777777" w:rsidTr="0025113D">
        <w:tc>
          <w:tcPr>
            <w:tcW w:w="4508" w:type="dxa"/>
          </w:tcPr>
          <w:p w14:paraId="3D06B3B7" w14:textId="285F058B" w:rsidR="002C3924" w:rsidRPr="00792142" w:rsidRDefault="002C3924" w:rsidP="00792142">
            <w:pPr>
              <w:jc w:val="both"/>
              <w:rPr>
                <w:rFonts w:asciiTheme="minorHAnsi" w:hAnsiTheme="minorHAnsi" w:cstheme="minorHAnsi"/>
                <w:sz w:val="22"/>
                <w:lang w:val="fr-BE" w:eastAsia="fr-FR"/>
              </w:rPr>
            </w:pPr>
            <w:r w:rsidRPr="00792142">
              <w:rPr>
                <w:rFonts w:asciiTheme="minorHAnsi" w:hAnsiTheme="minorHAnsi" w:cstheme="minorHAnsi"/>
                <w:color w:val="000000"/>
                <w:sz w:val="22"/>
                <w:lang w:val="fr-BE"/>
              </w:rPr>
              <w:t xml:space="preserve">L’opérateur offre à l’abonné au moins une manière alternative de s’identifier. </w:t>
            </w:r>
          </w:p>
        </w:tc>
        <w:tc>
          <w:tcPr>
            <w:tcW w:w="4508" w:type="dxa"/>
          </w:tcPr>
          <w:p w14:paraId="452953FD" w14:textId="60645B38" w:rsidR="002C3924" w:rsidRPr="00792142" w:rsidRDefault="002C3924" w:rsidP="00792142">
            <w:pPr>
              <w:jc w:val="both"/>
              <w:rPr>
                <w:rFonts w:asciiTheme="minorHAnsi" w:hAnsiTheme="minorHAnsi" w:cstheme="minorHAnsi"/>
                <w:sz w:val="22"/>
              </w:rPr>
            </w:pPr>
            <w:r w:rsidRPr="00792142">
              <w:rPr>
                <w:rFonts w:asciiTheme="minorHAnsi" w:hAnsiTheme="minorHAnsi" w:cstheme="minorHAnsi"/>
                <w:color w:val="000000"/>
                <w:sz w:val="22"/>
              </w:rPr>
              <w:t xml:space="preserve">De operator biedt de abonnee minstens een alternatieve manier aan om zich te identificeren. </w:t>
            </w:r>
          </w:p>
        </w:tc>
      </w:tr>
      <w:tr w:rsidR="002C3924" w:rsidRPr="00205E14" w14:paraId="06534C7D" w14:textId="77777777" w:rsidTr="0025113D">
        <w:tc>
          <w:tcPr>
            <w:tcW w:w="4508" w:type="dxa"/>
          </w:tcPr>
          <w:p w14:paraId="42009C87" w14:textId="77777777" w:rsidR="002C3924" w:rsidRPr="00792142" w:rsidRDefault="002C3924" w:rsidP="00792142">
            <w:pPr>
              <w:jc w:val="both"/>
              <w:rPr>
                <w:rFonts w:asciiTheme="minorHAnsi" w:hAnsiTheme="minorHAnsi" w:cstheme="minorHAnsi"/>
                <w:sz w:val="22"/>
                <w:lang w:eastAsia="fr-FR"/>
              </w:rPr>
            </w:pPr>
          </w:p>
        </w:tc>
        <w:tc>
          <w:tcPr>
            <w:tcW w:w="4508" w:type="dxa"/>
          </w:tcPr>
          <w:p w14:paraId="2C81B040" w14:textId="77777777" w:rsidR="002C3924" w:rsidRPr="00792142" w:rsidRDefault="002C3924" w:rsidP="00792142">
            <w:pPr>
              <w:jc w:val="both"/>
              <w:rPr>
                <w:rFonts w:asciiTheme="minorHAnsi" w:hAnsiTheme="minorHAnsi" w:cstheme="minorHAnsi"/>
                <w:sz w:val="22"/>
              </w:rPr>
            </w:pPr>
          </w:p>
        </w:tc>
      </w:tr>
      <w:tr w:rsidR="002C3924" w:rsidRPr="00205E14" w14:paraId="28A2F14A" w14:textId="77777777" w:rsidTr="0025113D">
        <w:tc>
          <w:tcPr>
            <w:tcW w:w="4508" w:type="dxa"/>
          </w:tcPr>
          <w:p w14:paraId="44AA0498" w14:textId="4EFC6521" w:rsidR="002C3924" w:rsidRPr="00792142" w:rsidRDefault="002C3924" w:rsidP="00792142">
            <w:pPr>
              <w:jc w:val="both"/>
              <w:rPr>
                <w:rFonts w:asciiTheme="minorHAnsi" w:hAnsiTheme="minorHAnsi" w:cstheme="minorHAnsi"/>
                <w:sz w:val="22"/>
                <w:lang w:val="fr-BE" w:eastAsia="fr-FR"/>
              </w:rPr>
            </w:pPr>
            <w:r w:rsidRPr="00792142">
              <w:rPr>
                <w:rFonts w:asciiTheme="minorHAnsi" w:hAnsiTheme="minorHAnsi" w:cstheme="minorHAnsi"/>
                <w:color w:val="000000" w:themeColor="text1"/>
                <w:sz w:val="22"/>
                <w:lang w:val="fr-FR"/>
              </w:rPr>
              <w:t xml:space="preserve">L’opérateur et le point de vente ne peuvent communiquer ces paramètres biométriques à un tiers au sens de l’article 4, </w:t>
            </w:r>
            <w:r w:rsidRPr="00792142">
              <w:rPr>
                <w:rFonts w:asciiTheme="minorHAnsi" w:hAnsiTheme="minorHAnsi" w:cstheme="minorHAnsi"/>
                <w:color w:val="000000"/>
                <w:sz w:val="22"/>
                <w:lang w:val="fr-BE"/>
              </w:rPr>
              <w:t>10) du RGPD</w:t>
            </w:r>
            <w:r w:rsidRPr="00792142">
              <w:rPr>
                <w:rFonts w:asciiTheme="minorHAnsi" w:hAnsiTheme="minorHAnsi" w:cstheme="minorHAnsi"/>
                <w:color w:val="000000" w:themeColor="text1"/>
                <w:sz w:val="22"/>
                <w:lang w:val="fr-FR"/>
              </w:rPr>
              <w:t xml:space="preserve">. Ils ne peuvent les </w:t>
            </w:r>
            <w:r w:rsidR="004F2323">
              <w:rPr>
                <w:rFonts w:asciiTheme="minorHAnsi" w:hAnsiTheme="minorHAnsi" w:cstheme="minorHAnsi"/>
                <w:color w:val="000000" w:themeColor="text1"/>
                <w:sz w:val="22"/>
                <w:lang w:val="fr-FR"/>
              </w:rPr>
              <w:t xml:space="preserve">traiter que dans les limites nécessaires en vue d’accomplir la finalité de </w:t>
            </w:r>
            <w:r w:rsidRPr="00792142">
              <w:rPr>
                <w:rFonts w:asciiTheme="minorHAnsi" w:hAnsiTheme="minorHAnsi" w:cstheme="minorHAnsi"/>
                <w:color w:val="000000" w:themeColor="text1"/>
                <w:sz w:val="22"/>
                <w:lang w:val="fr-FR"/>
              </w:rPr>
              <w:t xml:space="preserve">comparaison </w:t>
            </w:r>
            <w:r w:rsidR="004F2323">
              <w:rPr>
                <w:rFonts w:asciiTheme="minorHAnsi" w:hAnsiTheme="minorHAnsi" w:cstheme="minorHAnsi"/>
                <w:color w:val="000000" w:themeColor="text1"/>
                <w:sz w:val="22"/>
                <w:lang w:val="fr-FR"/>
              </w:rPr>
              <w:t xml:space="preserve">faciale </w:t>
            </w:r>
            <w:r w:rsidRPr="00792142">
              <w:rPr>
                <w:rFonts w:asciiTheme="minorHAnsi" w:hAnsiTheme="minorHAnsi" w:cstheme="minorHAnsi"/>
                <w:color w:val="000000" w:themeColor="text1"/>
                <w:sz w:val="22"/>
                <w:lang w:val="fr-FR"/>
              </w:rPr>
              <w:t xml:space="preserve">visée à l’alinéa 3. </w:t>
            </w:r>
          </w:p>
        </w:tc>
        <w:tc>
          <w:tcPr>
            <w:tcW w:w="4508" w:type="dxa"/>
          </w:tcPr>
          <w:p w14:paraId="497F0300" w14:textId="213F9C9D" w:rsidR="002C3924" w:rsidRPr="00792142" w:rsidRDefault="002C3924" w:rsidP="00792142">
            <w:pPr>
              <w:jc w:val="both"/>
              <w:rPr>
                <w:rFonts w:asciiTheme="minorHAnsi" w:hAnsiTheme="minorHAnsi" w:cstheme="minorHAnsi"/>
                <w:sz w:val="22"/>
              </w:rPr>
            </w:pPr>
            <w:r w:rsidRPr="00792142">
              <w:rPr>
                <w:rFonts w:asciiTheme="minorHAnsi" w:hAnsiTheme="minorHAnsi" w:cstheme="minorHAnsi"/>
                <w:color w:val="000000" w:themeColor="text1"/>
                <w:sz w:val="22"/>
              </w:rPr>
              <w:t xml:space="preserve">De operator en het verkooppunt mogen deze biometrische parameters niet meedelen aan een derde als bedoeld in artikel 4, </w:t>
            </w:r>
            <w:r w:rsidRPr="00792142">
              <w:rPr>
                <w:rFonts w:asciiTheme="minorHAnsi" w:hAnsiTheme="minorHAnsi" w:cstheme="minorHAnsi"/>
                <w:color w:val="000000"/>
                <w:sz w:val="22"/>
              </w:rPr>
              <w:t>10) van de AVG</w:t>
            </w:r>
            <w:r w:rsidRPr="00792142">
              <w:rPr>
                <w:rFonts w:asciiTheme="minorHAnsi" w:hAnsiTheme="minorHAnsi" w:cstheme="minorHAnsi"/>
                <w:color w:val="000000" w:themeColor="text1"/>
                <w:sz w:val="22"/>
              </w:rPr>
              <w:t>. Zij mogen</w:t>
            </w:r>
            <w:r w:rsidR="004C503D">
              <w:t xml:space="preserve"> </w:t>
            </w:r>
            <w:r w:rsidR="004C503D" w:rsidRPr="004C503D">
              <w:rPr>
                <w:rFonts w:asciiTheme="minorHAnsi" w:hAnsiTheme="minorHAnsi" w:cstheme="minorHAnsi"/>
                <w:color w:val="000000" w:themeColor="text1"/>
                <w:sz w:val="22"/>
              </w:rPr>
              <w:t>deze maar verwerken binnen de limieten die nodig zijn om het in het derde lid beoogde doel van gezichtsvergelijking te verwezenlijken</w:t>
            </w:r>
            <w:r w:rsidRPr="00792142">
              <w:rPr>
                <w:rFonts w:asciiTheme="minorHAnsi" w:hAnsiTheme="minorHAnsi" w:cstheme="minorHAnsi"/>
                <w:color w:val="000000" w:themeColor="text1"/>
                <w:sz w:val="22"/>
              </w:rPr>
              <w:t xml:space="preserve">. </w:t>
            </w:r>
          </w:p>
        </w:tc>
      </w:tr>
      <w:tr w:rsidR="002C3924" w:rsidRPr="00205E14" w14:paraId="1682C905" w14:textId="77777777" w:rsidTr="0025113D">
        <w:tc>
          <w:tcPr>
            <w:tcW w:w="4508" w:type="dxa"/>
          </w:tcPr>
          <w:p w14:paraId="0E0F7901" w14:textId="77777777" w:rsidR="002C3924" w:rsidRPr="00205E14" w:rsidRDefault="002C3924" w:rsidP="002C3924">
            <w:pPr>
              <w:rPr>
                <w:rFonts w:asciiTheme="minorHAnsi" w:hAnsiTheme="minorHAnsi" w:cstheme="minorHAnsi"/>
                <w:sz w:val="22"/>
                <w:lang w:eastAsia="fr-FR"/>
              </w:rPr>
            </w:pPr>
          </w:p>
        </w:tc>
        <w:tc>
          <w:tcPr>
            <w:tcW w:w="4508" w:type="dxa"/>
          </w:tcPr>
          <w:p w14:paraId="02A1DC08" w14:textId="77777777" w:rsidR="002C3924" w:rsidRPr="00205E14" w:rsidRDefault="002C3924" w:rsidP="002C3924">
            <w:pPr>
              <w:rPr>
                <w:rFonts w:asciiTheme="minorHAnsi" w:hAnsiTheme="minorHAnsi" w:cstheme="minorHAnsi"/>
                <w:sz w:val="22"/>
              </w:rPr>
            </w:pPr>
          </w:p>
        </w:tc>
      </w:tr>
      <w:tr w:rsidR="006452AE" w:rsidRPr="00D608D4" w14:paraId="2A479B45" w14:textId="77777777" w:rsidTr="0025113D">
        <w:tc>
          <w:tcPr>
            <w:tcW w:w="4508" w:type="dxa"/>
          </w:tcPr>
          <w:p w14:paraId="0DF6E200" w14:textId="50C5F5F0" w:rsidR="006452AE" w:rsidRPr="00B81FB2" w:rsidRDefault="006452AE" w:rsidP="00B81FB2">
            <w:pPr>
              <w:jc w:val="both"/>
              <w:rPr>
                <w:rFonts w:asciiTheme="minorHAnsi" w:hAnsiTheme="minorHAnsi" w:cstheme="minorHAnsi"/>
                <w:sz w:val="22"/>
                <w:lang w:val="fr-BE" w:eastAsia="fr-FR"/>
              </w:rPr>
            </w:pPr>
            <w:r>
              <w:rPr>
                <w:rFonts w:asciiTheme="minorHAnsi" w:hAnsiTheme="minorHAnsi" w:cstheme="minorHAnsi"/>
                <w:sz w:val="22"/>
                <w:lang w:val="fr-BE" w:eastAsia="fr-FR"/>
              </w:rPr>
              <w:t xml:space="preserve">Lorsque l’abonné </w:t>
            </w:r>
            <w:r w:rsidR="00530AB0">
              <w:rPr>
                <w:rFonts w:asciiTheme="minorHAnsi" w:hAnsiTheme="minorHAnsi" w:cstheme="minorHAnsi"/>
                <w:sz w:val="22"/>
                <w:lang w:val="fr-BE" w:eastAsia="fr-FR"/>
              </w:rPr>
              <w:t>s’identifie à l’aide d’</w:t>
            </w:r>
            <w:r>
              <w:rPr>
                <w:rFonts w:asciiTheme="minorHAnsi" w:hAnsiTheme="minorHAnsi" w:cstheme="minorHAnsi"/>
                <w:sz w:val="22"/>
                <w:lang w:val="fr-BE" w:eastAsia="fr-FR"/>
              </w:rPr>
              <w:t xml:space="preserve">une carte d’identité électronique belge et que l’opérateur n’a pas mis en œuvre la méthode de comparaison faciale visée à l’alinéa 3, </w:t>
            </w:r>
            <w:r w:rsidR="00B81FB2">
              <w:rPr>
                <w:rFonts w:asciiTheme="minorHAnsi" w:hAnsiTheme="minorHAnsi" w:cstheme="minorHAnsi"/>
                <w:sz w:val="22"/>
                <w:lang w:val="fr-BE" w:eastAsia="fr-FR"/>
              </w:rPr>
              <w:t xml:space="preserve">l’opérateur peut demander </w:t>
            </w:r>
            <w:r w:rsidR="003B29D5">
              <w:rPr>
                <w:rFonts w:asciiTheme="minorHAnsi" w:hAnsiTheme="minorHAnsi" w:cstheme="minorHAnsi"/>
                <w:sz w:val="22"/>
                <w:lang w:val="fr-BE" w:eastAsia="fr-FR"/>
              </w:rPr>
              <w:t xml:space="preserve">à l’abonné </w:t>
            </w:r>
            <w:r w:rsidR="00530AB0">
              <w:rPr>
                <w:rFonts w:asciiTheme="minorHAnsi" w:hAnsiTheme="minorHAnsi" w:cstheme="minorHAnsi"/>
                <w:sz w:val="22"/>
                <w:lang w:val="fr-BE" w:eastAsia="fr-FR"/>
              </w:rPr>
              <w:t xml:space="preserve"> l’introduction du code PIN. </w:t>
            </w:r>
          </w:p>
        </w:tc>
        <w:tc>
          <w:tcPr>
            <w:tcW w:w="4508" w:type="dxa"/>
          </w:tcPr>
          <w:p w14:paraId="5348C8AE" w14:textId="17210817" w:rsidR="006452AE" w:rsidRPr="00D608D4" w:rsidRDefault="00D608D4" w:rsidP="00B81FB2">
            <w:pPr>
              <w:jc w:val="both"/>
              <w:rPr>
                <w:rFonts w:asciiTheme="minorHAnsi" w:hAnsiTheme="minorHAnsi" w:cstheme="minorHAnsi"/>
                <w:sz w:val="22"/>
              </w:rPr>
            </w:pPr>
            <w:r>
              <w:rPr>
                <w:rFonts w:asciiTheme="minorHAnsi" w:hAnsiTheme="minorHAnsi"/>
                <w:sz w:val="22"/>
              </w:rPr>
              <w:t xml:space="preserve">Wanneer de abonnee zich aan de hand van een Belgische elektronische identiteitskaart identificeert en de operator de in het derde lid bedoelde methode van gezichtsvergelijking niet </w:t>
            </w:r>
            <w:r w:rsidR="00281341">
              <w:rPr>
                <w:rFonts w:asciiTheme="minorHAnsi" w:hAnsiTheme="minorHAnsi"/>
                <w:sz w:val="22"/>
              </w:rPr>
              <w:t xml:space="preserve">heeft </w:t>
            </w:r>
            <w:r>
              <w:rPr>
                <w:rFonts w:asciiTheme="minorHAnsi" w:hAnsiTheme="minorHAnsi"/>
                <w:sz w:val="22"/>
              </w:rPr>
              <w:t xml:space="preserve">toegepast, kan de </w:t>
            </w:r>
            <w:r w:rsidR="00281341" w:rsidRPr="00281341">
              <w:rPr>
                <w:rFonts w:asciiTheme="minorHAnsi" w:hAnsiTheme="minorHAnsi"/>
                <w:sz w:val="22"/>
              </w:rPr>
              <w:t xml:space="preserve">kan de operator aan de abonnee vragen om </w:t>
            </w:r>
            <w:r>
              <w:rPr>
                <w:rFonts w:asciiTheme="minorHAnsi" w:hAnsiTheme="minorHAnsi"/>
                <w:sz w:val="22"/>
              </w:rPr>
              <w:t>de pincode in te tikken.</w:t>
            </w:r>
          </w:p>
        </w:tc>
      </w:tr>
      <w:tr w:rsidR="006452AE" w:rsidRPr="00D608D4" w14:paraId="42A966BE" w14:textId="77777777" w:rsidTr="0025113D">
        <w:tc>
          <w:tcPr>
            <w:tcW w:w="4508" w:type="dxa"/>
          </w:tcPr>
          <w:p w14:paraId="2554E504" w14:textId="77777777" w:rsidR="006452AE" w:rsidRPr="00D608D4" w:rsidRDefault="006452AE" w:rsidP="002C3924">
            <w:pPr>
              <w:rPr>
                <w:rFonts w:asciiTheme="minorHAnsi" w:hAnsiTheme="minorHAnsi" w:cstheme="minorHAnsi"/>
                <w:sz w:val="22"/>
                <w:lang w:eastAsia="fr-FR"/>
              </w:rPr>
            </w:pPr>
          </w:p>
        </w:tc>
        <w:tc>
          <w:tcPr>
            <w:tcW w:w="4508" w:type="dxa"/>
          </w:tcPr>
          <w:p w14:paraId="44E28F89" w14:textId="77777777" w:rsidR="006452AE" w:rsidRPr="00D608D4" w:rsidRDefault="006452AE" w:rsidP="002C3924">
            <w:pPr>
              <w:rPr>
                <w:rFonts w:asciiTheme="minorHAnsi" w:hAnsiTheme="minorHAnsi" w:cstheme="minorHAnsi"/>
                <w:sz w:val="22"/>
              </w:rPr>
            </w:pPr>
          </w:p>
        </w:tc>
      </w:tr>
      <w:tr w:rsidR="00792142" w:rsidRPr="00205E14" w14:paraId="610D3677" w14:textId="77777777" w:rsidTr="0025113D">
        <w:tc>
          <w:tcPr>
            <w:tcW w:w="4508" w:type="dxa"/>
          </w:tcPr>
          <w:p w14:paraId="32667B71" w14:textId="4B6816C9" w:rsidR="00792142" w:rsidRPr="00BA197B" w:rsidRDefault="00792142" w:rsidP="00BA197B">
            <w:pPr>
              <w:jc w:val="both"/>
              <w:rPr>
                <w:rFonts w:asciiTheme="minorHAnsi" w:hAnsiTheme="minorHAnsi" w:cstheme="minorHAnsi"/>
                <w:sz w:val="22"/>
                <w:lang w:val="fr-BE" w:eastAsia="fr-FR"/>
              </w:rPr>
            </w:pPr>
            <w:r w:rsidRPr="00BA197B">
              <w:rPr>
                <w:rFonts w:asciiTheme="minorHAnsi" w:hAnsiTheme="minorHAnsi" w:cstheme="minorHAnsi"/>
                <w:b/>
                <w:bCs/>
                <w:color w:val="000000"/>
                <w:sz w:val="22"/>
                <w:lang w:val="fr-BE"/>
              </w:rPr>
              <w:t>§ 5.</w:t>
            </w:r>
            <w:r w:rsidRPr="00BA197B">
              <w:rPr>
                <w:rFonts w:asciiTheme="minorHAnsi" w:hAnsiTheme="minorHAnsi" w:cstheme="minorHAnsi"/>
                <w:color w:val="000000"/>
                <w:sz w:val="22"/>
                <w:lang w:val="fr-BE"/>
              </w:rPr>
              <w:t xml:space="preserve"> Les documents d’identification</w:t>
            </w:r>
            <w:r w:rsidR="00BA197B">
              <w:rPr>
                <w:rFonts w:asciiTheme="minorHAnsi" w:hAnsiTheme="minorHAnsi" w:cstheme="minorHAnsi"/>
                <w:color w:val="000000"/>
                <w:sz w:val="22"/>
                <w:lang w:val="fr-BE"/>
              </w:rPr>
              <w:t xml:space="preserve"> </w:t>
            </w:r>
            <w:r w:rsidRPr="00BA197B">
              <w:rPr>
                <w:rFonts w:asciiTheme="minorHAnsi" w:hAnsiTheme="minorHAnsi" w:cstheme="minorHAnsi"/>
                <w:color w:val="000000"/>
                <w:sz w:val="22"/>
                <w:lang w:val="fr-BE"/>
              </w:rPr>
              <w:t xml:space="preserve">qui sont admis pour identifier l’abonné qui est une personne physique sont les suivants : </w:t>
            </w:r>
          </w:p>
        </w:tc>
        <w:tc>
          <w:tcPr>
            <w:tcW w:w="4508" w:type="dxa"/>
          </w:tcPr>
          <w:p w14:paraId="209A787E" w14:textId="449B32CC" w:rsidR="00792142" w:rsidRPr="00BA197B" w:rsidRDefault="00792142" w:rsidP="00BA197B">
            <w:pPr>
              <w:jc w:val="both"/>
              <w:rPr>
                <w:rFonts w:asciiTheme="minorHAnsi" w:hAnsiTheme="minorHAnsi" w:cstheme="minorHAnsi"/>
                <w:sz w:val="22"/>
              </w:rPr>
            </w:pPr>
            <w:r w:rsidRPr="00BA197B">
              <w:rPr>
                <w:rFonts w:asciiTheme="minorHAnsi" w:hAnsiTheme="minorHAnsi" w:cstheme="minorHAnsi"/>
                <w:b/>
                <w:bCs/>
                <w:color w:val="000000"/>
                <w:sz w:val="22"/>
              </w:rPr>
              <w:t>§ 5.</w:t>
            </w:r>
            <w:r w:rsidRPr="00BA197B">
              <w:rPr>
                <w:rFonts w:asciiTheme="minorHAnsi" w:hAnsiTheme="minorHAnsi" w:cstheme="minorHAnsi"/>
                <w:color w:val="000000"/>
                <w:sz w:val="22"/>
              </w:rPr>
              <w:t xml:space="preserve"> </w:t>
            </w:r>
            <w:r w:rsidRPr="00BA197B">
              <w:rPr>
                <w:rFonts w:asciiTheme="minorHAnsi" w:hAnsiTheme="minorHAnsi" w:cstheme="minorHAnsi"/>
                <w:color w:val="000000" w:themeColor="text1"/>
                <w:sz w:val="22"/>
              </w:rPr>
              <w:t>De toegestane identificatiedocumenten ter identificatie van de abonnee die een natuurlijke persoon is, zijn de volgende:</w:t>
            </w:r>
          </w:p>
        </w:tc>
      </w:tr>
      <w:tr w:rsidR="00792142" w:rsidRPr="00205E14" w14:paraId="6833A6CA" w14:textId="77777777" w:rsidTr="0025113D">
        <w:tc>
          <w:tcPr>
            <w:tcW w:w="4508" w:type="dxa"/>
          </w:tcPr>
          <w:p w14:paraId="52EF5204" w14:textId="77777777" w:rsidR="00792142" w:rsidRPr="00BA197B" w:rsidRDefault="00792142" w:rsidP="00BA197B">
            <w:pPr>
              <w:jc w:val="both"/>
              <w:rPr>
                <w:rFonts w:asciiTheme="minorHAnsi" w:hAnsiTheme="minorHAnsi" w:cstheme="minorHAnsi"/>
                <w:sz w:val="22"/>
                <w:lang w:eastAsia="fr-FR"/>
              </w:rPr>
            </w:pPr>
          </w:p>
        </w:tc>
        <w:tc>
          <w:tcPr>
            <w:tcW w:w="4508" w:type="dxa"/>
          </w:tcPr>
          <w:p w14:paraId="422A34AD" w14:textId="77777777" w:rsidR="00792142" w:rsidRPr="00BA197B" w:rsidRDefault="00792142" w:rsidP="00BA197B">
            <w:pPr>
              <w:jc w:val="both"/>
              <w:rPr>
                <w:rFonts w:asciiTheme="minorHAnsi" w:hAnsiTheme="minorHAnsi" w:cstheme="minorHAnsi"/>
                <w:sz w:val="22"/>
              </w:rPr>
            </w:pPr>
          </w:p>
        </w:tc>
      </w:tr>
      <w:tr w:rsidR="00792142" w:rsidRPr="00205E14" w14:paraId="0018C67F" w14:textId="77777777" w:rsidTr="0025113D">
        <w:tc>
          <w:tcPr>
            <w:tcW w:w="4508" w:type="dxa"/>
          </w:tcPr>
          <w:p w14:paraId="20927A56" w14:textId="56DB11E1" w:rsidR="00792142" w:rsidRPr="00BA197B" w:rsidRDefault="00792142" w:rsidP="00BA197B">
            <w:pPr>
              <w:jc w:val="both"/>
              <w:rPr>
                <w:rFonts w:asciiTheme="minorHAnsi" w:hAnsiTheme="minorHAnsi" w:cstheme="minorHAnsi"/>
                <w:sz w:val="22"/>
                <w:lang w:val="fr-BE" w:eastAsia="fr-FR"/>
              </w:rPr>
            </w:pPr>
            <w:r w:rsidRPr="00BA197B">
              <w:rPr>
                <w:rFonts w:asciiTheme="minorHAnsi" w:hAnsiTheme="minorHAnsi" w:cstheme="minorHAnsi"/>
                <w:sz w:val="22"/>
                <w:lang w:val="fr-BE"/>
              </w:rPr>
              <w:t>1° la carte d’identité électronique belge</w:t>
            </w:r>
            <w:r w:rsidR="002E12F5">
              <w:rPr>
                <w:rFonts w:asciiTheme="minorHAnsi" w:hAnsiTheme="minorHAnsi" w:cstheme="minorHAnsi"/>
                <w:sz w:val="22"/>
                <w:lang w:val="fr-BE"/>
              </w:rPr>
              <w:t xml:space="preserve"> </w:t>
            </w:r>
            <w:r w:rsidRPr="00BA197B">
              <w:rPr>
                <w:rFonts w:asciiTheme="minorHAnsi" w:hAnsiTheme="minorHAnsi" w:cstheme="minorHAnsi"/>
                <w:sz w:val="22"/>
                <w:lang w:val="fr-BE"/>
              </w:rPr>
              <w:t>;</w:t>
            </w:r>
          </w:p>
        </w:tc>
        <w:tc>
          <w:tcPr>
            <w:tcW w:w="4508" w:type="dxa"/>
          </w:tcPr>
          <w:p w14:paraId="2E6BFEC0" w14:textId="5322D5F0" w:rsidR="00792142" w:rsidRPr="00BA197B" w:rsidRDefault="00792142" w:rsidP="00BA197B">
            <w:pPr>
              <w:jc w:val="both"/>
              <w:rPr>
                <w:rFonts w:asciiTheme="minorHAnsi" w:hAnsiTheme="minorHAnsi" w:cstheme="minorHAnsi"/>
                <w:sz w:val="22"/>
              </w:rPr>
            </w:pPr>
            <w:r w:rsidRPr="00BA197B">
              <w:rPr>
                <w:rFonts w:asciiTheme="minorHAnsi" w:hAnsiTheme="minorHAnsi" w:cstheme="minorHAnsi"/>
                <w:color w:val="000000" w:themeColor="text1"/>
                <w:sz w:val="22"/>
              </w:rPr>
              <w:t>1° de Belgische elektronische identiteitskaart;</w:t>
            </w:r>
          </w:p>
        </w:tc>
      </w:tr>
      <w:tr w:rsidR="00792142" w:rsidRPr="00205E14" w14:paraId="40C6B90A" w14:textId="77777777" w:rsidTr="0025113D">
        <w:tc>
          <w:tcPr>
            <w:tcW w:w="4508" w:type="dxa"/>
          </w:tcPr>
          <w:p w14:paraId="5183B932" w14:textId="77777777" w:rsidR="00792142" w:rsidRPr="00BA197B" w:rsidRDefault="00792142" w:rsidP="00BA197B">
            <w:pPr>
              <w:jc w:val="both"/>
              <w:rPr>
                <w:rFonts w:asciiTheme="minorHAnsi" w:hAnsiTheme="minorHAnsi" w:cstheme="minorHAnsi"/>
                <w:sz w:val="22"/>
                <w:lang w:eastAsia="fr-FR"/>
              </w:rPr>
            </w:pPr>
          </w:p>
        </w:tc>
        <w:tc>
          <w:tcPr>
            <w:tcW w:w="4508" w:type="dxa"/>
          </w:tcPr>
          <w:p w14:paraId="4564A2CF" w14:textId="77777777" w:rsidR="00792142" w:rsidRPr="00BA197B" w:rsidRDefault="00792142" w:rsidP="00BA197B">
            <w:pPr>
              <w:jc w:val="both"/>
              <w:rPr>
                <w:rFonts w:asciiTheme="minorHAnsi" w:hAnsiTheme="minorHAnsi" w:cstheme="minorHAnsi"/>
                <w:sz w:val="22"/>
              </w:rPr>
            </w:pPr>
          </w:p>
        </w:tc>
      </w:tr>
      <w:tr w:rsidR="00792142" w:rsidRPr="00205E14" w14:paraId="55DCA8CB" w14:textId="77777777" w:rsidTr="0025113D">
        <w:tc>
          <w:tcPr>
            <w:tcW w:w="4508" w:type="dxa"/>
          </w:tcPr>
          <w:p w14:paraId="22B5864F" w14:textId="36955A78" w:rsidR="00792142" w:rsidRPr="00BA197B" w:rsidRDefault="00792142" w:rsidP="00BA197B">
            <w:pPr>
              <w:jc w:val="both"/>
              <w:rPr>
                <w:rFonts w:asciiTheme="minorHAnsi" w:hAnsiTheme="minorHAnsi" w:cstheme="minorHAnsi"/>
                <w:sz w:val="22"/>
                <w:lang w:val="fr-BE" w:eastAsia="fr-FR"/>
              </w:rPr>
            </w:pPr>
            <w:r w:rsidRPr="00BA197B">
              <w:rPr>
                <w:rFonts w:asciiTheme="minorHAnsi" w:hAnsiTheme="minorHAnsi" w:cstheme="minorHAnsi"/>
                <w:sz w:val="22"/>
                <w:lang w:val="fr-BE"/>
              </w:rPr>
              <w:t>2° le passeport belge, mais uniquement pour les services de communications électroniques payés avant leur fourniture</w:t>
            </w:r>
            <w:r w:rsidR="002E12F5">
              <w:rPr>
                <w:rFonts w:asciiTheme="minorHAnsi" w:hAnsiTheme="minorHAnsi" w:cstheme="minorHAnsi"/>
                <w:sz w:val="22"/>
                <w:lang w:val="fr-BE"/>
              </w:rPr>
              <w:t xml:space="preserve"> </w:t>
            </w:r>
            <w:r w:rsidRPr="00BA197B">
              <w:rPr>
                <w:rFonts w:asciiTheme="minorHAnsi" w:hAnsiTheme="minorHAnsi" w:cstheme="minorHAnsi"/>
                <w:sz w:val="22"/>
                <w:lang w:val="fr-BE"/>
              </w:rPr>
              <w:t>;</w:t>
            </w:r>
          </w:p>
        </w:tc>
        <w:tc>
          <w:tcPr>
            <w:tcW w:w="4508" w:type="dxa"/>
          </w:tcPr>
          <w:p w14:paraId="28EE37BA" w14:textId="23308ACE" w:rsidR="00792142" w:rsidRPr="00BA197B" w:rsidRDefault="00792142" w:rsidP="00BA197B">
            <w:pPr>
              <w:jc w:val="both"/>
              <w:rPr>
                <w:rFonts w:asciiTheme="minorHAnsi" w:hAnsiTheme="minorHAnsi" w:cstheme="minorHAnsi"/>
                <w:sz w:val="22"/>
              </w:rPr>
            </w:pPr>
            <w:r w:rsidRPr="00BA197B">
              <w:rPr>
                <w:rFonts w:asciiTheme="minorHAnsi" w:hAnsiTheme="minorHAnsi" w:cstheme="minorHAnsi"/>
                <w:color w:val="000000" w:themeColor="text1"/>
                <w:sz w:val="22"/>
              </w:rPr>
              <w:t>2° het Belgisch paspoort, maar enkel voor de elektronische-communicatiediensten die dienen te worden betaald voordat ze verstrekt worden;</w:t>
            </w:r>
          </w:p>
        </w:tc>
      </w:tr>
      <w:tr w:rsidR="00792142" w:rsidRPr="00205E14" w14:paraId="0FC53A3A" w14:textId="77777777" w:rsidTr="0025113D">
        <w:tc>
          <w:tcPr>
            <w:tcW w:w="4508" w:type="dxa"/>
          </w:tcPr>
          <w:p w14:paraId="0D4465DE" w14:textId="77777777" w:rsidR="00792142" w:rsidRPr="0062099D" w:rsidRDefault="00792142" w:rsidP="00BA197B">
            <w:pPr>
              <w:jc w:val="both"/>
              <w:rPr>
                <w:rFonts w:asciiTheme="minorHAnsi" w:hAnsiTheme="minorHAnsi" w:cstheme="minorHAnsi"/>
                <w:sz w:val="22"/>
                <w:lang w:eastAsia="fr-FR"/>
              </w:rPr>
            </w:pPr>
          </w:p>
        </w:tc>
        <w:tc>
          <w:tcPr>
            <w:tcW w:w="4508" w:type="dxa"/>
          </w:tcPr>
          <w:p w14:paraId="14049B44" w14:textId="77777777" w:rsidR="00792142" w:rsidRPr="0062099D" w:rsidRDefault="00792142" w:rsidP="00BA197B">
            <w:pPr>
              <w:jc w:val="both"/>
              <w:rPr>
                <w:rFonts w:asciiTheme="minorHAnsi" w:hAnsiTheme="minorHAnsi" w:cstheme="minorHAnsi"/>
                <w:sz w:val="22"/>
              </w:rPr>
            </w:pPr>
          </w:p>
        </w:tc>
      </w:tr>
      <w:tr w:rsidR="004000A8" w:rsidRPr="00205E14" w14:paraId="11A7649B" w14:textId="77777777" w:rsidTr="0025113D">
        <w:tc>
          <w:tcPr>
            <w:tcW w:w="4508" w:type="dxa"/>
          </w:tcPr>
          <w:p w14:paraId="45071427" w14:textId="1905FAC5" w:rsidR="004000A8" w:rsidRPr="00CA2966" w:rsidRDefault="004000A8" w:rsidP="004000A8">
            <w:pPr>
              <w:jc w:val="both"/>
              <w:rPr>
                <w:rFonts w:asciiTheme="minorHAnsi" w:hAnsiTheme="minorHAnsi" w:cstheme="minorHAnsi"/>
                <w:sz w:val="22"/>
                <w:lang w:val="fr-BE" w:eastAsia="fr-FR"/>
              </w:rPr>
            </w:pPr>
            <w:r w:rsidRPr="0062099D">
              <w:rPr>
                <w:rFonts w:asciiTheme="minorHAnsi" w:hAnsiTheme="minorHAnsi" w:cstheme="minorHAnsi"/>
                <w:sz w:val="22"/>
                <w:lang w:val="fr-BE"/>
              </w:rPr>
              <w:t>3° le certificat d’inscription au registre des étrangers – séjour temporaire, délivré avant le 11 octobre 2021, en cours de validité (carte A) ;</w:t>
            </w:r>
          </w:p>
        </w:tc>
        <w:tc>
          <w:tcPr>
            <w:tcW w:w="4508" w:type="dxa"/>
          </w:tcPr>
          <w:p w14:paraId="3B9D03CB" w14:textId="6423F0EF" w:rsidR="004000A8" w:rsidRPr="0062099D" w:rsidRDefault="004000A8" w:rsidP="004000A8">
            <w:pPr>
              <w:jc w:val="both"/>
              <w:rPr>
                <w:rFonts w:asciiTheme="minorHAnsi" w:hAnsiTheme="minorHAnsi" w:cstheme="minorHAnsi"/>
                <w:sz w:val="22"/>
              </w:rPr>
            </w:pPr>
            <w:r w:rsidRPr="0062099D">
              <w:rPr>
                <w:rFonts w:asciiTheme="minorHAnsi" w:hAnsiTheme="minorHAnsi" w:cstheme="minorHAnsi"/>
                <w:color w:val="000000" w:themeColor="text1"/>
                <w:sz w:val="22"/>
              </w:rPr>
              <w:t xml:space="preserve">3° </w:t>
            </w:r>
            <w:r w:rsidRPr="0062099D">
              <w:rPr>
                <w:rFonts w:asciiTheme="minorHAnsi" w:hAnsiTheme="minorHAnsi"/>
                <w:sz w:val="22"/>
              </w:rPr>
              <w:t>het bewijs van inschrijving in het vreemdelingenregister - tijdelijk verblijf, afgeleverd voor 11 oktober 2021, nog steeds geldig (A-kaart);</w:t>
            </w:r>
          </w:p>
        </w:tc>
      </w:tr>
      <w:tr w:rsidR="004000A8" w:rsidRPr="00205E14" w14:paraId="47523A2A" w14:textId="77777777" w:rsidTr="0025113D">
        <w:tc>
          <w:tcPr>
            <w:tcW w:w="4508" w:type="dxa"/>
          </w:tcPr>
          <w:p w14:paraId="1054AFCB" w14:textId="77777777" w:rsidR="004000A8" w:rsidRPr="0062099D" w:rsidRDefault="004000A8" w:rsidP="004000A8">
            <w:pPr>
              <w:jc w:val="both"/>
              <w:rPr>
                <w:rFonts w:asciiTheme="minorHAnsi" w:hAnsiTheme="minorHAnsi" w:cstheme="minorHAnsi"/>
                <w:sz w:val="22"/>
                <w:lang w:eastAsia="fr-FR"/>
              </w:rPr>
            </w:pPr>
          </w:p>
        </w:tc>
        <w:tc>
          <w:tcPr>
            <w:tcW w:w="4508" w:type="dxa"/>
          </w:tcPr>
          <w:p w14:paraId="1BE8A6C3" w14:textId="77777777" w:rsidR="004000A8" w:rsidRPr="0062099D" w:rsidRDefault="004000A8" w:rsidP="004000A8">
            <w:pPr>
              <w:jc w:val="both"/>
              <w:rPr>
                <w:rFonts w:asciiTheme="minorHAnsi" w:hAnsiTheme="minorHAnsi" w:cstheme="minorHAnsi"/>
                <w:sz w:val="22"/>
              </w:rPr>
            </w:pPr>
          </w:p>
        </w:tc>
      </w:tr>
      <w:tr w:rsidR="004000A8" w:rsidRPr="00205E14" w14:paraId="4E8206C7" w14:textId="77777777" w:rsidTr="0025113D">
        <w:tc>
          <w:tcPr>
            <w:tcW w:w="4508" w:type="dxa"/>
          </w:tcPr>
          <w:p w14:paraId="388E475B" w14:textId="51DEE90C" w:rsidR="004000A8" w:rsidRPr="00CA2966" w:rsidRDefault="004000A8" w:rsidP="004000A8">
            <w:pPr>
              <w:jc w:val="both"/>
              <w:rPr>
                <w:rFonts w:asciiTheme="minorHAnsi" w:hAnsiTheme="minorHAnsi" w:cstheme="minorHAnsi"/>
                <w:sz w:val="22"/>
                <w:lang w:val="fr-BE" w:eastAsia="fr-FR"/>
              </w:rPr>
            </w:pPr>
            <w:r w:rsidRPr="0062099D">
              <w:rPr>
                <w:rFonts w:asciiTheme="minorHAnsi" w:hAnsiTheme="minorHAnsi" w:cstheme="minorHAnsi"/>
                <w:sz w:val="22"/>
                <w:lang w:val="fr-BE" w:eastAsia="fr-FR"/>
              </w:rPr>
              <w:t>4° le titre de séjour limité (carte A) ;</w:t>
            </w:r>
          </w:p>
        </w:tc>
        <w:tc>
          <w:tcPr>
            <w:tcW w:w="4508" w:type="dxa"/>
          </w:tcPr>
          <w:p w14:paraId="45544FB1" w14:textId="6F9F6499"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4° de beperkte verblijfstitel (A-kaart);</w:t>
            </w:r>
          </w:p>
        </w:tc>
      </w:tr>
      <w:tr w:rsidR="004000A8" w:rsidRPr="00205E14" w14:paraId="542809D9" w14:textId="77777777" w:rsidTr="0025113D">
        <w:tc>
          <w:tcPr>
            <w:tcW w:w="4508" w:type="dxa"/>
          </w:tcPr>
          <w:p w14:paraId="6D4AD316" w14:textId="77777777" w:rsidR="004000A8" w:rsidRPr="0062099D" w:rsidRDefault="004000A8" w:rsidP="004000A8">
            <w:pPr>
              <w:jc w:val="both"/>
              <w:rPr>
                <w:rFonts w:asciiTheme="minorHAnsi" w:hAnsiTheme="minorHAnsi" w:cstheme="minorHAnsi"/>
                <w:sz w:val="22"/>
                <w:lang w:eastAsia="fr-FR"/>
              </w:rPr>
            </w:pPr>
          </w:p>
        </w:tc>
        <w:tc>
          <w:tcPr>
            <w:tcW w:w="4508" w:type="dxa"/>
          </w:tcPr>
          <w:p w14:paraId="6A90E82E" w14:textId="77777777" w:rsidR="004000A8" w:rsidRPr="0062099D" w:rsidRDefault="004000A8" w:rsidP="004000A8">
            <w:pPr>
              <w:jc w:val="both"/>
              <w:rPr>
                <w:rFonts w:asciiTheme="minorHAnsi" w:hAnsiTheme="minorHAnsi" w:cstheme="minorHAnsi"/>
                <w:sz w:val="22"/>
              </w:rPr>
            </w:pPr>
          </w:p>
        </w:tc>
      </w:tr>
      <w:tr w:rsidR="004000A8" w:rsidRPr="00205E14" w14:paraId="53684D46" w14:textId="77777777" w:rsidTr="0025113D">
        <w:tc>
          <w:tcPr>
            <w:tcW w:w="4508" w:type="dxa"/>
          </w:tcPr>
          <w:p w14:paraId="1F0E9B35" w14:textId="50E3295B" w:rsidR="004000A8" w:rsidRPr="00CA2966" w:rsidRDefault="004000A8" w:rsidP="004000A8">
            <w:pPr>
              <w:jc w:val="both"/>
              <w:rPr>
                <w:rFonts w:asciiTheme="minorHAnsi" w:hAnsiTheme="minorHAnsi" w:cstheme="minorHAnsi"/>
                <w:sz w:val="22"/>
                <w:lang w:val="fr-BE" w:eastAsia="fr-FR"/>
              </w:rPr>
            </w:pPr>
            <w:r w:rsidRPr="0062099D">
              <w:rPr>
                <w:rFonts w:asciiTheme="minorHAnsi" w:hAnsiTheme="minorHAnsi" w:cstheme="minorHAnsi"/>
                <w:sz w:val="22"/>
                <w:lang w:val="fr-BE"/>
              </w:rPr>
              <w:t>5° le certificat d’inscription au registre des étrangers, délivré avant le 11 octobre 2021, en cours de validité(carte B) ;</w:t>
            </w:r>
          </w:p>
        </w:tc>
        <w:tc>
          <w:tcPr>
            <w:tcW w:w="4508" w:type="dxa"/>
          </w:tcPr>
          <w:p w14:paraId="0E64FDC6" w14:textId="35B677ED"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5° het bewijs van inschrijving in het vreemdelingenregister, afgeleverd voor 11 oktober 2021, nog steeds geldig (B-kaart);</w:t>
            </w:r>
          </w:p>
        </w:tc>
      </w:tr>
      <w:tr w:rsidR="004000A8" w:rsidRPr="00205E14" w14:paraId="53E042CF" w14:textId="77777777" w:rsidTr="0025113D">
        <w:tc>
          <w:tcPr>
            <w:tcW w:w="4508" w:type="dxa"/>
          </w:tcPr>
          <w:p w14:paraId="6369670C" w14:textId="77777777" w:rsidR="004000A8" w:rsidRPr="0062099D" w:rsidRDefault="004000A8" w:rsidP="004000A8">
            <w:pPr>
              <w:jc w:val="both"/>
              <w:rPr>
                <w:rFonts w:asciiTheme="minorHAnsi" w:hAnsiTheme="minorHAnsi" w:cstheme="minorHAnsi"/>
                <w:sz w:val="22"/>
                <w:lang w:eastAsia="fr-FR"/>
              </w:rPr>
            </w:pPr>
          </w:p>
        </w:tc>
        <w:tc>
          <w:tcPr>
            <w:tcW w:w="4508" w:type="dxa"/>
          </w:tcPr>
          <w:p w14:paraId="5DA3116C" w14:textId="77777777" w:rsidR="004000A8" w:rsidRPr="0062099D" w:rsidRDefault="004000A8" w:rsidP="004000A8">
            <w:pPr>
              <w:jc w:val="both"/>
              <w:rPr>
                <w:rFonts w:asciiTheme="minorHAnsi" w:hAnsiTheme="minorHAnsi" w:cstheme="minorHAnsi"/>
                <w:sz w:val="22"/>
              </w:rPr>
            </w:pPr>
          </w:p>
        </w:tc>
      </w:tr>
      <w:tr w:rsidR="004000A8" w:rsidRPr="00205E14" w14:paraId="4A236471" w14:textId="77777777" w:rsidTr="0025113D">
        <w:tc>
          <w:tcPr>
            <w:tcW w:w="4508" w:type="dxa"/>
          </w:tcPr>
          <w:p w14:paraId="5D6FF296" w14:textId="3423A035" w:rsidR="004000A8" w:rsidRPr="00CA2966" w:rsidRDefault="004000A8" w:rsidP="004000A8">
            <w:pPr>
              <w:jc w:val="both"/>
              <w:rPr>
                <w:rFonts w:asciiTheme="minorHAnsi" w:hAnsiTheme="minorHAnsi" w:cstheme="minorHAnsi"/>
                <w:sz w:val="22"/>
                <w:lang w:val="fr-BE" w:eastAsia="fr-FR"/>
              </w:rPr>
            </w:pPr>
            <w:r w:rsidRPr="0062099D">
              <w:rPr>
                <w:rFonts w:asciiTheme="minorHAnsi" w:hAnsiTheme="minorHAnsi" w:cstheme="minorHAnsi"/>
                <w:sz w:val="22"/>
                <w:lang w:val="fr-BE" w:eastAsia="fr-FR"/>
              </w:rPr>
              <w:t>6° le titre de séjour illimité (carte B) ;</w:t>
            </w:r>
          </w:p>
        </w:tc>
        <w:tc>
          <w:tcPr>
            <w:tcW w:w="4508" w:type="dxa"/>
          </w:tcPr>
          <w:p w14:paraId="2ABA5A35" w14:textId="55C5D450"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6° de onbeperkte verblijfstitel (B-kaart);</w:t>
            </w:r>
          </w:p>
        </w:tc>
      </w:tr>
      <w:tr w:rsidR="004000A8" w:rsidRPr="00205E14" w14:paraId="004E5A5D" w14:textId="77777777" w:rsidTr="0025113D">
        <w:tc>
          <w:tcPr>
            <w:tcW w:w="4508" w:type="dxa"/>
          </w:tcPr>
          <w:p w14:paraId="4AD11DF0" w14:textId="77777777" w:rsidR="004000A8" w:rsidRPr="0062099D" w:rsidRDefault="004000A8" w:rsidP="004000A8">
            <w:pPr>
              <w:jc w:val="both"/>
              <w:rPr>
                <w:rFonts w:asciiTheme="minorHAnsi" w:hAnsiTheme="minorHAnsi" w:cstheme="minorHAnsi"/>
                <w:sz w:val="22"/>
                <w:lang w:eastAsia="fr-FR"/>
              </w:rPr>
            </w:pPr>
          </w:p>
        </w:tc>
        <w:tc>
          <w:tcPr>
            <w:tcW w:w="4508" w:type="dxa"/>
          </w:tcPr>
          <w:p w14:paraId="537666B0" w14:textId="77777777" w:rsidR="004000A8" w:rsidRPr="0062099D" w:rsidRDefault="004000A8" w:rsidP="004000A8">
            <w:pPr>
              <w:jc w:val="both"/>
              <w:rPr>
                <w:rFonts w:asciiTheme="minorHAnsi" w:hAnsiTheme="minorHAnsi" w:cstheme="minorHAnsi"/>
                <w:sz w:val="22"/>
              </w:rPr>
            </w:pPr>
          </w:p>
        </w:tc>
      </w:tr>
      <w:tr w:rsidR="004000A8" w:rsidRPr="00205E14" w14:paraId="159C4AEA" w14:textId="77777777" w:rsidTr="0025113D">
        <w:tc>
          <w:tcPr>
            <w:tcW w:w="4508" w:type="dxa"/>
          </w:tcPr>
          <w:p w14:paraId="02D83848" w14:textId="216EF0B5" w:rsidR="004000A8" w:rsidRPr="00CA2966" w:rsidRDefault="004000A8" w:rsidP="004000A8">
            <w:pPr>
              <w:jc w:val="both"/>
              <w:rPr>
                <w:rFonts w:asciiTheme="minorHAnsi" w:hAnsiTheme="minorHAnsi" w:cstheme="minorHAnsi"/>
                <w:sz w:val="22"/>
                <w:lang w:val="fr-BE" w:eastAsia="fr-FR"/>
              </w:rPr>
            </w:pPr>
            <w:r w:rsidRPr="0062099D">
              <w:rPr>
                <w:rFonts w:asciiTheme="minorHAnsi" w:hAnsiTheme="minorHAnsi" w:cstheme="minorHAnsi"/>
                <w:sz w:val="22"/>
                <w:lang w:val="fr-BE" w:eastAsia="fr-FR"/>
              </w:rPr>
              <w:t>7° la carte d’identité d’étranger, délivrée avant le 11 octobre 2021, en cours de validité (carte C) ;</w:t>
            </w:r>
          </w:p>
        </w:tc>
        <w:tc>
          <w:tcPr>
            <w:tcW w:w="4508" w:type="dxa"/>
          </w:tcPr>
          <w:p w14:paraId="3BF3DE19" w14:textId="1CDE556E"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7° de identiteitskaart voor vreemdeling, afgeleverd voor 11 oktober 2021, nog steeds geldig (C-kaart);</w:t>
            </w:r>
          </w:p>
        </w:tc>
      </w:tr>
      <w:tr w:rsidR="004000A8" w:rsidRPr="00A80C6F" w14:paraId="4228A6A0" w14:textId="77777777" w:rsidTr="0025113D">
        <w:tc>
          <w:tcPr>
            <w:tcW w:w="4508" w:type="dxa"/>
          </w:tcPr>
          <w:p w14:paraId="328AF41B" w14:textId="0EF73818" w:rsidR="004000A8" w:rsidRPr="0062099D" w:rsidRDefault="004000A8" w:rsidP="004000A8">
            <w:pPr>
              <w:jc w:val="both"/>
              <w:rPr>
                <w:rFonts w:asciiTheme="minorHAnsi" w:hAnsiTheme="minorHAnsi" w:cstheme="minorHAnsi"/>
                <w:b/>
                <w:bCs/>
                <w:sz w:val="22"/>
              </w:rPr>
            </w:pPr>
          </w:p>
        </w:tc>
        <w:tc>
          <w:tcPr>
            <w:tcW w:w="4508" w:type="dxa"/>
          </w:tcPr>
          <w:p w14:paraId="17C38096" w14:textId="3D2FB1C2" w:rsidR="004000A8" w:rsidRPr="0062099D" w:rsidRDefault="004000A8" w:rsidP="004000A8">
            <w:pPr>
              <w:jc w:val="both"/>
              <w:rPr>
                <w:rFonts w:asciiTheme="minorHAnsi" w:hAnsiTheme="minorHAnsi" w:cstheme="minorHAnsi"/>
                <w:b/>
                <w:bCs/>
                <w:sz w:val="22"/>
              </w:rPr>
            </w:pPr>
          </w:p>
        </w:tc>
      </w:tr>
      <w:tr w:rsidR="004000A8" w:rsidRPr="00A80C6F" w14:paraId="2913AD93" w14:textId="77777777" w:rsidTr="0025113D">
        <w:tc>
          <w:tcPr>
            <w:tcW w:w="4508" w:type="dxa"/>
          </w:tcPr>
          <w:p w14:paraId="2C8D2171" w14:textId="1880251F"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8°  le titre d’établissement (carte K) ;</w:t>
            </w:r>
          </w:p>
        </w:tc>
        <w:tc>
          <w:tcPr>
            <w:tcW w:w="4508" w:type="dxa"/>
          </w:tcPr>
          <w:p w14:paraId="3D48B34F" w14:textId="071CC6AB"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8° de vestigingsvergunning (K-kaart);</w:t>
            </w:r>
          </w:p>
        </w:tc>
      </w:tr>
      <w:tr w:rsidR="004000A8" w:rsidRPr="00A80C6F" w14:paraId="130BF655" w14:textId="77777777" w:rsidTr="0025113D">
        <w:tc>
          <w:tcPr>
            <w:tcW w:w="4508" w:type="dxa"/>
          </w:tcPr>
          <w:p w14:paraId="72F6AC01" w14:textId="428D3547" w:rsidR="004000A8" w:rsidRPr="0062099D" w:rsidRDefault="004000A8" w:rsidP="004000A8">
            <w:pPr>
              <w:jc w:val="both"/>
              <w:rPr>
                <w:rFonts w:asciiTheme="minorHAnsi" w:hAnsiTheme="minorHAnsi" w:cstheme="minorHAnsi"/>
                <w:b/>
                <w:bCs/>
                <w:sz w:val="22"/>
              </w:rPr>
            </w:pPr>
          </w:p>
        </w:tc>
        <w:tc>
          <w:tcPr>
            <w:tcW w:w="4508" w:type="dxa"/>
          </w:tcPr>
          <w:p w14:paraId="7C3186C4" w14:textId="3E41BF62" w:rsidR="004000A8" w:rsidRPr="0062099D" w:rsidRDefault="004000A8" w:rsidP="004000A8">
            <w:pPr>
              <w:jc w:val="both"/>
              <w:rPr>
                <w:rFonts w:asciiTheme="minorHAnsi" w:hAnsiTheme="minorHAnsi" w:cstheme="minorHAnsi"/>
                <w:b/>
                <w:bCs/>
                <w:sz w:val="22"/>
              </w:rPr>
            </w:pPr>
          </w:p>
        </w:tc>
      </w:tr>
      <w:tr w:rsidR="004000A8" w:rsidRPr="00A80C6F" w14:paraId="0310AA13" w14:textId="77777777" w:rsidTr="0025113D">
        <w:tc>
          <w:tcPr>
            <w:tcW w:w="4508" w:type="dxa"/>
          </w:tcPr>
          <w:p w14:paraId="4CF5C85C" w14:textId="75FE4EA2"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lastRenderedPageBreak/>
              <w:t>9°  le titre de séjour de  résident de longue durée – UE, délivré avant le 11 octobre 2021, en cours de validité (carte D ) ;</w:t>
            </w:r>
          </w:p>
        </w:tc>
        <w:tc>
          <w:tcPr>
            <w:tcW w:w="4508" w:type="dxa"/>
          </w:tcPr>
          <w:p w14:paraId="0C145514" w14:textId="381B85C1"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9° de EU-verblijfstitel voor langdurig ingezetenen, afgeleverd voor 11 oktober 2021, nog steeds geldig (D-kaart);</w:t>
            </w:r>
          </w:p>
        </w:tc>
      </w:tr>
      <w:tr w:rsidR="004000A8" w:rsidRPr="00A80C6F" w14:paraId="5D5C01BD" w14:textId="77777777" w:rsidTr="0025113D">
        <w:tc>
          <w:tcPr>
            <w:tcW w:w="4508" w:type="dxa"/>
          </w:tcPr>
          <w:p w14:paraId="31594B28" w14:textId="42E5A6DE" w:rsidR="004000A8" w:rsidRPr="0062099D" w:rsidRDefault="004000A8" w:rsidP="004000A8">
            <w:pPr>
              <w:jc w:val="both"/>
              <w:rPr>
                <w:rFonts w:asciiTheme="minorHAnsi" w:hAnsiTheme="minorHAnsi" w:cstheme="minorHAnsi"/>
                <w:sz w:val="22"/>
              </w:rPr>
            </w:pPr>
          </w:p>
        </w:tc>
        <w:tc>
          <w:tcPr>
            <w:tcW w:w="4508" w:type="dxa"/>
          </w:tcPr>
          <w:p w14:paraId="49A51679" w14:textId="7F3F6896" w:rsidR="004000A8" w:rsidRPr="0062099D" w:rsidRDefault="004000A8" w:rsidP="004000A8">
            <w:pPr>
              <w:jc w:val="both"/>
              <w:rPr>
                <w:rFonts w:asciiTheme="minorHAnsi" w:hAnsiTheme="minorHAnsi" w:cstheme="minorHAnsi"/>
                <w:sz w:val="22"/>
              </w:rPr>
            </w:pPr>
          </w:p>
        </w:tc>
      </w:tr>
      <w:tr w:rsidR="004000A8" w:rsidRPr="00A80C6F" w14:paraId="0DD0253A" w14:textId="77777777" w:rsidTr="0025113D">
        <w:tc>
          <w:tcPr>
            <w:tcW w:w="4508" w:type="dxa"/>
          </w:tcPr>
          <w:p w14:paraId="552CC524" w14:textId="12E6FBFB"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eastAsia="fr-FR"/>
              </w:rPr>
              <w:t>10° le titre de séjour de résident de longue durée – UE (carte L) ;</w:t>
            </w:r>
          </w:p>
        </w:tc>
        <w:tc>
          <w:tcPr>
            <w:tcW w:w="4508" w:type="dxa"/>
          </w:tcPr>
          <w:p w14:paraId="3193CA99" w14:textId="425D8EDF"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10° de EU-verblijfstitel voor langdurig ingezetenen (L-kaart);</w:t>
            </w:r>
          </w:p>
        </w:tc>
      </w:tr>
      <w:tr w:rsidR="004000A8" w:rsidRPr="00A80C6F" w14:paraId="54DDB214" w14:textId="77777777" w:rsidTr="0025113D">
        <w:tc>
          <w:tcPr>
            <w:tcW w:w="4508" w:type="dxa"/>
          </w:tcPr>
          <w:p w14:paraId="2DBB8B13" w14:textId="28663217" w:rsidR="004000A8" w:rsidRPr="0062099D" w:rsidRDefault="004000A8" w:rsidP="004000A8">
            <w:pPr>
              <w:jc w:val="both"/>
              <w:rPr>
                <w:rFonts w:asciiTheme="minorHAnsi" w:hAnsiTheme="minorHAnsi" w:cstheme="minorHAnsi"/>
                <w:sz w:val="22"/>
              </w:rPr>
            </w:pPr>
          </w:p>
        </w:tc>
        <w:tc>
          <w:tcPr>
            <w:tcW w:w="4508" w:type="dxa"/>
          </w:tcPr>
          <w:p w14:paraId="0ED32276" w14:textId="471EB9A1" w:rsidR="004000A8" w:rsidRPr="0062099D" w:rsidRDefault="004000A8" w:rsidP="004000A8">
            <w:pPr>
              <w:jc w:val="both"/>
              <w:rPr>
                <w:rFonts w:asciiTheme="minorHAnsi" w:hAnsiTheme="minorHAnsi" w:cstheme="minorHAnsi"/>
                <w:sz w:val="22"/>
              </w:rPr>
            </w:pPr>
          </w:p>
        </w:tc>
      </w:tr>
      <w:tr w:rsidR="004000A8" w:rsidRPr="00A80C6F" w14:paraId="4C1A1054" w14:textId="77777777" w:rsidTr="0025113D">
        <w:tc>
          <w:tcPr>
            <w:tcW w:w="4508" w:type="dxa"/>
          </w:tcPr>
          <w:p w14:paraId="0B8999E7" w14:textId="1A3ECDD1"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eastAsia="fr-FR"/>
              </w:rPr>
              <w:t>11° l’attestation d’enregistrement, délivrée avant le 10 mai 2021, en cours de validité (carte E) ;</w:t>
            </w:r>
          </w:p>
        </w:tc>
        <w:tc>
          <w:tcPr>
            <w:tcW w:w="4508" w:type="dxa"/>
          </w:tcPr>
          <w:p w14:paraId="38E1DE4D" w14:textId="50314EA7"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11° de verklaring van inschrijving, afgeleverd voor 10 mei 2021, nog steeds geldig (E-kaart);</w:t>
            </w:r>
          </w:p>
        </w:tc>
      </w:tr>
      <w:tr w:rsidR="004000A8" w:rsidRPr="003E0EDF" w14:paraId="56E81F2E" w14:textId="77777777" w:rsidTr="0025113D">
        <w:tc>
          <w:tcPr>
            <w:tcW w:w="4508" w:type="dxa"/>
          </w:tcPr>
          <w:p w14:paraId="72197619" w14:textId="0A883A14" w:rsidR="004000A8" w:rsidRPr="0062099D" w:rsidRDefault="004000A8" w:rsidP="004000A8">
            <w:pPr>
              <w:jc w:val="both"/>
              <w:rPr>
                <w:rFonts w:asciiTheme="minorHAnsi" w:hAnsiTheme="minorHAnsi" w:cstheme="minorHAnsi"/>
                <w:sz w:val="22"/>
              </w:rPr>
            </w:pPr>
          </w:p>
        </w:tc>
        <w:tc>
          <w:tcPr>
            <w:tcW w:w="4508" w:type="dxa"/>
          </w:tcPr>
          <w:p w14:paraId="55D491BF" w14:textId="2728B708" w:rsidR="004000A8" w:rsidRPr="0062099D" w:rsidRDefault="004000A8" w:rsidP="004000A8">
            <w:pPr>
              <w:jc w:val="both"/>
              <w:rPr>
                <w:rFonts w:asciiTheme="minorHAnsi" w:hAnsiTheme="minorHAnsi" w:cstheme="minorHAnsi"/>
                <w:sz w:val="22"/>
              </w:rPr>
            </w:pPr>
          </w:p>
        </w:tc>
      </w:tr>
      <w:tr w:rsidR="004000A8" w:rsidRPr="003E0EDF" w14:paraId="5436681D" w14:textId="77777777" w:rsidTr="0025113D">
        <w:tc>
          <w:tcPr>
            <w:tcW w:w="4508" w:type="dxa"/>
          </w:tcPr>
          <w:p w14:paraId="1BD5D48B" w14:textId="0EA32E6B"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12° le document d’enregistrement  « Art 8 DIR 2004/38/CE » E (carte EU) ;</w:t>
            </w:r>
          </w:p>
        </w:tc>
        <w:tc>
          <w:tcPr>
            <w:tcW w:w="4508" w:type="dxa"/>
          </w:tcPr>
          <w:p w14:paraId="754787EC" w14:textId="253878DE"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12° het document van inschrijving “Art 8 RL 2004/38/EG” E (EU-kaart);</w:t>
            </w:r>
          </w:p>
        </w:tc>
      </w:tr>
      <w:tr w:rsidR="004000A8" w:rsidRPr="003E0EDF" w14:paraId="4E915671" w14:textId="77777777" w:rsidTr="0025113D">
        <w:tc>
          <w:tcPr>
            <w:tcW w:w="4508" w:type="dxa"/>
          </w:tcPr>
          <w:p w14:paraId="65545A15" w14:textId="77777777" w:rsidR="004000A8" w:rsidRPr="0062099D" w:rsidRDefault="004000A8" w:rsidP="004000A8">
            <w:pPr>
              <w:jc w:val="both"/>
              <w:rPr>
                <w:rFonts w:asciiTheme="minorHAnsi" w:hAnsiTheme="minorHAnsi" w:cstheme="minorHAnsi"/>
                <w:sz w:val="22"/>
              </w:rPr>
            </w:pPr>
          </w:p>
        </w:tc>
        <w:tc>
          <w:tcPr>
            <w:tcW w:w="4508" w:type="dxa"/>
          </w:tcPr>
          <w:p w14:paraId="7010C638" w14:textId="77777777" w:rsidR="004000A8" w:rsidRPr="0062099D" w:rsidRDefault="004000A8" w:rsidP="004000A8">
            <w:pPr>
              <w:jc w:val="both"/>
              <w:rPr>
                <w:rFonts w:asciiTheme="minorHAnsi" w:hAnsiTheme="minorHAnsi" w:cstheme="minorHAnsi"/>
                <w:sz w:val="22"/>
              </w:rPr>
            </w:pPr>
          </w:p>
        </w:tc>
      </w:tr>
      <w:tr w:rsidR="004000A8" w:rsidRPr="003E0EDF" w14:paraId="242437E8" w14:textId="77777777" w:rsidTr="0025113D">
        <w:tc>
          <w:tcPr>
            <w:tcW w:w="4508" w:type="dxa"/>
          </w:tcPr>
          <w:p w14:paraId="2331EEA7" w14:textId="0281A6C2"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13° le document attestant de la permanence de séjour, délivré avant le 10 mai 2021, en cours de validité (carte E+) ;</w:t>
            </w:r>
          </w:p>
        </w:tc>
        <w:tc>
          <w:tcPr>
            <w:tcW w:w="4508" w:type="dxa"/>
          </w:tcPr>
          <w:p w14:paraId="4D9D3C6E" w14:textId="42E7063E"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13° het document ter staving van duurzaam verblijf, afgeleverd voor 10 mei 2021, nog steeds geldig (E+-kaart);</w:t>
            </w:r>
          </w:p>
        </w:tc>
      </w:tr>
      <w:tr w:rsidR="004000A8" w:rsidRPr="003E0EDF" w14:paraId="3476FD62" w14:textId="77777777" w:rsidTr="0025113D">
        <w:tc>
          <w:tcPr>
            <w:tcW w:w="4508" w:type="dxa"/>
          </w:tcPr>
          <w:p w14:paraId="63CA4483" w14:textId="77777777" w:rsidR="004000A8" w:rsidRPr="0062099D" w:rsidRDefault="004000A8" w:rsidP="004000A8">
            <w:pPr>
              <w:jc w:val="both"/>
              <w:rPr>
                <w:rFonts w:asciiTheme="minorHAnsi" w:hAnsiTheme="minorHAnsi" w:cstheme="minorHAnsi"/>
                <w:sz w:val="22"/>
              </w:rPr>
            </w:pPr>
          </w:p>
        </w:tc>
        <w:tc>
          <w:tcPr>
            <w:tcW w:w="4508" w:type="dxa"/>
          </w:tcPr>
          <w:p w14:paraId="61B33EA4" w14:textId="77777777" w:rsidR="004000A8" w:rsidRPr="0062099D" w:rsidRDefault="004000A8" w:rsidP="004000A8">
            <w:pPr>
              <w:jc w:val="both"/>
              <w:rPr>
                <w:rFonts w:asciiTheme="minorHAnsi" w:hAnsiTheme="minorHAnsi" w:cstheme="minorHAnsi"/>
                <w:sz w:val="22"/>
              </w:rPr>
            </w:pPr>
          </w:p>
        </w:tc>
      </w:tr>
      <w:tr w:rsidR="004000A8" w:rsidRPr="003E0EDF" w14:paraId="3EC2D99E" w14:textId="77777777" w:rsidTr="0025113D">
        <w:tc>
          <w:tcPr>
            <w:tcW w:w="4508" w:type="dxa"/>
          </w:tcPr>
          <w:p w14:paraId="03BADD33" w14:textId="33E740FC"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14°  le document de séjour permanent «  Art 19 DIR 2004/38/CE » (carte EU+) ;</w:t>
            </w:r>
          </w:p>
        </w:tc>
        <w:tc>
          <w:tcPr>
            <w:tcW w:w="4508" w:type="dxa"/>
          </w:tcPr>
          <w:p w14:paraId="32C4B0E4" w14:textId="49B4C077"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14° het document van duurzaam verblijf “Art 19 RL 2004/38/EG” (EU+-kaart);</w:t>
            </w:r>
          </w:p>
        </w:tc>
      </w:tr>
      <w:tr w:rsidR="004000A8" w:rsidRPr="003E0EDF" w14:paraId="2C7311E9" w14:textId="77777777" w:rsidTr="0025113D">
        <w:tc>
          <w:tcPr>
            <w:tcW w:w="4508" w:type="dxa"/>
          </w:tcPr>
          <w:p w14:paraId="72FBA71D" w14:textId="77777777" w:rsidR="004000A8" w:rsidRPr="0062099D" w:rsidRDefault="004000A8" w:rsidP="004000A8">
            <w:pPr>
              <w:jc w:val="both"/>
              <w:rPr>
                <w:rFonts w:asciiTheme="minorHAnsi" w:hAnsiTheme="minorHAnsi" w:cstheme="minorHAnsi"/>
                <w:sz w:val="22"/>
              </w:rPr>
            </w:pPr>
          </w:p>
        </w:tc>
        <w:tc>
          <w:tcPr>
            <w:tcW w:w="4508" w:type="dxa"/>
          </w:tcPr>
          <w:p w14:paraId="3B46F6B3" w14:textId="77777777" w:rsidR="004000A8" w:rsidRPr="0062099D" w:rsidRDefault="004000A8" w:rsidP="004000A8">
            <w:pPr>
              <w:jc w:val="both"/>
              <w:rPr>
                <w:rFonts w:asciiTheme="minorHAnsi" w:hAnsiTheme="minorHAnsi" w:cstheme="minorHAnsi"/>
                <w:sz w:val="22"/>
              </w:rPr>
            </w:pPr>
          </w:p>
        </w:tc>
      </w:tr>
      <w:tr w:rsidR="004000A8" w:rsidRPr="003E0EDF" w14:paraId="2D0CE453" w14:textId="77777777" w:rsidTr="0025113D">
        <w:tc>
          <w:tcPr>
            <w:tcW w:w="4508" w:type="dxa"/>
          </w:tcPr>
          <w:p w14:paraId="1FDFCE97" w14:textId="3648628F"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15° la carte de séjour de membre de la famille d’un citoyen de l’Union, délivrée avant le 11 octobre 2021, en cours de validité (carte F) ;</w:t>
            </w:r>
          </w:p>
        </w:tc>
        <w:tc>
          <w:tcPr>
            <w:tcW w:w="4508" w:type="dxa"/>
          </w:tcPr>
          <w:p w14:paraId="680543F4" w14:textId="3732F844"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15° de verblijfskaart van een familielid van een burger van de Unie, afgeleverd voor 11 oktober 2021, nog steeds geldig (F-kaart);</w:t>
            </w:r>
          </w:p>
        </w:tc>
      </w:tr>
      <w:tr w:rsidR="004000A8" w:rsidRPr="003E0EDF" w14:paraId="512B85FB" w14:textId="77777777" w:rsidTr="0025113D">
        <w:tc>
          <w:tcPr>
            <w:tcW w:w="4508" w:type="dxa"/>
          </w:tcPr>
          <w:p w14:paraId="2E19F4E2" w14:textId="77777777" w:rsidR="004000A8" w:rsidRPr="0062099D" w:rsidRDefault="004000A8" w:rsidP="004000A8">
            <w:pPr>
              <w:jc w:val="both"/>
              <w:rPr>
                <w:rFonts w:asciiTheme="minorHAnsi" w:hAnsiTheme="minorHAnsi" w:cstheme="minorHAnsi"/>
                <w:sz w:val="22"/>
              </w:rPr>
            </w:pPr>
          </w:p>
        </w:tc>
        <w:tc>
          <w:tcPr>
            <w:tcW w:w="4508" w:type="dxa"/>
          </w:tcPr>
          <w:p w14:paraId="34D45772" w14:textId="77777777" w:rsidR="004000A8" w:rsidRPr="0062099D" w:rsidRDefault="004000A8" w:rsidP="004000A8">
            <w:pPr>
              <w:jc w:val="both"/>
              <w:rPr>
                <w:rFonts w:asciiTheme="minorHAnsi" w:hAnsiTheme="minorHAnsi" w:cstheme="minorHAnsi"/>
                <w:sz w:val="22"/>
              </w:rPr>
            </w:pPr>
          </w:p>
        </w:tc>
      </w:tr>
      <w:tr w:rsidR="004000A8" w:rsidRPr="003E0EDF" w14:paraId="6026D6AC" w14:textId="77777777" w:rsidTr="0025113D">
        <w:tc>
          <w:tcPr>
            <w:tcW w:w="4508" w:type="dxa"/>
          </w:tcPr>
          <w:p w14:paraId="6CDC0527" w14:textId="396B2517"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16° la carte de séjour</w:t>
            </w:r>
            <w:r w:rsidRPr="0062099D">
              <w:rPr>
                <w:lang w:val="fr-BE"/>
              </w:rPr>
              <w:t xml:space="preserve"> </w:t>
            </w:r>
            <w:r w:rsidRPr="0062099D">
              <w:rPr>
                <w:rFonts w:asciiTheme="minorHAnsi" w:hAnsiTheme="minorHAnsi" w:cstheme="minorHAnsi"/>
                <w:sz w:val="22"/>
                <w:lang w:val="fr-BE"/>
              </w:rPr>
              <w:t xml:space="preserve">de membre de la famille d’un citoyen de l’Union « membre famille UE - Art 10 DIR 2004/38/CE »  (carte F) ; </w:t>
            </w:r>
          </w:p>
        </w:tc>
        <w:tc>
          <w:tcPr>
            <w:tcW w:w="4508" w:type="dxa"/>
          </w:tcPr>
          <w:p w14:paraId="4FBEA759" w14:textId="5E7ABBC5"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16° de verblijfskaart</w:t>
            </w:r>
            <w:r w:rsidRPr="0062099D">
              <w:t xml:space="preserve"> </w:t>
            </w:r>
            <w:r w:rsidRPr="0062099D">
              <w:rPr>
                <w:rFonts w:asciiTheme="minorHAnsi" w:hAnsiTheme="minorHAnsi"/>
                <w:sz w:val="22"/>
              </w:rPr>
              <w:t>van een familielid van een burger van de Unie “familielid EU - Art 10 RL 2004/38/EG”(F-kaart);</w:t>
            </w:r>
          </w:p>
        </w:tc>
      </w:tr>
      <w:tr w:rsidR="004000A8" w:rsidRPr="003E0EDF" w14:paraId="23418161" w14:textId="77777777" w:rsidTr="0025113D">
        <w:tc>
          <w:tcPr>
            <w:tcW w:w="4508" w:type="dxa"/>
          </w:tcPr>
          <w:p w14:paraId="482C0E07" w14:textId="77777777" w:rsidR="004000A8" w:rsidRPr="0062099D" w:rsidRDefault="004000A8" w:rsidP="004000A8">
            <w:pPr>
              <w:jc w:val="both"/>
              <w:rPr>
                <w:rFonts w:asciiTheme="minorHAnsi" w:hAnsiTheme="minorHAnsi" w:cstheme="minorHAnsi"/>
                <w:sz w:val="22"/>
              </w:rPr>
            </w:pPr>
          </w:p>
        </w:tc>
        <w:tc>
          <w:tcPr>
            <w:tcW w:w="4508" w:type="dxa"/>
          </w:tcPr>
          <w:p w14:paraId="5D230346" w14:textId="77777777" w:rsidR="004000A8" w:rsidRPr="0062099D" w:rsidRDefault="004000A8" w:rsidP="004000A8">
            <w:pPr>
              <w:jc w:val="both"/>
              <w:rPr>
                <w:rFonts w:asciiTheme="minorHAnsi" w:hAnsiTheme="minorHAnsi" w:cstheme="minorHAnsi"/>
                <w:sz w:val="22"/>
              </w:rPr>
            </w:pPr>
          </w:p>
        </w:tc>
      </w:tr>
      <w:tr w:rsidR="004000A8" w:rsidRPr="003E0EDF" w14:paraId="645AFC9B" w14:textId="77777777" w:rsidTr="0025113D">
        <w:tc>
          <w:tcPr>
            <w:tcW w:w="4508" w:type="dxa"/>
          </w:tcPr>
          <w:p w14:paraId="47A4DF78" w14:textId="25825B4C"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17° la carte de séjour permanent de membre de la famille d’un citoyen de l’Union, délivrée avant le 11 octobre 2021, en cours de validité (carte F+) ;</w:t>
            </w:r>
          </w:p>
        </w:tc>
        <w:tc>
          <w:tcPr>
            <w:tcW w:w="4508" w:type="dxa"/>
          </w:tcPr>
          <w:p w14:paraId="1B1DE15A" w14:textId="1BEE09BA" w:rsidR="004000A8" w:rsidRPr="0062099D" w:rsidRDefault="004000A8" w:rsidP="004000A8">
            <w:pPr>
              <w:jc w:val="both"/>
              <w:rPr>
                <w:rFonts w:asciiTheme="minorHAnsi" w:hAnsiTheme="minorHAnsi" w:cstheme="minorHAnsi"/>
                <w:sz w:val="22"/>
              </w:rPr>
            </w:pPr>
            <w:r w:rsidRPr="0062099D">
              <w:rPr>
                <w:rFonts w:asciiTheme="minorHAnsi" w:hAnsiTheme="minorHAnsi"/>
                <w:sz w:val="22"/>
              </w:rPr>
              <w:t>17° de duurzame verblijfskaart van een familielid van een burger van de Unie, afgeleverd voor 11 oktober 2021, nog steeds geldig (F-+ kaart);</w:t>
            </w:r>
          </w:p>
        </w:tc>
      </w:tr>
      <w:tr w:rsidR="004000A8" w:rsidRPr="003E0EDF" w14:paraId="714E41CC" w14:textId="77777777" w:rsidTr="0025113D">
        <w:tc>
          <w:tcPr>
            <w:tcW w:w="4508" w:type="dxa"/>
          </w:tcPr>
          <w:p w14:paraId="368E3EF5" w14:textId="26A8AA52" w:rsidR="004000A8" w:rsidRPr="0062099D" w:rsidRDefault="004000A8" w:rsidP="004000A8">
            <w:pPr>
              <w:jc w:val="both"/>
              <w:rPr>
                <w:rFonts w:asciiTheme="minorHAnsi" w:hAnsiTheme="minorHAnsi" w:cstheme="minorHAnsi"/>
                <w:sz w:val="22"/>
              </w:rPr>
            </w:pPr>
          </w:p>
        </w:tc>
        <w:tc>
          <w:tcPr>
            <w:tcW w:w="4508" w:type="dxa"/>
          </w:tcPr>
          <w:p w14:paraId="0A120B75" w14:textId="1FFF77EE" w:rsidR="004000A8" w:rsidRPr="0062099D" w:rsidRDefault="004000A8" w:rsidP="004000A8">
            <w:pPr>
              <w:jc w:val="both"/>
              <w:rPr>
                <w:rFonts w:asciiTheme="minorHAnsi" w:hAnsiTheme="minorHAnsi" w:cstheme="minorHAnsi"/>
                <w:sz w:val="22"/>
              </w:rPr>
            </w:pPr>
          </w:p>
        </w:tc>
      </w:tr>
      <w:tr w:rsidR="004000A8" w:rsidRPr="003E0EDF" w14:paraId="63950C4C" w14:textId="77777777" w:rsidTr="0025113D">
        <w:tc>
          <w:tcPr>
            <w:tcW w:w="4508" w:type="dxa"/>
          </w:tcPr>
          <w:p w14:paraId="38C00916" w14:textId="15F7E683"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color w:val="000000"/>
                <w:sz w:val="22"/>
                <w:lang w:val="fr-BE"/>
              </w:rPr>
              <w:t xml:space="preserve">18° la carte de séjour la carte de séjour permanent de membre de la famille d’un citoyen de l’Union « membre famille UE – Art 20 DIR 2004/38/CE » (carte F+) ; </w:t>
            </w:r>
          </w:p>
        </w:tc>
        <w:tc>
          <w:tcPr>
            <w:tcW w:w="4508" w:type="dxa"/>
          </w:tcPr>
          <w:p w14:paraId="3A2975B2" w14:textId="6252DD12" w:rsidR="004000A8" w:rsidRPr="0062099D" w:rsidRDefault="004000A8" w:rsidP="004000A8">
            <w:pPr>
              <w:jc w:val="both"/>
              <w:rPr>
                <w:rFonts w:asciiTheme="minorHAnsi" w:hAnsiTheme="minorHAnsi" w:cstheme="minorHAnsi"/>
                <w:sz w:val="22"/>
              </w:rPr>
            </w:pPr>
            <w:r w:rsidRPr="0062099D">
              <w:rPr>
                <w:rFonts w:asciiTheme="minorHAnsi" w:hAnsiTheme="minorHAnsi"/>
                <w:color w:val="000000"/>
                <w:sz w:val="22"/>
              </w:rPr>
              <w:t>18° de duurzame verblijfskaart van een familielid van een burger van de Unie “Familielid EU – Art 20 RL 2004/38/EG” (F+-kaart);</w:t>
            </w:r>
          </w:p>
        </w:tc>
      </w:tr>
      <w:tr w:rsidR="004000A8" w:rsidRPr="00C5629D" w14:paraId="37CCDCD3" w14:textId="77777777" w:rsidTr="0025113D">
        <w:tc>
          <w:tcPr>
            <w:tcW w:w="4508" w:type="dxa"/>
          </w:tcPr>
          <w:p w14:paraId="623F1516" w14:textId="63FDC7F1" w:rsidR="004000A8" w:rsidRPr="0062099D" w:rsidRDefault="004000A8" w:rsidP="004000A8">
            <w:pPr>
              <w:jc w:val="both"/>
              <w:rPr>
                <w:rFonts w:asciiTheme="minorHAnsi" w:hAnsiTheme="minorHAnsi" w:cstheme="minorHAnsi"/>
                <w:sz w:val="22"/>
              </w:rPr>
            </w:pPr>
          </w:p>
        </w:tc>
        <w:tc>
          <w:tcPr>
            <w:tcW w:w="4508" w:type="dxa"/>
          </w:tcPr>
          <w:p w14:paraId="2918CF13" w14:textId="2F9AE2DB" w:rsidR="004000A8" w:rsidRPr="0062099D" w:rsidRDefault="004000A8" w:rsidP="004000A8">
            <w:pPr>
              <w:shd w:val="clear" w:color="auto" w:fill="FFFFFF"/>
              <w:rPr>
                <w:rFonts w:asciiTheme="minorHAnsi" w:hAnsiTheme="minorHAnsi" w:cstheme="minorHAnsi"/>
                <w:sz w:val="22"/>
              </w:rPr>
            </w:pPr>
          </w:p>
        </w:tc>
      </w:tr>
      <w:tr w:rsidR="004000A8" w:rsidRPr="00C5629D" w14:paraId="61874A33" w14:textId="77777777" w:rsidTr="0025113D">
        <w:tc>
          <w:tcPr>
            <w:tcW w:w="4508" w:type="dxa"/>
          </w:tcPr>
          <w:p w14:paraId="420D013B" w14:textId="1FF7DF32"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19° la carte bleue européenne (carte H) ;</w:t>
            </w:r>
          </w:p>
        </w:tc>
        <w:tc>
          <w:tcPr>
            <w:tcW w:w="4508" w:type="dxa"/>
          </w:tcPr>
          <w:p w14:paraId="07F51DDD" w14:textId="033A4AF9" w:rsidR="004000A8" w:rsidRPr="0062099D" w:rsidRDefault="004000A8" w:rsidP="004000A8">
            <w:pPr>
              <w:shd w:val="clear" w:color="auto" w:fill="FFFFFF"/>
              <w:rPr>
                <w:rFonts w:asciiTheme="minorHAnsi" w:hAnsiTheme="minorHAnsi" w:cstheme="minorHAnsi"/>
                <w:sz w:val="22"/>
              </w:rPr>
            </w:pPr>
            <w:r w:rsidRPr="0062099D">
              <w:rPr>
                <w:rFonts w:asciiTheme="minorHAnsi" w:hAnsiTheme="minorHAnsi"/>
                <w:sz w:val="22"/>
              </w:rPr>
              <w:t>19° de Europese blauwe kaart (H-kaart);</w:t>
            </w:r>
          </w:p>
        </w:tc>
      </w:tr>
      <w:tr w:rsidR="004000A8" w:rsidRPr="00C5629D" w14:paraId="6BBF8C95" w14:textId="77777777" w:rsidTr="0025113D">
        <w:tc>
          <w:tcPr>
            <w:tcW w:w="4508" w:type="dxa"/>
          </w:tcPr>
          <w:p w14:paraId="01A11537" w14:textId="77777777" w:rsidR="004000A8" w:rsidRPr="0062099D" w:rsidRDefault="004000A8" w:rsidP="004000A8">
            <w:pPr>
              <w:jc w:val="both"/>
              <w:rPr>
                <w:rFonts w:asciiTheme="minorHAnsi" w:hAnsiTheme="minorHAnsi" w:cstheme="minorHAnsi"/>
                <w:sz w:val="22"/>
              </w:rPr>
            </w:pPr>
          </w:p>
        </w:tc>
        <w:tc>
          <w:tcPr>
            <w:tcW w:w="4508" w:type="dxa"/>
          </w:tcPr>
          <w:p w14:paraId="1BB78D97" w14:textId="77777777" w:rsidR="004000A8" w:rsidRPr="0062099D" w:rsidRDefault="004000A8" w:rsidP="004000A8">
            <w:pPr>
              <w:shd w:val="clear" w:color="auto" w:fill="FFFFFF"/>
              <w:rPr>
                <w:rFonts w:asciiTheme="minorHAnsi" w:hAnsiTheme="minorHAnsi" w:cstheme="minorHAnsi"/>
                <w:sz w:val="22"/>
              </w:rPr>
            </w:pPr>
          </w:p>
        </w:tc>
      </w:tr>
      <w:tr w:rsidR="004000A8" w:rsidRPr="00C5629D" w14:paraId="082334A9" w14:textId="77777777" w:rsidTr="0025113D">
        <w:tc>
          <w:tcPr>
            <w:tcW w:w="4508" w:type="dxa"/>
          </w:tcPr>
          <w:p w14:paraId="4745ABBC" w14:textId="6E5AE2B5"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20° le permis pour personne faisant l’objet d’un transfert temporaire intragroupe « ICT » (carte I) ;</w:t>
            </w:r>
          </w:p>
        </w:tc>
        <w:tc>
          <w:tcPr>
            <w:tcW w:w="4508" w:type="dxa"/>
          </w:tcPr>
          <w:p w14:paraId="56DA19F8" w14:textId="4971D63B" w:rsidR="004000A8" w:rsidRPr="0062099D" w:rsidRDefault="004000A8" w:rsidP="004000A8">
            <w:pPr>
              <w:shd w:val="clear" w:color="auto" w:fill="FFFFFF"/>
              <w:rPr>
                <w:rFonts w:asciiTheme="minorHAnsi" w:hAnsiTheme="minorHAnsi" w:cstheme="minorHAnsi"/>
                <w:sz w:val="22"/>
              </w:rPr>
            </w:pPr>
            <w:r w:rsidRPr="0062099D">
              <w:rPr>
                <w:rFonts w:asciiTheme="minorHAnsi" w:hAnsiTheme="minorHAnsi"/>
                <w:sz w:val="22"/>
              </w:rPr>
              <w:t>20° de vergunning voor een binnen een onderneming overgeplaatste persoon “ICT” (I-kaart);</w:t>
            </w:r>
          </w:p>
        </w:tc>
      </w:tr>
      <w:tr w:rsidR="004000A8" w:rsidRPr="00C5629D" w14:paraId="00C927A0" w14:textId="77777777" w:rsidTr="0025113D">
        <w:tc>
          <w:tcPr>
            <w:tcW w:w="4508" w:type="dxa"/>
          </w:tcPr>
          <w:p w14:paraId="45561091" w14:textId="77777777" w:rsidR="004000A8" w:rsidRPr="0062099D" w:rsidRDefault="004000A8" w:rsidP="004000A8">
            <w:pPr>
              <w:jc w:val="both"/>
              <w:rPr>
                <w:rFonts w:asciiTheme="minorHAnsi" w:hAnsiTheme="minorHAnsi" w:cstheme="minorHAnsi"/>
                <w:sz w:val="22"/>
              </w:rPr>
            </w:pPr>
          </w:p>
        </w:tc>
        <w:tc>
          <w:tcPr>
            <w:tcW w:w="4508" w:type="dxa"/>
          </w:tcPr>
          <w:p w14:paraId="11C65575" w14:textId="77777777" w:rsidR="004000A8" w:rsidRPr="0062099D" w:rsidRDefault="004000A8" w:rsidP="004000A8">
            <w:pPr>
              <w:shd w:val="clear" w:color="auto" w:fill="FFFFFF"/>
              <w:rPr>
                <w:rFonts w:asciiTheme="minorHAnsi" w:hAnsiTheme="minorHAnsi" w:cstheme="minorHAnsi"/>
                <w:sz w:val="22"/>
              </w:rPr>
            </w:pPr>
          </w:p>
        </w:tc>
      </w:tr>
      <w:tr w:rsidR="004000A8" w:rsidRPr="00C5629D" w14:paraId="43876443" w14:textId="77777777" w:rsidTr="0025113D">
        <w:tc>
          <w:tcPr>
            <w:tcW w:w="4508" w:type="dxa"/>
          </w:tcPr>
          <w:p w14:paraId="7D5011D2" w14:textId="2F3470D9"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 xml:space="preserve">21° le permis pour mobilité de longue durée « mobile ICT »I (carte J) ; </w:t>
            </w:r>
          </w:p>
        </w:tc>
        <w:tc>
          <w:tcPr>
            <w:tcW w:w="4508" w:type="dxa"/>
          </w:tcPr>
          <w:p w14:paraId="03C8A5A5" w14:textId="0B27488B" w:rsidR="004000A8" w:rsidRPr="0062099D" w:rsidRDefault="004000A8" w:rsidP="004000A8">
            <w:pPr>
              <w:shd w:val="clear" w:color="auto" w:fill="FFFFFF"/>
              <w:rPr>
                <w:rFonts w:asciiTheme="minorHAnsi" w:hAnsiTheme="minorHAnsi" w:cstheme="minorHAnsi"/>
                <w:sz w:val="22"/>
              </w:rPr>
            </w:pPr>
            <w:r w:rsidRPr="0062099D">
              <w:rPr>
                <w:rFonts w:asciiTheme="minorHAnsi" w:hAnsiTheme="minorHAnsi"/>
                <w:sz w:val="22"/>
              </w:rPr>
              <w:t>21° de vergunning voor lange-termijnmobiliteit “mobiele ICT” (J-kaart);</w:t>
            </w:r>
          </w:p>
        </w:tc>
      </w:tr>
      <w:tr w:rsidR="004000A8" w:rsidRPr="00C5629D" w14:paraId="4C291279" w14:textId="77777777" w:rsidTr="0025113D">
        <w:tc>
          <w:tcPr>
            <w:tcW w:w="4508" w:type="dxa"/>
          </w:tcPr>
          <w:p w14:paraId="7B16DC0C" w14:textId="77777777" w:rsidR="004000A8" w:rsidRPr="0062099D" w:rsidRDefault="004000A8" w:rsidP="004000A8">
            <w:pPr>
              <w:jc w:val="both"/>
              <w:rPr>
                <w:rFonts w:asciiTheme="minorHAnsi" w:hAnsiTheme="minorHAnsi" w:cstheme="minorHAnsi"/>
                <w:sz w:val="22"/>
              </w:rPr>
            </w:pPr>
          </w:p>
        </w:tc>
        <w:tc>
          <w:tcPr>
            <w:tcW w:w="4508" w:type="dxa"/>
          </w:tcPr>
          <w:p w14:paraId="3704BF3B" w14:textId="77777777" w:rsidR="004000A8" w:rsidRPr="0062099D" w:rsidRDefault="004000A8" w:rsidP="004000A8">
            <w:pPr>
              <w:shd w:val="clear" w:color="auto" w:fill="FFFFFF"/>
              <w:rPr>
                <w:rFonts w:asciiTheme="minorHAnsi" w:hAnsiTheme="minorHAnsi" w:cstheme="minorHAnsi"/>
                <w:sz w:val="22"/>
              </w:rPr>
            </w:pPr>
          </w:p>
        </w:tc>
      </w:tr>
      <w:tr w:rsidR="004000A8" w:rsidRPr="00C5629D" w14:paraId="367A9A00" w14:textId="77777777" w:rsidTr="0025113D">
        <w:tc>
          <w:tcPr>
            <w:tcW w:w="4508" w:type="dxa"/>
          </w:tcPr>
          <w:p w14:paraId="3FAB86EB" w14:textId="7D16AC39"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lastRenderedPageBreak/>
              <w:t xml:space="preserve">22° la carte de séjour pour bénéficiaires de l’accord de retrait « Art. 50 TUE » (carte M) ;  </w:t>
            </w:r>
          </w:p>
        </w:tc>
        <w:tc>
          <w:tcPr>
            <w:tcW w:w="4508" w:type="dxa"/>
          </w:tcPr>
          <w:p w14:paraId="3263B745" w14:textId="69D9FB98" w:rsidR="004000A8" w:rsidRPr="0062099D" w:rsidRDefault="004000A8" w:rsidP="004000A8">
            <w:pPr>
              <w:shd w:val="clear" w:color="auto" w:fill="FFFFFF"/>
              <w:rPr>
                <w:rFonts w:asciiTheme="minorHAnsi" w:hAnsiTheme="minorHAnsi" w:cstheme="minorHAnsi"/>
                <w:sz w:val="22"/>
              </w:rPr>
            </w:pPr>
            <w:r w:rsidRPr="0062099D">
              <w:rPr>
                <w:rFonts w:asciiTheme="minorHAnsi" w:hAnsiTheme="minorHAnsi"/>
                <w:sz w:val="22"/>
              </w:rPr>
              <w:t>22° de verblijfskaart voor begunstigden van het terugtrekkingsakkoord “Artikel 50 VEU” (M-kaart);</w:t>
            </w:r>
            <w:r w:rsidRPr="0062099D">
              <w:rPr>
                <w:rFonts w:ascii="Calibri" w:eastAsia="Times New Roman" w:hAnsi="Calibri" w:cs="Calibri"/>
                <w:color w:val="373737"/>
                <w:sz w:val="23"/>
                <w:szCs w:val="23"/>
                <w:lang w:eastAsia="fr-BE"/>
              </w:rPr>
              <w:t xml:space="preserve"> </w:t>
            </w:r>
          </w:p>
        </w:tc>
      </w:tr>
      <w:tr w:rsidR="004000A8" w:rsidRPr="00C5629D" w14:paraId="2EC522EA" w14:textId="77777777" w:rsidTr="0025113D">
        <w:tc>
          <w:tcPr>
            <w:tcW w:w="4508" w:type="dxa"/>
          </w:tcPr>
          <w:p w14:paraId="276F42B3" w14:textId="77777777" w:rsidR="004000A8" w:rsidRPr="0062099D" w:rsidRDefault="004000A8" w:rsidP="004000A8">
            <w:pPr>
              <w:jc w:val="both"/>
              <w:rPr>
                <w:rFonts w:asciiTheme="minorHAnsi" w:hAnsiTheme="minorHAnsi" w:cstheme="minorHAnsi"/>
                <w:sz w:val="22"/>
              </w:rPr>
            </w:pPr>
          </w:p>
        </w:tc>
        <w:tc>
          <w:tcPr>
            <w:tcW w:w="4508" w:type="dxa"/>
          </w:tcPr>
          <w:p w14:paraId="725E8299" w14:textId="77777777" w:rsidR="004000A8" w:rsidRPr="0062099D" w:rsidRDefault="004000A8" w:rsidP="004000A8">
            <w:pPr>
              <w:shd w:val="clear" w:color="auto" w:fill="FFFFFF"/>
              <w:rPr>
                <w:rFonts w:asciiTheme="minorHAnsi" w:hAnsiTheme="minorHAnsi" w:cstheme="minorHAnsi"/>
                <w:sz w:val="22"/>
              </w:rPr>
            </w:pPr>
          </w:p>
        </w:tc>
      </w:tr>
      <w:tr w:rsidR="004000A8" w:rsidRPr="00C5629D" w14:paraId="57274445" w14:textId="77777777" w:rsidTr="0025113D">
        <w:tc>
          <w:tcPr>
            <w:tcW w:w="4508" w:type="dxa"/>
          </w:tcPr>
          <w:p w14:paraId="1740EB9C" w14:textId="6A95DDD8"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23° la carte de séjour permanent pour bénéficiaires de l’accord de retrait « Art. 50 TUE » (carte M) ;</w:t>
            </w:r>
          </w:p>
        </w:tc>
        <w:tc>
          <w:tcPr>
            <w:tcW w:w="4508" w:type="dxa"/>
          </w:tcPr>
          <w:p w14:paraId="309B76BF" w14:textId="126C8954" w:rsidR="004000A8" w:rsidRPr="0062099D" w:rsidRDefault="004000A8" w:rsidP="004000A8">
            <w:pPr>
              <w:shd w:val="clear" w:color="auto" w:fill="FFFFFF"/>
              <w:rPr>
                <w:rFonts w:asciiTheme="minorHAnsi" w:hAnsiTheme="minorHAnsi" w:cstheme="minorHAnsi"/>
                <w:sz w:val="22"/>
              </w:rPr>
            </w:pPr>
            <w:r w:rsidRPr="0062099D">
              <w:rPr>
                <w:rFonts w:asciiTheme="minorHAnsi" w:hAnsiTheme="minorHAnsi"/>
                <w:sz w:val="22"/>
              </w:rPr>
              <w:t>23° de duurzame verblijfskaart voor begunstigden van het terugtrekkingsakkoord “Artikel 50 VEU” (M-kaart);</w:t>
            </w:r>
          </w:p>
        </w:tc>
      </w:tr>
      <w:tr w:rsidR="004000A8" w:rsidRPr="00C5629D" w14:paraId="7762E08D" w14:textId="77777777" w:rsidTr="0025113D">
        <w:tc>
          <w:tcPr>
            <w:tcW w:w="4508" w:type="dxa"/>
          </w:tcPr>
          <w:p w14:paraId="1DEAA89F" w14:textId="77777777" w:rsidR="004000A8" w:rsidRPr="0062099D" w:rsidRDefault="004000A8" w:rsidP="004000A8">
            <w:pPr>
              <w:jc w:val="both"/>
              <w:rPr>
                <w:rFonts w:asciiTheme="minorHAnsi" w:hAnsiTheme="minorHAnsi" w:cstheme="minorHAnsi"/>
                <w:sz w:val="22"/>
              </w:rPr>
            </w:pPr>
          </w:p>
        </w:tc>
        <w:tc>
          <w:tcPr>
            <w:tcW w:w="4508" w:type="dxa"/>
          </w:tcPr>
          <w:p w14:paraId="4E539408" w14:textId="77777777" w:rsidR="004000A8" w:rsidRPr="0062099D" w:rsidRDefault="004000A8" w:rsidP="004000A8">
            <w:pPr>
              <w:shd w:val="clear" w:color="auto" w:fill="FFFFFF"/>
              <w:rPr>
                <w:rFonts w:asciiTheme="minorHAnsi" w:hAnsiTheme="minorHAnsi" w:cstheme="minorHAnsi"/>
                <w:sz w:val="22"/>
              </w:rPr>
            </w:pPr>
          </w:p>
        </w:tc>
      </w:tr>
      <w:tr w:rsidR="004000A8" w:rsidRPr="00C5629D" w14:paraId="08F11E49" w14:textId="77777777" w:rsidTr="0025113D">
        <w:tc>
          <w:tcPr>
            <w:tcW w:w="4508" w:type="dxa"/>
          </w:tcPr>
          <w:p w14:paraId="3C62AA31" w14:textId="68DD1788" w:rsidR="004000A8" w:rsidRPr="00CA2966"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24° la carte pour petit trafic frontalier pour bénéficiaires de l’accord de retrait « Art. 50 TUE – Travailleur frontalier » (carte N) ;</w:t>
            </w:r>
          </w:p>
        </w:tc>
        <w:tc>
          <w:tcPr>
            <w:tcW w:w="4508" w:type="dxa"/>
          </w:tcPr>
          <w:p w14:paraId="3027FBBC" w14:textId="04DCA935" w:rsidR="004000A8" w:rsidRPr="0062099D" w:rsidRDefault="004000A8" w:rsidP="004000A8">
            <w:pPr>
              <w:shd w:val="clear" w:color="auto" w:fill="FFFFFF"/>
              <w:rPr>
                <w:rFonts w:asciiTheme="minorHAnsi" w:hAnsiTheme="minorHAnsi" w:cstheme="minorHAnsi"/>
                <w:sz w:val="22"/>
              </w:rPr>
            </w:pPr>
            <w:r w:rsidRPr="0062099D">
              <w:rPr>
                <w:rFonts w:asciiTheme="minorHAnsi" w:hAnsiTheme="minorHAnsi"/>
                <w:sz w:val="22"/>
              </w:rPr>
              <w:t>24° de kaart voor klein grensverkeer voor begunstigden van het terugtrekkingsakkoord “Artikel 50 VEU – grensarbeider” (N-kaart);</w:t>
            </w:r>
          </w:p>
        </w:tc>
      </w:tr>
      <w:tr w:rsidR="004000A8" w:rsidRPr="00DA5983" w14:paraId="184DE859" w14:textId="77777777" w:rsidTr="0025113D">
        <w:tc>
          <w:tcPr>
            <w:tcW w:w="4508" w:type="dxa"/>
          </w:tcPr>
          <w:p w14:paraId="1B42401F" w14:textId="77777777" w:rsidR="004000A8" w:rsidRPr="0062099D" w:rsidRDefault="004000A8" w:rsidP="004000A8">
            <w:pPr>
              <w:jc w:val="both"/>
              <w:rPr>
                <w:rFonts w:asciiTheme="minorHAnsi" w:hAnsiTheme="minorHAnsi" w:cstheme="minorHAnsi"/>
                <w:sz w:val="22"/>
              </w:rPr>
            </w:pPr>
          </w:p>
        </w:tc>
        <w:tc>
          <w:tcPr>
            <w:tcW w:w="4508" w:type="dxa"/>
          </w:tcPr>
          <w:p w14:paraId="57A2B6DC" w14:textId="77777777" w:rsidR="004000A8" w:rsidRPr="0062099D" w:rsidRDefault="004000A8" w:rsidP="004000A8">
            <w:pPr>
              <w:jc w:val="both"/>
              <w:rPr>
                <w:rFonts w:asciiTheme="minorHAnsi" w:hAnsiTheme="minorHAnsi" w:cstheme="minorHAnsi"/>
                <w:sz w:val="22"/>
              </w:rPr>
            </w:pPr>
          </w:p>
        </w:tc>
      </w:tr>
      <w:tr w:rsidR="004000A8" w:rsidRPr="003E0EDF" w14:paraId="431F7871" w14:textId="77777777" w:rsidTr="0025113D">
        <w:tc>
          <w:tcPr>
            <w:tcW w:w="4508" w:type="dxa"/>
          </w:tcPr>
          <w:p w14:paraId="593E073B" w14:textId="58B01DF0" w:rsidR="004000A8" w:rsidRPr="0062099D" w:rsidRDefault="004000A8" w:rsidP="004000A8">
            <w:pPr>
              <w:jc w:val="both"/>
              <w:rPr>
                <w:rFonts w:asciiTheme="minorHAnsi" w:hAnsiTheme="minorHAnsi" w:cstheme="minorHAnsi"/>
                <w:sz w:val="22"/>
              </w:rPr>
            </w:pPr>
            <w:r w:rsidRPr="0062099D">
              <w:rPr>
                <w:rFonts w:asciiTheme="minorHAnsi" w:hAnsiTheme="minorHAnsi" w:cstheme="minorHAnsi"/>
                <w:sz w:val="22"/>
              </w:rPr>
              <w:t xml:space="preserve">25° </w:t>
            </w:r>
            <w:proofErr w:type="spellStart"/>
            <w:r w:rsidRPr="0062099D">
              <w:rPr>
                <w:rFonts w:asciiTheme="minorHAnsi" w:hAnsiTheme="minorHAnsi" w:cstheme="minorHAnsi"/>
                <w:sz w:val="22"/>
              </w:rPr>
              <w:t>l’acte</w:t>
            </w:r>
            <w:proofErr w:type="spellEnd"/>
            <w:r w:rsidRPr="0062099D">
              <w:rPr>
                <w:rFonts w:asciiTheme="minorHAnsi" w:hAnsiTheme="minorHAnsi" w:cstheme="minorHAnsi"/>
                <w:sz w:val="22"/>
              </w:rPr>
              <w:t xml:space="preserve"> de </w:t>
            </w:r>
            <w:proofErr w:type="spellStart"/>
            <w:r w:rsidRPr="0062099D">
              <w:rPr>
                <w:rFonts w:asciiTheme="minorHAnsi" w:hAnsiTheme="minorHAnsi" w:cstheme="minorHAnsi"/>
                <w:sz w:val="22"/>
              </w:rPr>
              <w:t>notoriété</w:t>
            </w:r>
            <w:proofErr w:type="spellEnd"/>
            <w:r w:rsidRPr="0062099D">
              <w:rPr>
                <w:rFonts w:asciiTheme="minorHAnsi" w:hAnsiTheme="minorHAnsi" w:cstheme="minorHAnsi"/>
                <w:sz w:val="22"/>
              </w:rPr>
              <w:t xml:space="preserve">  ; </w:t>
            </w:r>
          </w:p>
        </w:tc>
        <w:tc>
          <w:tcPr>
            <w:tcW w:w="4508" w:type="dxa"/>
          </w:tcPr>
          <w:p w14:paraId="3BA8505B" w14:textId="77796EC7" w:rsidR="004000A8" w:rsidRPr="0062099D" w:rsidRDefault="004000A8" w:rsidP="004000A8">
            <w:pPr>
              <w:jc w:val="both"/>
              <w:rPr>
                <w:rFonts w:asciiTheme="minorHAnsi" w:hAnsiTheme="minorHAnsi" w:cstheme="minorHAnsi"/>
                <w:sz w:val="22"/>
              </w:rPr>
            </w:pPr>
            <w:r w:rsidRPr="0062099D">
              <w:rPr>
                <w:rFonts w:asciiTheme="minorHAnsi" w:hAnsiTheme="minorHAnsi" w:cstheme="minorHAnsi"/>
                <w:color w:val="000000" w:themeColor="text1"/>
                <w:sz w:val="22"/>
              </w:rPr>
              <w:t xml:space="preserve">25° de </w:t>
            </w:r>
            <w:r w:rsidRPr="0062099D">
              <w:rPr>
                <w:rFonts w:asciiTheme="minorHAnsi" w:hAnsiTheme="minorHAnsi" w:cstheme="minorHAnsi"/>
                <w:sz w:val="22"/>
                <w:lang w:val="nl-NL"/>
              </w:rPr>
              <w:t>akte van bekendheid</w:t>
            </w:r>
            <w:r w:rsidRPr="0062099D" w:rsidDel="00AC361A">
              <w:rPr>
                <w:rFonts w:asciiTheme="minorHAnsi" w:hAnsiTheme="minorHAnsi" w:cstheme="minorHAnsi"/>
                <w:color w:val="000000" w:themeColor="text1"/>
                <w:sz w:val="22"/>
              </w:rPr>
              <w:t xml:space="preserve"> </w:t>
            </w:r>
            <w:r w:rsidRPr="0062099D">
              <w:rPr>
                <w:rFonts w:asciiTheme="minorHAnsi" w:hAnsiTheme="minorHAnsi" w:cstheme="minorHAnsi"/>
                <w:color w:val="000000" w:themeColor="text1"/>
                <w:sz w:val="22"/>
              </w:rPr>
              <w:t xml:space="preserve">; </w:t>
            </w:r>
          </w:p>
        </w:tc>
      </w:tr>
      <w:tr w:rsidR="004000A8" w:rsidRPr="003E0EDF" w14:paraId="575FABCF" w14:textId="77777777" w:rsidTr="0025113D">
        <w:tc>
          <w:tcPr>
            <w:tcW w:w="4508" w:type="dxa"/>
          </w:tcPr>
          <w:p w14:paraId="2ED1D9F1" w14:textId="28BA2E35" w:rsidR="004000A8" w:rsidRPr="0062099D" w:rsidRDefault="004000A8" w:rsidP="004000A8">
            <w:pPr>
              <w:jc w:val="both"/>
              <w:rPr>
                <w:rFonts w:asciiTheme="minorHAnsi" w:hAnsiTheme="minorHAnsi" w:cstheme="minorHAnsi"/>
                <w:sz w:val="22"/>
                <w:lang w:val="fr-BE"/>
              </w:rPr>
            </w:pPr>
          </w:p>
        </w:tc>
        <w:tc>
          <w:tcPr>
            <w:tcW w:w="4508" w:type="dxa"/>
          </w:tcPr>
          <w:p w14:paraId="43A2CB57" w14:textId="098B6B4B" w:rsidR="004000A8" w:rsidRPr="0062099D" w:rsidRDefault="004000A8" w:rsidP="004000A8">
            <w:pPr>
              <w:jc w:val="both"/>
              <w:rPr>
                <w:rFonts w:asciiTheme="minorHAnsi" w:hAnsiTheme="minorHAnsi" w:cstheme="minorHAnsi"/>
                <w:sz w:val="22"/>
              </w:rPr>
            </w:pPr>
          </w:p>
        </w:tc>
      </w:tr>
      <w:tr w:rsidR="004000A8" w:rsidRPr="003E0EDF" w14:paraId="006EFC57" w14:textId="77777777" w:rsidTr="0025113D">
        <w:tc>
          <w:tcPr>
            <w:tcW w:w="4508" w:type="dxa"/>
          </w:tcPr>
          <w:p w14:paraId="348FF367" w14:textId="089BCC65" w:rsidR="004000A8" w:rsidRPr="0062099D"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26° uniquement pour les services de communications électroniques payés avant leur fourniture, l’annexe 12 délivrée en application de l’article 6 de l’arrêté royal du 25 mars 2003 relatif aux cartes d’identité ou en application de l’article 36bis de l’arrêté royal du 8 octobre 1981 sur l'accès au territoire, le séjour, l'établissement et l'éloignement des étrangers ;</w:t>
            </w:r>
          </w:p>
        </w:tc>
        <w:tc>
          <w:tcPr>
            <w:tcW w:w="4508" w:type="dxa"/>
          </w:tcPr>
          <w:p w14:paraId="117995A8" w14:textId="5BFCFB28" w:rsidR="004000A8" w:rsidRPr="0062099D" w:rsidRDefault="004000A8" w:rsidP="004000A8">
            <w:pPr>
              <w:contextualSpacing/>
              <w:jc w:val="both"/>
              <w:rPr>
                <w:rFonts w:asciiTheme="minorHAnsi" w:hAnsiTheme="minorHAnsi" w:cstheme="minorHAnsi"/>
                <w:color w:val="000000" w:themeColor="text1"/>
                <w:sz w:val="22"/>
              </w:rPr>
            </w:pPr>
            <w:r w:rsidRPr="0062099D">
              <w:rPr>
                <w:rFonts w:asciiTheme="minorHAnsi" w:hAnsiTheme="minorHAnsi" w:cstheme="minorHAnsi"/>
                <w:color w:val="000000" w:themeColor="text1"/>
                <w:sz w:val="22"/>
              </w:rPr>
              <w:t>26° enkel voor de elektronische-communicatiediensten die dienen te worden betaald voordat ze verstrekt worden, bijlage 12 verstrekt krachtens artikel 6 van het koninklijk besluit van 25 maart 2003  betreffende de identiteitskaarten of artikel 36bis van het koninklijk besluit van 8 oktober 1981 betreffende de toegang tot het grondgebied, het verblijf, de vestiging en de verwijdering van vreemdelingen;</w:t>
            </w:r>
          </w:p>
        </w:tc>
      </w:tr>
      <w:tr w:rsidR="004000A8" w:rsidRPr="003E0EDF" w14:paraId="239B2C2D" w14:textId="77777777" w:rsidTr="0025113D">
        <w:tc>
          <w:tcPr>
            <w:tcW w:w="4508" w:type="dxa"/>
          </w:tcPr>
          <w:p w14:paraId="1BE42EB8" w14:textId="72548AE9" w:rsidR="004000A8" w:rsidRPr="0062099D" w:rsidRDefault="004000A8" w:rsidP="004000A8">
            <w:pPr>
              <w:jc w:val="both"/>
              <w:rPr>
                <w:rFonts w:asciiTheme="minorHAnsi" w:hAnsiTheme="minorHAnsi" w:cstheme="minorHAnsi"/>
                <w:sz w:val="22"/>
              </w:rPr>
            </w:pPr>
          </w:p>
        </w:tc>
        <w:tc>
          <w:tcPr>
            <w:tcW w:w="4508" w:type="dxa"/>
          </w:tcPr>
          <w:p w14:paraId="1BE10C22" w14:textId="30620A73" w:rsidR="004000A8" w:rsidRPr="0062099D" w:rsidRDefault="004000A8" w:rsidP="004000A8">
            <w:pPr>
              <w:jc w:val="both"/>
              <w:rPr>
                <w:rFonts w:asciiTheme="minorHAnsi" w:hAnsiTheme="minorHAnsi" w:cstheme="minorHAnsi"/>
                <w:sz w:val="22"/>
              </w:rPr>
            </w:pPr>
          </w:p>
        </w:tc>
      </w:tr>
      <w:tr w:rsidR="004000A8" w:rsidRPr="003E0EDF" w14:paraId="486F0FE5" w14:textId="77777777" w:rsidTr="0025113D">
        <w:tc>
          <w:tcPr>
            <w:tcW w:w="4508" w:type="dxa"/>
          </w:tcPr>
          <w:p w14:paraId="0A8B5312" w14:textId="133C1DC7" w:rsidR="004000A8" w:rsidRPr="0062099D" w:rsidRDefault="004000A8" w:rsidP="004000A8">
            <w:pPr>
              <w:jc w:val="both"/>
              <w:rPr>
                <w:rFonts w:asciiTheme="minorHAnsi" w:hAnsiTheme="minorHAnsi" w:cstheme="minorHAnsi"/>
                <w:sz w:val="22"/>
              </w:rPr>
            </w:pPr>
            <w:r w:rsidRPr="0062099D">
              <w:rPr>
                <w:rFonts w:asciiTheme="minorHAnsi" w:hAnsiTheme="minorHAnsi" w:cstheme="minorHAnsi"/>
                <w:sz w:val="22"/>
              </w:rPr>
              <w:t xml:space="preserve">27° </w:t>
            </w:r>
            <w:proofErr w:type="spellStart"/>
            <w:r w:rsidRPr="0062099D">
              <w:rPr>
                <w:rFonts w:asciiTheme="minorHAnsi" w:hAnsiTheme="minorHAnsi" w:cstheme="minorHAnsi"/>
                <w:sz w:val="22"/>
              </w:rPr>
              <w:t>l’attestation</w:t>
            </w:r>
            <w:proofErr w:type="spellEnd"/>
            <w:r w:rsidRPr="0062099D">
              <w:rPr>
                <w:rFonts w:asciiTheme="minorHAnsi" w:hAnsiTheme="minorHAnsi" w:cstheme="minorHAnsi"/>
                <w:sz w:val="22"/>
              </w:rPr>
              <w:t xml:space="preserve">  </w:t>
            </w:r>
            <w:proofErr w:type="spellStart"/>
            <w:r w:rsidRPr="0062099D">
              <w:rPr>
                <w:rFonts w:asciiTheme="minorHAnsi" w:hAnsiTheme="minorHAnsi" w:cstheme="minorHAnsi"/>
                <w:sz w:val="22"/>
              </w:rPr>
              <w:t>d’immatriculation</w:t>
            </w:r>
            <w:proofErr w:type="spellEnd"/>
            <w:r w:rsidRPr="0062099D">
              <w:rPr>
                <w:rFonts w:asciiTheme="minorHAnsi" w:hAnsiTheme="minorHAnsi" w:cstheme="minorHAnsi"/>
                <w:sz w:val="22"/>
              </w:rPr>
              <w:t xml:space="preserve"> (carte </w:t>
            </w:r>
            <w:proofErr w:type="spellStart"/>
            <w:r w:rsidRPr="0062099D">
              <w:rPr>
                <w:rFonts w:asciiTheme="minorHAnsi" w:hAnsiTheme="minorHAnsi" w:cstheme="minorHAnsi"/>
                <w:sz w:val="22"/>
              </w:rPr>
              <w:t>orange</w:t>
            </w:r>
            <w:proofErr w:type="spellEnd"/>
            <w:r w:rsidRPr="0062099D">
              <w:rPr>
                <w:rFonts w:asciiTheme="minorHAnsi" w:hAnsiTheme="minorHAnsi" w:cstheme="minorHAnsi"/>
                <w:sz w:val="22"/>
              </w:rPr>
              <w:t>) ;</w:t>
            </w:r>
          </w:p>
        </w:tc>
        <w:tc>
          <w:tcPr>
            <w:tcW w:w="4508" w:type="dxa"/>
          </w:tcPr>
          <w:p w14:paraId="1DFE8633" w14:textId="044F1285" w:rsidR="004000A8" w:rsidRPr="0062099D" w:rsidRDefault="004000A8" w:rsidP="004000A8">
            <w:pPr>
              <w:jc w:val="both"/>
              <w:rPr>
                <w:rFonts w:asciiTheme="minorHAnsi" w:hAnsiTheme="minorHAnsi" w:cstheme="minorHAnsi"/>
                <w:sz w:val="22"/>
              </w:rPr>
            </w:pPr>
            <w:r w:rsidRPr="0062099D">
              <w:rPr>
                <w:rFonts w:asciiTheme="minorHAnsi" w:hAnsiTheme="minorHAnsi" w:cstheme="minorHAnsi"/>
                <w:color w:val="000000" w:themeColor="text1"/>
                <w:sz w:val="22"/>
              </w:rPr>
              <w:t xml:space="preserve">27° het attest van </w:t>
            </w:r>
            <w:proofErr w:type="spellStart"/>
            <w:r w:rsidRPr="0062099D">
              <w:rPr>
                <w:rFonts w:asciiTheme="minorHAnsi" w:hAnsiTheme="minorHAnsi" w:cstheme="minorHAnsi"/>
                <w:color w:val="000000" w:themeColor="text1"/>
                <w:sz w:val="22"/>
              </w:rPr>
              <w:t>immatriculatie</w:t>
            </w:r>
            <w:proofErr w:type="spellEnd"/>
            <w:r w:rsidRPr="0062099D">
              <w:rPr>
                <w:rFonts w:asciiTheme="minorHAnsi" w:hAnsiTheme="minorHAnsi" w:cstheme="minorHAnsi"/>
                <w:color w:val="000000" w:themeColor="text1"/>
                <w:sz w:val="22"/>
              </w:rPr>
              <w:t xml:space="preserve"> (oranje kaart);</w:t>
            </w:r>
          </w:p>
        </w:tc>
      </w:tr>
      <w:tr w:rsidR="004000A8" w:rsidRPr="00A80C6F" w14:paraId="620A244A" w14:textId="77777777" w:rsidTr="0025113D">
        <w:tc>
          <w:tcPr>
            <w:tcW w:w="4508" w:type="dxa"/>
          </w:tcPr>
          <w:p w14:paraId="5257BD8A" w14:textId="29B8673E" w:rsidR="004000A8" w:rsidRPr="0062099D" w:rsidRDefault="004000A8" w:rsidP="004000A8">
            <w:pPr>
              <w:jc w:val="both"/>
              <w:rPr>
                <w:rFonts w:asciiTheme="minorHAnsi" w:hAnsiTheme="minorHAnsi" w:cstheme="minorHAnsi"/>
                <w:sz w:val="22"/>
              </w:rPr>
            </w:pPr>
          </w:p>
        </w:tc>
        <w:tc>
          <w:tcPr>
            <w:tcW w:w="4508" w:type="dxa"/>
          </w:tcPr>
          <w:p w14:paraId="0B0F38FE" w14:textId="225D7F41" w:rsidR="004000A8" w:rsidRPr="0062099D" w:rsidRDefault="004000A8" w:rsidP="004000A8">
            <w:pPr>
              <w:jc w:val="both"/>
              <w:rPr>
                <w:rFonts w:asciiTheme="minorHAnsi" w:hAnsiTheme="minorHAnsi" w:cstheme="minorHAnsi"/>
                <w:sz w:val="22"/>
              </w:rPr>
            </w:pPr>
          </w:p>
        </w:tc>
      </w:tr>
      <w:tr w:rsidR="004000A8" w:rsidRPr="00A80C6F" w14:paraId="4286FB3A" w14:textId="77777777" w:rsidTr="0025113D">
        <w:tc>
          <w:tcPr>
            <w:tcW w:w="4508" w:type="dxa"/>
          </w:tcPr>
          <w:p w14:paraId="36ECDF5B" w14:textId="3C891796" w:rsidR="004000A8" w:rsidRPr="0062099D"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28° la carte d’identité étrangère,  lorsqu’un passeport international n’est pas nécessaire pour séjourner en Belgique ;</w:t>
            </w:r>
          </w:p>
        </w:tc>
        <w:tc>
          <w:tcPr>
            <w:tcW w:w="4508" w:type="dxa"/>
          </w:tcPr>
          <w:p w14:paraId="38417735" w14:textId="627EE523" w:rsidR="004000A8" w:rsidRPr="0062099D" w:rsidRDefault="004000A8" w:rsidP="004000A8">
            <w:pPr>
              <w:jc w:val="both"/>
              <w:rPr>
                <w:rFonts w:asciiTheme="minorHAnsi" w:hAnsiTheme="minorHAnsi" w:cstheme="minorHAnsi"/>
                <w:sz w:val="22"/>
              </w:rPr>
            </w:pPr>
            <w:r w:rsidRPr="0062099D">
              <w:rPr>
                <w:rFonts w:asciiTheme="minorHAnsi" w:hAnsiTheme="minorHAnsi" w:cstheme="minorHAnsi"/>
                <w:color w:val="000000" w:themeColor="text1"/>
                <w:sz w:val="22"/>
              </w:rPr>
              <w:t>28° de buitenlandse identiteitskaart, wanneer een internationaal paspoort niet nodig is om in België te verblijven;</w:t>
            </w:r>
          </w:p>
        </w:tc>
      </w:tr>
      <w:tr w:rsidR="004000A8" w:rsidRPr="00A80C6F" w14:paraId="7D497D76" w14:textId="77777777" w:rsidTr="0025113D">
        <w:tc>
          <w:tcPr>
            <w:tcW w:w="4508" w:type="dxa"/>
          </w:tcPr>
          <w:p w14:paraId="3A1F17AE" w14:textId="5A9154F8" w:rsidR="004000A8" w:rsidRPr="0062099D" w:rsidRDefault="004000A8" w:rsidP="004000A8">
            <w:pPr>
              <w:jc w:val="both"/>
              <w:rPr>
                <w:rFonts w:asciiTheme="minorHAnsi" w:hAnsiTheme="minorHAnsi" w:cstheme="minorHAnsi"/>
                <w:sz w:val="22"/>
              </w:rPr>
            </w:pPr>
          </w:p>
        </w:tc>
        <w:tc>
          <w:tcPr>
            <w:tcW w:w="4508" w:type="dxa"/>
          </w:tcPr>
          <w:p w14:paraId="55DC3E29" w14:textId="1475A409" w:rsidR="004000A8" w:rsidRPr="0062099D" w:rsidRDefault="004000A8" w:rsidP="004000A8">
            <w:pPr>
              <w:jc w:val="both"/>
              <w:rPr>
                <w:rFonts w:asciiTheme="minorHAnsi" w:hAnsiTheme="minorHAnsi" w:cstheme="minorHAnsi"/>
                <w:sz w:val="22"/>
              </w:rPr>
            </w:pPr>
          </w:p>
        </w:tc>
      </w:tr>
      <w:tr w:rsidR="004000A8" w:rsidRPr="00A80C6F" w14:paraId="573A53CA" w14:textId="77777777" w:rsidTr="0025113D">
        <w:tc>
          <w:tcPr>
            <w:tcW w:w="4508" w:type="dxa"/>
          </w:tcPr>
          <w:p w14:paraId="6721ACAA" w14:textId="392954DE" w:rsidR="004000A8" w:rsidRPr="00BA197B" w:rsidRDefault="004000A8" w:rsidP="004000A8">
            <w:pPr>
              <w:jc w:val="both"/>
              <w:rPr>
                <w:rFonts w:asciiTheme="minorHAnsi" w:hAnsiTheme="minorHAnsi" w:cstheme="minorHAnsi"/>
                <w:sz w:val="22"/>
                <w:lang w:val="fr-BE"/>
              </w:rPr>
            </w:pPr>
            <w:r>
              <w:rPr>
                <w:rFonts w:asciiTheme="minorHAnsi" w:hAnsiTheme="minorHAnsi" w:cstheme="minorHAnsi"/>
                <w:sz w:val="22"/>
                <w:lang w:val="fr-BE"/>
              </w:rPr>
              <w:t>29</w:t>
            </w:r>
            <w:r w:rsidRPr="00BA197B">
              <w:rPr>
                <w:rFonts w:asciiTheme="minorHAnsi" w:hAnsiTheme="minorHAnsi" w:cstheme="minorHAnsi"/>
                <w:sz w:val="22"/>
                <w:lang w:val="fr-BE"/>
              </w:rPr>
              <w:t>° les cartes d'identité spéciales délivrées aux catégories de personnel actives dans les missions diplomatiques et consulaires et aux membres de leur famille, en vertu des Conventions de Vienne de 1961 et 1963 et de l'arrêté royal du 30 octobre 1991 relatif aux documents de séjour en Belgique de certains étrangers ;</w:t>
            </w:r>
          </w:p>
        </w:tc>
        <w:tc>
          <w:tcPr>
            <w:tcW w:w="4508" w:type="dxa"/>
          </w:tcPr>
          <w:p w14:paraId="11E9F3CA" w14:textId="01A9AABC" w:rsidR="004000A8" w:rsidRPr="00BA197B" w:rsidRDefault="004000A8" w:rsidP="004000A8">
            <w:pPr>
              <w:jc w:val="both"/>
              <w:rPr>
                <w:rFonts w:asciiTheme="minorHAnsi" w:hAnsiTheme="minorHAnsi" w:cstheme="minorHAnsi"/>
                <w:sz w:val="22"/>
              </w:rPr>
            </w:pPr>
            <w:r>
              <w:rPr>
                <w:rFonts w:asciiTheme="minorHAnsi" w:hAnsiTheme="minorHAnsi" w:cstheme="minorHAnsi"/>
                <w:color w:val="000000" w:themeColor="text1"/>
                <w:sz w:val="22"/>
              </w:rPr>
              <w:t>29</w:t>
            </w:r>
            <w:r w:rsidRPr="00BA197B">
              <w:rPr>
                <w:rFonts w:asciiTheme="minorHAnsi" w:hAnsiTheme="minorHAnsi" w:cstheme="minorHAnsi"/>
                <w:color w:val="000000" w:themeColor="text1"/>
                <w:sz w:val="22"/>
              </w:rPr>
              <w:t>° de bijzondere identiteitskaarten verstrekt aan de categorieën van personeel dat actief is in diplomatieke en consulaire zendingen en aan hun familieleden, krachtens de Verdragen van Wenen van 1961 en 1963 en het koninklijk besluit van 30 oktober 1991 betreffende de documenten voor het verblijf in België van bepaalde vreemdelingen;</w:t>
            </w:r>
          </w:p>
        </w:tc>
      </w:tr>
      <w:tr w:rsidR="004000A8" w:rsidRPr="00A80C6F" w14:paraId="2F5C2F7A" w14:textId="77777777" w:rsidTr="0025113D">
        <w:tc>
          <w:tcPr>
            <w:tcW w:w="4508" w:type="dxa"/>
          </w:tcPr>
          <w:p w14:paraId="075F1E84" w14:textId="2172174F" w:rsidR="004000A8" w:rsidRPr="00BA197B" w:rsidRDefault="004000A8" w:rsidP="004000A8">
            <w:pPr>
              <w:jc w:val="both"/>
              <w:rPr>
                <w:rFonts w:asciiTheme="minorHAnsi" w:hAnsiTheme="minorHAnsi" w:cstheme="minorHAnsi"/>
                <w:sz w:val="22"/>
              </w:rPr>
            </w:pPr>
          </w:p>
        </w:tc>
        <w:tc>
          <w:tcPr>
            <w:tcW w:w="4508" w:type="dxa"/>
          </w:tcPr>
          <w:p w14:paraId="67227129" w14:textId="30F4FB94" w:rsidR="004000A8" w:rsidRPr="00BA197B" w:rsidRDefault="004000A8" w:rsidP="004000A8">
            <w:pPr>
              <w:jc w:val="both"/>
              <w:rPr>
                <w:rFonts w:asciiTheme="minorHAnsi" w:hAnsiTheme="minorHAnsi" w:cstheme="minorHAnsi"/>
                <w:sz w:val="22"/>
              </w:rPr>
            </w:pPr>
          </w:p>
        </w:tc>
      </w:tr>
      <w:tr w:rsidR="004000A8" w:rsidRPr="00A80C6F" w14:paraId="513E92D4" w14:textId="77777777" w:rsidTr="0025113D">
        <w:tc>
          <w:tcPr>
            <w:tcW w:w="4508" w:type="dxa"/>
          </w:tcPr>
          <w:p w14:paraId="6BD3B0E8" w14:textId="650798DB" w:rsidR="004000A8" w:rsidRPr="0062099D"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30° la carte d’identité délivrée conformément aux Conventions de Genève du 12 août 1949 relatif à la protection des victimes des conflits armés internationaux ;</w:t>
            </w:r>
          </w:p>
        </w:tc>
        <w:tc>
          <w:tcPr>
            <w:tcW w:w="4508" w:type="dxa"/>
          </w:tcPr>
          <w:p w14:paraId="33369D55" w14:textId="6F7FE9FD" w:rsidR="004000A8" w:rsidRPr="0062099D" w:rsidRDefault="004000A8" w:rsidP="004000A8">
            <w:pPr>
              <w:jc w:val="both"/>
              <w:rPr>
                <w:rFonts w:asciiTheme="minorHAnsi" w:hAnsiTheme="minorHAnsi" w:cstheme="minorHAnsi"/>
                <w:sz w:val="22"/>
              </w:rPr>
            </w:pPr>
            <w:r w:rsidRPr="0062099D">
              <w:rPr>
                <w:rFonts w:asciiTheme="minorHAnsi" w:hAnsiTheme="minorHAnsi" w:cstheme="minorHAnsi"/>
                <w:color w:val="000000" w:themeColor="text1"/>
                <w:sz w:val="22"/>
              </w:rPr>
              <w:t>30° de identiteitskaart verstrekt conform de Conventies van Genève van 12 augustus 1949 inzake de bescherming van de slachtoffers van internationale gewapende conflicten;</w:t>
            </w:r>
          </w:p>
        </w:tc>
      </w:tr>
      <w:tr w:rsidR="004000A8" w:rsidRPr="00A80C6F" w14:paraId="4D49C724" w14:textId="77777777" w:rsidTr="0025113D">
        <w:tc>
          <w:tcPr>
            <w:tcW w:w="4508" w:type="dxa"/>
          </w:tcPr>
          <w:p w14:paraId="7E961F47" w14:textId="1796FF5A" w:rsidR="004000A8" w:rsidRPr="0062099D" w:rsidRDefault="004000A8" w:rsidP="004000A8">
            <w:pPr>
              <w:jc w:val="both"/>
              <w:rPr>
                <w:rFonts w:asciiTheme="minorHAnsi" w:hAnsiTheme="minorHAnsi" w:cstheme="minorHAnsi"/>
                <w:sz w:val="22"/>
              </w:rPr>
            </w:pPr>
          </w:p>
        </w:tc>
        <w:tc>
          <w:tcPr>
            <w:tcW w:w="4508" w:type="dxa"/>
          </w:tcPr>
          <w:p w14:paraId="603ADD54" w14:textId="054E31E7" w:rsidR="004000A8" w:rsidRPr="0062099D" w:rsidRDefault="004000A8" w:rsidP="004000A8">
            <w:pPr>
              <w:jc w:val="both"/>
              <w:rPr>
                <w:rFonts w:asciiTheme="minorHAnsi" w:hAnsiTheme="minorHAnsi" w:cstheme="minorHAnsi"/>
                <w:sz w:val="22"/>
              </w:rPr>
            </w:pPr>
          </w:p>
        </w:tc>
      </w:tr>
      <w:tr w:rsidR="004000A8" w:rsidRPr="00A80C6F" w14:paraId="4641AB88" w14:textId="77777777" w:rsidTr="0025113D">
        <w:tc>
          <w:tcPr>
            <w:tcW w:w="4508" w:type="dxa"/>
          </w:tcPr>
          <w:p w14:paraId="091F502C" w14:textId="194091D0" w:rsidR="004000A8" w:rsidRPr="0062099D" w:rsidRDefault="004000A8" w:rsidP="004000A8">
            <w:pPr>
              <w:jc w:val="both"/>
              <w:rPr>
                <w:rFonts w:asciiTheme="minorHAnsi" w:hAnsiTheme="minorHAnsi" w:cstheme="minorHAnsi"/>
                <w:sz w:val="22"/>
                <w:lang w:val="fr-BE"/>
              </w:rPr>
            </w:pPr>
            <w:r w:rsidRPr="0062099D">
              <w:rPr>
                <w:rFonts w:asciiTheme="minorHAnsi" w:hAnsiTheme="minorHAnsi" w:cstheme="minorHAnsi"/>
                <w:sz w:val="22"/>
              </w:rPr>
              <w:t xml:space="preserve">31° </w:t>
            </w:r>
            <w:proofErr w:type="spellStart"/>
            <w:r w:rsidRPr="0062099D">
              <w:rPr>
                <w:rFonts w:asciiTheme="minorHAnsi" w:hAnsiTheme="minorHAnsi" w:cstheme="minorHAnsi"/>
                <w:sz w:val="22"/>
              </w:rPr>
              <w:t>le</w:t>
            </w:r>
            <w:proofErr w:type="spellEnd"/>
            <w:r w:rsidRPr="0062099D">
              <w:rPr>
                <w:rFonts w:asciiTheme="minorHAnsi" w:hAnsiTheme="minorHAnsi" w:cstheme="minorHAnsi"/>
                <w:sz w:val="22"/>
              </w:rPr>
              <w:t xml:space="preserve"> </w:t>
            </w:r>
            <w:proofErr w:type="spellStart"/>
            <w:r w:rsidRPr="0062099D">
              <w:rPr>
                <w:rFonts w:asciiTheme="minorHAnsi" w:hAnsiTheme="minorHAnsi" w:cstheme="minorHAnsi"/>
                <w:sz w:val="22"/>
              </w:rPr>
              <w:t>passeport</w:t>
            </w:r>
            <w:proofErr w:type="spellEnd"/>
            <w:r w:rsidRPr="0062099D">
              <w:rPr>
                <w:rFonts w:asciiTheme="minorHAnsi" w:hAnsiTheme="minorHAnsi" w:cstheme="minorHAnsi"/>
                <w:sz w:val="22"/>
              </w:rPr>
              <w:t xml:space="preserve"> </w:t>
            </w:r>
            <w:proofErr w:type="spellStart"/>
            <w:r w:rsidRPr="0062099D">
              <w:rPr>
                <w:rFonts w:asciiTheme="minorHAnsi" w:hAnsiTheme="minorHAnsi" w:cstheme="minorHAnsi"/>
                <w:sz w:val="22"/>
              </w:rPr>
              <w:t>étranger</w:t>
            </w:r>
            <w:proofErr w:type="spellEnd"/>
            <w:r w:rsidRPr="0062099D">
              <w:rPr>
                <w:rFonts w:asciiTheme="minorHAnsi" w:hAnsiTheme="minorHAnsi" w:cstheme="minorHAnsi"/>
                <w:sz w:val="22"/>
              </w:rPr>
              <w:t xml:space="preserve"> ;</w:t>
            </w:r>
          </w:p>
        </w:tc>
        <w:tc>
          <w:tcPr>
            <w:tcW w:w="4508" w:type="dxa"/>
          </w:tcPr>
          <w:p w14:paraId="11535DC9" w14:textId="5D2698A0" w:rsidR="004000A8" w:rsidRPr="0062099D" w:rsidRDefault="004000A8" w:rsidP="004000A8">
            <w:pPr>
              <w:jc w:val="both"/>
              <w:rPr>
                <w:rFonts w:asciiTheme="minorHAnsi" w:hAnsiTheme="minorHAnsi" w:cstheme="minorHAnsi"/>
                <w:sz w:val="22"/>
              </w:rPr>
            </w:pPr>
            <w:r w:rsidRPr="0062099D">
              <w:rPr>
                <w:rFonts w:asciiTheme="minorHAnsi" w:hAnsiTheme="minorHAnsi" w:cstheme="minorHAnsi"/>
                <w:color w:val="000000" w:themeColor="text1"/>
                <w:sz w:val="22"/>
              </w:rPr>
              <w:t>31° het buitenlands paspoort;</w:t>
            </w:r>
          </w:p>
        </w:tc>
      </w:tr>
      <w:tr w:rsidR="004000A8" w:rsidRPr="00A80C6F" w14:paraId="4644FA42" w14:textId="77777777" w:rsidTr="0025113D">
        <w:tc>
          <w:tcPr>
            <w:tcW w:w="4508" w:type="dxa"/>
          </w:tcPr>
          <w:p w14:paraId="78FC3229" w14:textId="496750D7" w:rsidR="004000A8" w:rsidRPr="0062099D" w:rsidRDefault="004000A8" w:rsidP="004000A8">
            <w:pPr>
              <w:jc w:val="both"/>
              <w:rPr>
                <w:rFonts w:asciiTheme="minorHAnsi" w:hAnsiTheme="minorHAnsi" w:cstheme="minorHAnsi"/>
                <w:sz w:val="22"/>
                <w:lang w:val="fr-BE"/>
              </w:rPr>
            </w:pPr>
          </w:p>
        </w:tc>
        <w:tc>
          <w:tcPr>
            <w:tcW w:w="4508" w:type="dxa"/>
          </w:tcPr>
          <w:p w14:paraId="7E1D54A3" w14:textId="1B952791" w:rsidR="004000A8" w:rsidRPr="0062099D" w:rsidRDefault="004000A8" w:rsidP="004000A8">
            <w:pPr>
              <w:jc w:val="both"/>
              <w:rPr>
                <w:rFonts w:asciiTheme="minorHAnsi" w:hAnsiTheme="minorHAnsi" w:cstheme="minorHAnsi"/>
                <w:sz w:val="22"/>
              </w:rPr>
            </w:pPr>
          </w:p>
        </w:tc>
      </w:tr>
      <w:tr w:rsidR="004000A8" w:rsidRPr="00A80C6F" w14:paraId="33FBFE71" w14:textId="77777777" w:rsidTr="0025113D">
        <w:tc>
          <w:tcPr>
            <w:tcW w:w="4508" w:type="dxa"/>
          </w:tcPr>
          <w:p w14:paraId="66903751" w14:textId="2CBA1794" w:rsidR="004000A8" w:rsidRPr="0062099D" w:rsidRDefault="004000A8" w:rsidP="004000A8">
            <w:pPr>
              <w:jc w:val="both"/>
              <w:rPr>
                <w:rFonts w:asciiTheme="minorHAnsi" w:hAnsiTheme="minorHAnsi" w:cstheme="minorHAnsi"/>
                <w:sz w:val="22"/>
                <w:lang w:val="fr-BE"/>
              </w:rPr>
            </w:pPr>
            <w:r w:rsidRPr="0062099D">
              <w:rPr>
                <w:rFonts w:asciiTheme="minorHAnsi" w:hAnsiTheme="minorHAnsi" w:cstheme="minorHAnsi"/>
                <w:sz w:val="22"/>
                <w:lang w:val="fr-BE"/>
              </w:rPr>
              <w:t xml:space="preserve">32° </w:t>
            </w:r>
            <w:bookmarkStart w:id="7" w:name="_Hlk90557889"/>
            <w:r w:rsidRPr="0062099D">
              <w:rPr>
                <w:rFonts w:asciiTheme="minorHAnsi" w:hAnsiTheme="minorHAnsi" w:cstheme="minorHAnsi"/>
                <w:sz w:val="22"/>
                <w:lang w:val="fr-BE"/>
              </w:rPr>
              <w:t>tout autre document déterminé par le Roi</w:t>
            </w:r>
            <w:bookmarkEnd w:id="7"/>
            <w:r w:rsidRPr="0062099D">
              <w:rPr>
                <w:rFonts w:asciiTheme="minorHAnsi" w:hAnsiTheme="minorHAnsi" w:cstheme="minorHAnsi"/>
                <w:sz w:val="22"/>
                <w:lang w:val="fr-BE"/>
              </w:rPr>
              <w:t xml:space="preserve">, pour autant que l’arrêté royal soit confirmé par </w:t>
            </w:r>
            <w:r w:rsidRPr="0062099D">
              <w:rPr>
                <w:rFonts w:asciiTheme="minorHAnsi" w:hAnsiTheme="minorHAnsi" w:cstheme="minorHAnsi"/>
                <w:sz w:val="22"/>
                <w:lang w:val="fr-BE"/>
              </w:rPr>
              <w:lastRenderedPageBreak/>
              <w:t>la loi  dans les douze mois   suivant la publication  de cet arrêté.</w:t>
            </w:r>
          </w:p>
        </w:tc>
        <w:tc>
          <w:tcPr>
            <w:tcW w:w="4508" w:type="dxa"/>
          </w:tcPr>
          <w:p w14:paraId="45A70873" w14:textId="7A27605B" w:rsidR="004000A8" w:rsidRPr="0062099D" w:rsidRDefault="004000A8" w:rsidP="004000A8">
            <w:pPr>
              <w:jc w:val="both"/>
              <w:rPr>
                <w:rFonts w:asciiTheme="minorHAnsi" w:hAnsiTheme="minorHAnsi" w:cstheme="minorHAnsi"/>
                <w:sz w:val="22"/>
              </w:rPr>
            </w:pPr>
            <w:r w:rsidRPr="0062099D">
              <w:rPr>
                <w:rFonts w:asciiTheme="minorHAnsi" w:hAnsiTheme="minorHAnsi" w:cstheme="minorHAnsi"/>
                <w:color w:val="000000" w:themeColor="text1"/>
                <w:sz w:val="22"/>
              </w:rPr>
              <w:lastRenderedPageBreak/>
              <w:t xml:space="preserve">32° elk ander document bepaald door de Koning, op voorwaarde dat het koninklijk besluit </w:t>
            </w:r>
            <w:r w:rsidRPr="0062099D">
              <w:rPr>
                <w:rFonts w:asciiTheme="minorHAnsi" w:hAnsiTheme="minorHAnsi" w:cstheme="minorHAnsi"/>
                <w:color w:val="000000" w:themeColor="text1"/>
                <w:sz w:val="22"/>
              </w:rPr>
              <w:lastRenderedPageBreak/>
              <w:t>door de wet wordt bekrachtigd binnen twaalf maanden na de bekendmaking  van dit besluit.</w:t>
            </w:r>
          </w:p>
        </w:tc>
      </w:tr>
      <w:tr w:rsidR="004000A8" w:rsidRPr="00A80C6F" w14:paraId="5A4797AF" w14:textId="77777777" w:rsidTr="0025113D">
        <w:tc>
          <w:tcPr>
            <w:tcW w:w="4508" w:type="dxa"/>
          </w:tcPr>
          <w:p w14:paraId="226991F0" w14:textId="2C6D7489" w:rsidR="004000A8" w:rsidRPr="00BA197B" w:rsidRDefault="004000A8" w:rsidP="004000A8">
            <w:pPr>
              <w:jc w:val="both"/>
              <w:rPr>
                <w:rFonts w:asciiTheme="minorHAnsi" w:hAnsiTheme="minorHAnsi" w:cstheme="minorHAnsi"/>
                <w:sz w:val="22"/>
              </w:rPr>
            </w:pPr>
          </w:p>
        </w:tc>
        <w:tc>
          <w:tcPr>
            <w:tcW w:w="4508" w:type="dxa"/>
          </w:tcPr>
          <w:p w14:paraId="47106034" w14:textId="7E1C7C04" w:rsidR="004000A8" w:rsidRPr="00BA197B" w:rsidRDefault="004000A8" w:rsidP="004000A8">
            <w:pPr>
              <w:jc w:val="both"/>
              <w:rPr>
                <w:rFonts w:asciiTheme="minorHAnsi" w:hAnsiTheme="minorHAnsi" w:cstheme="minorHAnsi"/>
                <w:sz w:val="22"/>
              </w:rPr>
            </w:pPr>
          </w:p>
        </w:tc>
      </w:tr>
      <w:tr w:rsidR="004000A8" w:rsidRPr="00A80C6F" w14:paraId="27AEA840" w14:textId="77777777" w:rsidTr="0025113D">
        <w:tc>
          <w:tcPr>
            <w:tcW w:w="4508" w:type="dxa"/>
          </w:tcPr>
          <w:p w14:paraId="4DBE11EA" w14:textId="25CE93E6" w:rsidR="004000A8" w:rsidRPr="00BA197B" w:rsidRDefault="004000A8" w:rsidP="004000A8">
            <w:pPr>
              <w:jc w:val="both"/>
              <w:rPr>
                <w:rFonts w:asciiTheme="minorHAnsi" w:hAnsiTheme="minorHAnsi" w:cstheme="minorHAnsi"/>
                <w:sz w:val="22"/>
                <w:lang w:val="fr-BE"/>
              </w:rPr>
            </w:pPr>
            <w:r w:rsidRPr="00BA197B">
              <w:rPr>
                <w:rFonts w:asciiTheme="minorHAnsi" w:hAnsiTheme="minorHAnsi" w:cstheme="minorHAnsi"/>
                <w:color w:val="000000" w:themeColor="text1"/>
                <w:sz w:val="22"/>
                <w:lang w:val="fr-BE"/>
              </w:rPr>
              <w:t>Les opérateurs qui disposent de points de vente physiques pour leurs abonnés qui sont des personnes physiques permettent à ces abonnés de s’identifier à l’aide de n’importe lequel des  documents d’identité visés à l’alinéa 1</w:t>
            </w:r>
            <w:r w:rsidRPr="00BA197B">
              <w:rPr>
                <w:rFonts w:asciiTheme="minorHAnsi" w:hAnsiTheme="minorHAnsi" w:cstheme="minorHAnsi"/>
                <w:color w:val="000000" w:themeColor="text1"/>
                <w:sz w:val="22"/>
                <w:vertAlign w:val="superscript"/>
                <w:lang w:val="fr-BE"/>
              </w:rPr>
              <w:t>er</w:t>
            </w:r>
            <w:r w:rsidRPr="00BA197B">
              <w:rPr>
                <w:rFonts w:asciiTheme="minorHAnsi" w:hAnsiTheme="minorHAnsi" w:cstheme="minorHAnsi"/>
                <w:color w:val="000000" w:themeColor="text1"/>
                <w:sz w:val="22"/>
                <w:lang w:val="fr-BE"/>
              </w:rPr>
              <w:t>, dans le cadre d’au moins une méthode d’identification de leur choix.</w:t>
            </w:r>
          </w:p>
        </w:tc>
        <w:tc>
          <w:tcPr>
            <w:tcW w:w="4508" w:type="dxa"/>
          </w:tcPr>
          <w:p w14:paraId="0FC22FC1" w14:textId="45B53223" w:rsidR="004000A8" w:rsidRPr="00BA197B" w:rsidRDefault="004000A8" w:rsidP="004000A8">
            <w:pPr>
              <w:jc w:val="both"/>
              <w:rPr>
                <w:rFonts w:asciiTheme="minorHAnsi" w:hAnsiTheme="minorHAnsi" w:cstheme="minorHAnsi"/>
                <w:sz w:val="22"/>
              </w:rPr>
            </w:pPr>
            <w:r w:rsidRPr="00BA197B">
              <w:rPr>
                <w:rFonts w:asciiTheme="minorHAnsi" w:hAnsiTheme="minorHAnsi" w:cstheme="minorHAnsi"/>
                <w:color w:val="000000" w:themeColor="text1"/>
                <w:sz w:val="22"/>
              </w:rPr>
              <w:t xml:space="preserve">De operatoren die voor hun abonnees die natuurlijke personen zijn, over fysieke verkooppunten beschikken, maken het voor die abonnees mogelijk om zich te identificeren aan de hand van om het even welke van de in </w:t>
            </w:r>
            <w:r w:rsidR="00DF4BA6">
              <w:rPr>
                <w:rFonts w:asciiTheme="minorHAnsi" w:hAnsiTheme="minorHAnsi" w:cstheme="minorHAnsi"/>
                <w:color w:val="000000" w:themeColor="text1"/>
                <w:sz w:val="22"/>
              </w:rPr>
              <w:t xml:space="preserve">het </w:t>
            </w:r>
            <w:r w:rsidRPr="00BA197B">
              <w:rPr>
                <w:rFonts w:asciiTheme="minorHAnsi" w:hAnsiTheme="minorHAnsi" w:cstheme="minorHAnsi"/>
                <w:color w:val="000000" w:themeColor="text1"/>
                <w:sz w:val="22"/>
              </w:rPr>
              <w:t>eerste lid, bedoelde identificatiedocumenten, in het kader van minstens een identificatiemethode van hun keuze.</w:t>
            </w:r>
          </w:p>
        </w:tc>
      </w:tr>
      <w:tr w:rsidR="004000A8" w:rsidRPr="00A80C6F" w14:paraId="65D12E8D" w14:textId="77777777" w:rsidTr="0025113D">
        <w:tc>
          <w:tcPr>
            <w:tcW w:w="4508" w:type="dxa"/>
          </w:tcPr>
          <w:p w14:paraId="07930AE4" w14:textId="5E8F5D6F" w:rsidR="004000A8" w:rsidRPr="00BA197B" w:rsidRDefault="004000A8" w:rsidP="004000A8">
            <w:pPr>
              <w:jc w:val="both"/>
              <w:rPr>
                <w:rFonts w:asciiTheme="minorHAnsi" w:hAnsiTheme="minorHAnsi" w:cstheme="minorHAnsi"/>
                <w:sz w:val="22"/>
              </w:rPr>
            </w:pPr>
          </w:p>
        </w:tc>
        <w:tc>
          <w:tcPr>
            <w:tcW w:w="4508" w:type="dxa"/>
          </w:tcPr>
          <w:p w14:paraId="2F15790A" w14:textId="3D004B9C" w:rsidR="004000A8" w:rsidRPr="00BA197B" w:rsidRDefault="004000A8" w:rsidP="004000A8">
            <w:pPr>
              <w:jc w:val="both"/>
              <w:rPr>
                <w:rFonts w:asciiTheme="minorHAnsi" w:hAnsiTheme="minorHAnsi" w:cstheme="minorHAnsi"/>
                <w:sz w:val="22"/>
              </w:rPr>
            </w:pPr>
          </w:p>
        </w:tc>
      </w:tr>
      <w:tr w:rsidR="004000A8" w:rsidRPr="00A80C6F" w14:paraId="0606879A" w14:textId="77777777" w:rsidTr="0025113D">
        <w:tc>
          <w:tcPr>
            <w:tcW w:w="4508" w:type="dxa"/>
          </w:tcPr>
          <w:p w14:paraId="176E74A5" w14:textId="459265DE" w:rsidR="004000A8" w:rsidRPr="00BA197B" w:rsidRDefault="004000A8" w:rsidP="004000A8">
            <w:pPr>
              <w:jc w:val="both"/>
              <w:rPr>
                <w:rFonts w:asciiTheme="minorHAnsi" w:hAnsiTheme="minorHAnsi" w:cstheme="minorHAnsi"/>
                <w:sz w:val="22"/>
                <w:lang w:val="fr-BE"/>
              </w:rPr>
            </w:pPr>
            <w:r w:rsidRPr="00BA197B">
              <w:rPr>
                <w:rFonts w:asciiTheme="minorHAnsi" w:hAnsiTheme="minorHAnsi" w:cstheme="minorHAnsi"/>
                <w:color w:val="000000" w:themeColor="text1"/>
                <w:sz w:val="22"/>
                <w:lang w:val="fr-FR"/>
              </w:rPr>
              <w:t xml:space="preserve">Lorsqu’un opérateur identifie l’abonné à partir d’un </w:t>
            </w:r>
            <w:r>
              <w:rPr>
                <w:rFonts w:asciiTheme="minorHAnsi" w:hAnsiTheme="minorHAnsi" w:cstheme="minorHAnsi"/>
                <w:color w:val="000000" w:themeColor="text1"/>
                <w:sz w:val="22"/>
                <w:lang w:val="fr-FR"/>
              </w:rPr>
              <w:t>document d’identification</w:t>
            </w:r>
            <w:r w:rsidRPr="00BA197B">
              <w:rPr>
                <w:rFonts w:asciiTheme="minorHAnsi" w:hAnsiTheme="minorHAnsi" w:cstheme="minorHAnsi"/>
                <w:color w:val="000000" w:themeColor="text1"/>
                <w:sz w:val="22"/>
                <w:lang w:val="fr-FR"/>
              </w:rPr>
              <w:t xml:space="preserve">, il conserve une copie de ce document, sauf lorsqu’il s’agit de la carte d’identité électronique belge. </w:t>
            </w:r>
          </w:p>
        </w:tc>
        <w:tc>
          <w:tcPr>
            <w:tcW w:w="4508" w:type="dxa"/>
          </w:tcPr>
          <w:p w14:paraId="037DA3EE" w14:textId="1C5AE1FF" w:rsidR="004000A8" w:rsidRPr="00BA197B" w:rsidRDefault="004000A8" w:rsidP="004000A8">
            <w:pPr>
              <w:jc w:val="both"/>
              <w:rPr>
                <w:rFonts w:asciiTheme="minorHAnsi" w:hAnsiTheme="minorHAnsi" w:cstheme="minorHAnsi"/>
                <w:sz w:val="22"/>
              </w:rPr>
            </w:pPr>
            <w:r w:rsidRPr="00BA197B">
              <w:rPr>
                <w:rFonts w:asciiTheme="minorHAnsi" w:hAnsiTheme="minorHAnsi" w:cstheme="minorHAnsi"/>
                <w:color w:val="000000" w:themeColor="text1"/>
                <w:sz w:val="22"/>
              </w:rPr>
              <w:t xml:space="preserve">Wanneer de operator een abonnee identificeert uitgaande van een </w:t>
            </w:r>
            <w:r>
              <w:rPr>
                <w:rFonts w:asciiTheme="minorHAnsi" w:hAnsiTheme="minorHAnsi" w:cstheme="minorHAnsi"/>
                <w:color w:val="000000" w:themeColor="text1"/>
                <w:sz w:val="22"/>
              </w:rPr>
              <w:t>identificatiedocument</w:t>
            </w:r>
            <w:r w:rsidRPr="00BA197B">
              <w:rPr>
                <w:rFonts w:asciiTheme="minorHAnsi" w:hAnsiTheme="minorHAnsi" w:cstheme="minorHAnsi"/>
                <w:color w:val="000000" w:themeColor="text1"/>
                <w:sz w:val="22"/>
              </w:rPr>
              <w:t>, bewaart hij een kopie van dat stuk, behalve als het gaat om de Belgische elektronische identiteitskaart.</w:t>
            </w:r>
          </w:p>
        </w:tc>
      </w:tr>
      <w:tr w:rsidR="004000A8" w:rsidRPr="00A80C6F" w14:paraId="354FD596" w14:textId="77777777" w:rsidTr="0025113D">
        <w:tc>
          <w:tcPr>
            <w:tcW w:w="4508" w:type="dxa"/>
          </w:tcPr>
          <w:p w14:paraId="24F3C0B9" w14:textId="32BF3FB0" w:rsidR="004000A8" w:rsidRPr="00BA197B" w:rsidRDefault="004000A8" w:rsidP="004000A8">
            <w:pPr>
              <w:jc w:val="both"/>
              <w:rPr>
                <w:rFonts w:asciiTheme="minorHAnsi" w:hAnsiTheme="minorHAnsi" w:cstheme="minorHAnsi"/>
                <w:sz w:val="22"/>
              </w:rPr>
            </w:pPr>
          </w:p>
        </w:tc>
        <w:tc>
          <w:tcPr>
            <w:tcW w:w="4508" w:type="dxa"/>
          </w:tcPr>
          <w:p w14:paraId="36354975" w14:textId="6DFB1222" w:rsidR="004000A8" w:rsidRPr="00BA197B" w:rsidRDefault="004000A8" w:rsidP="004000A8">
            <w:pPr>
              <w:jc w:val="both"/>
              <w:rPr>
                <w:rFonts w:asciiTheme="minorHAnsi" w:hAnsiTheme="minorHAnsi" w:cstheme="minorHAnsi"/>
                <w:sz w:val="22"/>
              </w:rPr>
            </w:pPr>
          </w:p>
        </w:tc>
      </w:tr>
      <w:tr w:rsidR="004000A8" w:rsidRPr="00A80C6F" w14:paraId="1AD991D9" w14:textId="77777777" w:rsidTr="0025113D">
        <w:tc>
          <w:tcPr>
            <w:tcW w:w="4508" w:type="dxa"/>
          </w:tcPr>
          <w:p w14:paraId="4F69E032" w14:textId="659CC023" w:rsidR="004000A8" w:rsidRPr="00BA197B" w:rsidRDefault="004000A8" w:rsidP="004000A8">
            <w:pPr>
              <w:jc w:val="both"/>
              <w:rPr>
                <w:rFonts w:asciiTheme="minorHAnsi" w:hAnsiTheme="minorHAnsi" w:cstheme="minorHAnsi"/>
                <w:sz w:val="22"/>
                <w:lang w:val="fr-BE"/>
              </w:rPr>
            </w:pPr>
            <w:r w:rsidRPr="00BA197B">
              <w:rPr>
                <w:rFonts w:asciiTheme="minorHAnsi" w:hAnsiTheme="minorHAnsi" w:cstheme="minorHAnsi"/>
                <w:color w:val="000000" w:themeColor="text1"/>
                <w:sz w:val="22"/>
                <w:lang w:val="fr-BE"/>
              </w:rPr>
              <w:t xml:space="preserve">Lorsque l’abonné soumet un </w:t>
            </w:r>
            <w:r>
              <w:rPr>
                <w:rFonts w:asciiTheme="minorHAnsi" w:hAnsiTheme="minorHAnsi" w:cstheme="minorHAnsi"/>
                <w:color w:val="000000" w:themeColor="text1"/>
                <w:sz w:val="22"/>
                <w:lang w:val="fr-BE"/>
              </w:rPr>
              <w:t>document d’identification</w:t>
            </w:r>
            <w:r w:rsidRPr="00BA197B">
              <w:rPr>
                <w:rFonts w:asciiTheme="minorHAnsi" w:hAnsiTheme="minorHAnsi" w:cstheme="minorHAnsi"/>
                <w:color w:val="000000" w:themeColor="text1"/>
                <w:sz w:val="22"/>
                <w:lang w:val="fr-BE"/>
              </w:rPr>
              <w:t xml:space="preserve"> visé à l’alinéa 1</w:t>
            </w:r>
            <w:r w:rsidRPr="00BA197B">
              <w:rPr>
                <w:rFonts w:asciiTheme="minorHAnsi" w:hAnsiTheme="minorHAnsi" w:cstheme="minorHAnsi"/>
                <w:color w:val="000000" w:themeColor="text1"/>
                <w:sz w:val="22"/>
                <w:vertAlign w:val="superscript"/>
                <w:lang w:val="fr-BE"/>
              </w:rPr>
              <w:t>er</w:t>
            </w:r>
            <w:r w:rsidRPr="00BA197B">
              <w:rPr>
                <w:rFonts w:asciiTheme="minorHAnsi" w:hAnsiTheme="minorHAnsi" w:cstheme="minorHAnsi"/>
                <w:color w:val="000000" w:themeColor="text1"/>
                <w:sz w:val="22"/>
                <w:lang w:val="fr-BE"/>
              </w:rPr>
              <w:t xml:space="preserve"> pour s’identifier et que l’opérateur n’est pas en mesure d’assurer la fiabilité de l’identité de l’abonné sur base de ce document, il peut demander à l’abonné, afin de renforcer cette fiabilité, de lui communiquer: </w:t>
            </w:r>
          </w:p>
        </w:tc>
        <w:tc>
          <w:tcPr>
            <w:tcW w:w="4508" w:type="dxa"/>
          </w:tcPr>
          <w:p w14:paraId="2BCAB6F5" w14:textId="17FEF08E" w:rsidR="004000A8" w:rsidRPr="00BA197B" w:rsidRDefault="004000A8" w:rsidP="004000A8">
            <w:pPr>
              <w:jc w:val="both"/>
              <w:rPr>
                <w:rFonts w:asciiTheme="minorHAnsi" w:hAnsiTheme="minorHAnsi" w:cstheme="minorHAnsi"/>
                <w:sz w:val="22"/>
              </w:rPr>
            </w:pPr>
            <w:r w:rsidRPr="00BA197B">
              <w:rPr>
                <w:rFonts w:asciiTheme="minorHAnsi" w:hAnsiTheme="minorHAnsi" w:cstheme="minorHAnsi"/>
                <w:color w:val="000000" w:themeColor="text1"/>
                <w:sz w:val="22"/>
              </w:rPr>
              <w:t xml:space="preserve">Wanneer de abonnee een </w:t>
            </w:r>
            <w:r>
              <w:rPr>
                <w:rFonts w:asciiTheme="minorHAnsi" w:hAnsiTheme="minorHAnsi" w:cstheme="minorHAnsi"/>
                <w:color w:val="000000" w:themeColor="text1"/>
                <w:sz w:val="22"/>
              </w:rPr>
              <w:t>identificatiedocument</w:t>
            </w:r>
            <w:r w:rsidR="00DF4BA6">
              <w:rPr>
                <w:rFonts w:asciiTheme="minorHAnsi" w:hAnsiTheme="minorHAnsi" w:cstheme="minorHAnsi"/>
                <w:color w:val="000000" w:themeColor="text1"/>
                <w:sz w:val="22"/>
              </w:rPr>
              <w:t xml:space="preserve"> </w:t>
            </w:r>
            <w:r w:rsidRPr="00BA197B">
              <w:rPr>
                <w:rFonts w:asciiTheme="minorHAnsi" w:hAnsiTheme="minorHAnsi" w:cstheme="minorHAnsi"/>
                <w:color w:val="000000" w:themeColor="text1"/>
                <w:sz w:val="22"/>
              </w:rPr>
              <w:t>zoals bedoeld in het eerste lid ter identificatie voorlegt en de operator niet in staat is om de betrouwbaarheid van de identiteit van de abonnee te garanderen aan de hand van dat document, kan hij aan de abonnee vragen om</w:t>
            </w:r>
            <w:r w:rsidR="00D53AC0">
              <w:rPr>
                <w:rFonts w:asciiTheme="minorHAnsi" w:hAnsiTheme="minorHAnsi" w:cstheme="minorHAnsi"/>
                <w:color w:val="000000" w:themeColor="text1"/>
                <w:sz w:val="22"/>
              </w:rPr>
              <w:t xml:space="preserve"> hem</w:t>
            </w:r>
            <w:r w:rsidRPr="00BA197B">
              <w:rPr>
                <w:rFonts w:asciiTheme="minorHAnsi" w:hAnsiTheme="minorHAnsi" w:cstheme="minorHAnsi"/>
                <w:color w:val="000000" w:themeColor="text1"/>
                <w:sz w:val="22"/>
              </w:rPr>
              <w:t xml:space="preserve"> het volgende te verstrekken teneinde de betrouwbaarheid te vergroten:</w:t>
            </w:r>
          </w:p>
        </w:tc>
      </w:tr>
      <w:tr w:rsidR="004000A8" w:rsidRPr="00A80C6F" w14:paraId="0D5B4044" w14:textId="77777777" w:rsidTr="0025113D">
        <w:tc>
          <w:tcPr>
            <w:tcW w:w="4508" w:type="dxa"/>
          </w:tcPr>
          <w:p w14:paraId="52C1AB4A" w14:textId="660C1429" w:rsidR="004000A8" w:rsidRPr="00BA197B" w:rsidRDefault="004000A8" w:rsidP="004000A8">
            <w:pPr>
              <w:jc w:val="both"/>
              <w:rPr>
                <w:rFonts w:asciiTheme="minorHAnsi" w:hAnsiTheme="minorHAnsi" w:cstheme="minorHAnsi"/>
                <w:sz w:val="22"/>
              </w:rPr>
            </w:pPr>
          </w:p>
        </w:tc>
        <w:tc>
          <w:tcPr>
            <w:tcW w:w="4508" w:type="dxa"/>
          </w:tcPr>
          <w:p w14:paraId="6AD520E1" w14:textId="46A11E6F" w:rsidR="004000A8" w:rsidRPr="00BA197B" w:rsidRDefault="004000A8" w:rsidP="004000A8">
            <w:pPr>
              <w:jc w:val="both"/>
              <w:rPr>
                <w:rFonts w:asciiTheme="minorHAnsi" w:hAnsiTheme="minorHAnsi" w:cstheme="minorHAnsi"/>
                <w:sz w:val="22"/>
              </w:rPr>
            </w:pPr>
          </w:p>
        </w:tc>
      </w:tr>
      <w:tr w:rsidR="004000A8" w:rsidRPr="00A80C6F" w14:paraId="2058024D" w14:textId="77777777" w:rsidTr="0025113D">
        <w:tc>
          <w:tcPr>
            <w:tcW w:w="4508" w:type="dxa"/>
          </w:tcPr>
          <w:p w14:paraId="44F5DE59" w14:textId="5EEC136C" w:rsidR="004000A8" w:rsidRPr="00BA197B" w:rsidRDefault="004000A8" w:rsidP="004000A8">
            <w:pPr>
              <w:pStyle w:val="Lijstalinea"/>
              <w:numPr>
                <w:ilvl w:val="0"/>
                <w:numId w:val="4"/>
              </w:numPr>
              <w:spacing w:before="0"/>
              <w:rPr>
                <w:rFonts w:asciiTheme="minorHAnsi" w:hAnsiTheme="minorHAnsi" w:cstheme="minorHAnsi"/>
                <w:lang w:val="fr-BE"/>
              </w:rPr>
            </w:pPr>
            <w:r w:rsidRPr="00BA197B">
              <w:rPr>
                <w:rFonts w:asciiTheme="minorHAnsi" w:hAnsiTheme="minorHAnsi" w:cstheme="minorHAnsi"/>
                <w:color w:val="000000" w:themeColor="text1"/>
                <w:lang w:val="fr-BE"/>
              </w:rPr>
              <w:t xml:space="preserve">des factures de fournisseurs de différents produits ou services, pour les services de communications électroniques qui sont payés après leur fourniture ;   </w:t>
            </w:r>
          </w:p>
        </w:tc>
        <w:tc>
          <w:tcPr>
            <w:tcW w:w="4508" w:type="dxa"/>
          </w:tcPr>
          <w:p w14:paraId="275FC6BD" w14:textId="253463FA" w:rsidR="004000A8" w:rsidRPr="00BA197B" w:rsidRDefault="004000A8" w:rsidP="004000A8">
            <w:pPr>
              <w:pStyle w:val="Lijstalinea"/>
              <w:numPr>
                <w:ilvl w:val="0"/>
                <w:numId w:val="4"/>
              </w:numPr>
              <w:rPr>
                <w:rFonts w:asciiTheme="minorHAnsi" w:hAnsiTheme="minorHAnsi" w:cstheme="minorHAnsi"/>
                <w:lang w:val="nl-BE"/>
              </w:rPr>
            </w:pPr>
            <w:r w:rsidRPr="00BA197B">
              <w:rPr>
                <w:rFonts w:asciiTheme="minorHAnsi" w:hAnsiTheme="minorHAnsi" w:cstheme="minorHAnsi"/>
                <w:color w:val="000000" w:themeColor="text1"/>
                <w:lang w:val="nl-BE"/>
              </w:rPr>
              <w:t>de facturen van leveranciers van verschillende producten of diensten, voor de elektronische-communicatiediensten die worden betaald nadat ze werden verstrekt;</w:t>
            </w:r>
          </w:p>
        </w:tc>
      </w:tr>
      <w:tr w:rsidR="004000A8" w:rsidRPr="00FF7756" w14:paraId="449565C5" w14:textId="77777777" w:rsidTr="0025113D">
        <w:tc>
          <w:tcPr>
            <w:tcW w:w="4508" w:type="dxa"/>
          </w:tcPr>
          <w:p w14:paraId="324A8FA5" w14:textId="77777777" w:rsidR="004000A8" w:rsidRPr="00BA197B" w:rsidRDefault="004000A8" w:rsidP="004000A8">
            <w:pPr>
              <w:jc w:val="both"/>
              <w:rPr>
                <w:rFonts w:asciiTheme="minorHAnsi" w:hAnsiTheme="minorHAnsi" w:cstheme="minorHAnsi"/>
                <w:sz w:val="22"/>
              </w:rPr>
            </w:pPr>
          </w:p>
        </w:tc>
        <w:tc>
          <w:tcPr>
            <w:tcW w:w="4508" w:type="dxa"/>
          </w:tcPr>
          <w:p w14:paraId="717585A8" w14:textId="77777777" w:rsidR="004000A8" w:rsidRPr="00BA197B" w:rsidRDefault="004000A8" w:rsidP="004000A8">
            <w:pPr>
              <w:jc w:val="both"/>
              <w:rPr>
                <w:rFonts w:asciiTheme="minorHAnsi" w:hAnsiTheme="minorHAnsi" w:cstheme="minorHAnsi"/>
                <w:sz w:val="22"/>
              </w:rPr>
            </w:pPr>
          </w:p>
        </w:tc>
      </w:tr>
      <w:tr w:rsidR="004000A8" w:rsidRPr="00FF7756" w14:paraId="341D4D56" w14:textId="77777777" w:rsidTr="0025113D">
        <w:tc>
          <w:tcPr>
            <w:tcW w:w="4508" w:type="dxa"/>
          </w:tcPr>
          <w:p w14:paraId="2A685B5F" w14:textId="62A8A88A" w:rsidR="004000A8" w:rsidRPr="00BA197B" w:rsidRDefault="004000A8" w:rsidP="004000A8">
            <w:pPr>
              <w:pStyle w:val="Lijstalinea"/>
              <w:numPr>
                <w:ilvl w:val="0"/>
                <w:numId w:val="4"/>
              </w:numPr>
              <w:spacing w:before="0"/>
              <w:rPr>
                <w:rFonts w:asciiTheme="minorHAnsi" w:hAnsiTheme="minorHAnsi" w:cstheme="minorHAnsi"/>
                <w:lang w:val="nl-BE"/>
              </w:rPr>
            </w:pPr>
            <w:r w:rsidRPr="00BA197B">
              <w:rPr>
                <w:rFonts w:asciiTheme="minorHAnsi" w:hAnsiTheme="minorHAnsi" w:cstheme="minorHAnsi"/>
                <w:color w:val="000000" w:themeColor="text1"/>
              </w:rPr>
              <w:t xml:space="preserve">des </w:t>
            </w:r>
            <w:proofErr w:type="spellStart"/>
            <w:r w:rsidRPr="00BA197B">
              <w:rPr>
                <w:rFonts w:asciiTheme="minorHAnsi" w:hAnsiTheme="minorHAnsi" w:cstheme="minorHAnsi"/>
                <w:color w:val="000000" w:themeColor="text1"/>
              </w:rPr>
              <w:t>informations</w:t>
            </w:r>
            <w:proofErr w:type="spellEnd"/>
            <w:r w:rsidRPr="00BA197B">
              <w:rPr>
                <w:rFonts w:asciiTheme="minorHAnsi" w:hAnsiTheme="minorHAnsi" w:cstheme="minorHAnsi"/>
                <w:color w:val="000000" w:themeColor="text1"/>
              </w:rPr>
              <w:t xml:space="preserve"> </w:t>
            </w:r>
            <w:proofErr w:type="spellStart"/>
            <w:r w:rsidRPr="00BA197B">
              <w:rPr>
                <w:rFonts w:asciiTheme="minorHAnsi" w:hAnsiTheme="minorHAnsi" w:cstheme="minorHAnsi"/>
                <w:color w:val="000000" w:themeColor="text1"/>
              </w:rPr>
              <w:t>complémentaires</w:t>
            </w:r>
            <w:proofErr w:type="spellEnd"/>
            <w:r w:rsidRPr="00BA197B">
              <w:rPr>
                <w:rFonts w:asciiTheme="minorHAnsi" w:hAnsiTheme="minorHAnsi" w:cstheme="minorHAnsi"/>
                <w:color w:val="000000" w:themeColor="text1"/>
              </w:rPr>
              <w:t xml:space="preserve">. </w:t>
            </w:r>
          </w:p>
        </w:tc>
        <w:tc>
          <w:tcPr>
            <w:tcW w:w="4508" w:type="dxa"/>
          </w:tcPr>
          <w:p w14:paraId="00861D43" w14:textId="62282FCE" w:rsidR="004000A8" w:rsidRPr="00BA197B" w:rsidRDefault="004000A8" w:rsidP="004000A8">
            <w:pPr>
              <w:pStyle w:val="Lijstalinea"/>
              <w:numPr>
                <w:ilvl w:val="0"/>
                <w:numId w:val="4"/>
              </w:numPr>
              <w:rPr>
                <w:rFonts w:asciiTheme="minorHAnsi" w:hAnsiTheme="minorHAnsi" w:cstheme="minorHAnsi"/>
                <w:lang w:val="nl-BE"/>
              </w:rPr>
            </w:pPr>
            <w:proofErr w:type="spellStart"/>
            <w:r w:rsidRPr="00BA197B">
              <w:rPr>
                <w:rFonts w:asciiTheme="minorHAnsi" w:hAnsiTheme="minorHAnsi" w:cstheme="minorHAnsi"/>
                <w:color w:val="000000" w:themeColor="text1"/>
              </w:rPr>
              <w:t>aanvullende</w:t>
            </w:r>
            <w:proofErr w:type="spellEnd"/>
            <w:r w:rsidRPr="00BA197B">
              <w:rPr>
                <w:rFonts w:asciiTheme="minorHAnsi" w:hAnsiTheme="minorHAnsi" w:cstheme="minorHAnsi"/>
                <w:color w:val="000000" w:themeColor="text1"/>
              </w:rPr>
              <w:t xml:space="preserve"> </w:t>
            </w:r>
            <w:proofErr w:type="spellStart"/>
            <w:r w:rsidRPr="00BA197B">
              <w:rPr>
                <w:rFonts w:asciiTheme="minorHAnsi" w:hAnsiTheme="minorHAnsi" w:cstheme="minorHAnsi"/>
                <w:color w:val="000000" w:themeColor="text1"/>
              </w:rPr>
              <w:t>informatie</w:t>
            </w:r>
            <w:proofErr w:type="spellEnd"/>
            <w:r w:rsidRPr="00BA197B">
              <w:rPr>
                <w:rFonts w:asciiTheme="minorHAnsi" w:hAnsiTheme="minorHAnsi" w:cstheme="minorHAnsi"/>
                <w:color w:val="000000" w:themeColor="text1"/>
              </w:rPr>
              <w:t>.</w:t>
            </w:r>
          </w:p>
        </w:tc>
      </w:tr>
      <w:tr w:rsidR="004000A8" w:rsidRPr="00FF7756" w14:paraId="61F6FFF4" w14:textId="77777777" w:rsidTr="0025113D">
        <w:tc>
          <w:tcPr>
            <w:tcW w:w="4508" w:type="dxa"/>
          </w:tcPr>
          <w:p w14:paraId="6090E649" w14:textId="77777777" w:rsidR="004000A8" w:rsidRPr="00BA197B" w:rsidRDefault="004000A8" w:rsidP="004000A8">
            <w:pPr>
              <w:jc w:val="both"/>
              <w:rPr>
                <w:rFonts w:asciiTheme="minorHAnsi" w:hAnsiTheme="minorHAnsi" w:cstheme="minorHAnsi"/>
                <w:sz w:val="22"/>
                <w:lang w:val="fr-BE"/>
              </w:rPr>
            </w:pPr>
          </w:p>
        </w:tc>
        <w:tc>
          <w:tcPr>
            <w:tcW w:w="4508" w:type="dxa"/>
          </w:tcPr>
          <w:p w14:paraId="31DF6373" w14:textId="77777777" w:rsidR="004000A8" w:rsidRPr="00BA197B" w:rsidRDefault="004000A8" w:rsidP="004000A8">
            <w:pPr>
              <w:jc w:val="both"/>
              <w:rPr>
                <w:rFonts w:asciiTheme="minorHAnsi" w:hAnsiTheme="minorHAnsi" w:cstheme="minorHAnsi"/>
                <w:sz w:val="22"/>
              </w:rPr>
            </w:pPr>
          </w:p>
        </w:tc>
      </w:tr>
      <w:tr w:rsidR="004000A8" w:rsidRPr="00FF7756" w14:paraId="3BD772A3" w14:textId="77777777" w:rsidTr="0025113D">
        <w:tc>
          <w:tcPr>
            <w:tcW w:w="4508" w:type="dxa"/>
          </w:tcPr>
          <w:p w14:paraId="5A43713F" w14:textId="7D3907A5" w:rsidR="004000A8" w:rsidRPr="00BA197B" w:rsidRDefault="004000A8" w:rsidP="004000A8">
            <w:pPr>
              <w:jc w:val="both"/>
              <w:rPr>
                <w:rFonts w:asciiTheme="minorHAnsi" w:hAnsiTheme="minorHAnsi" w:cstheme="minorHAnsi"/>
                <w:sz w:val="22"/>
                <w:lang w:val="fr-BE"/>
              </w:rPr>
            </w:pPr>
            <w:r w:rsidRPr="00BA197B">
              <w:rPr>
                <w:rFonts w:asciiTheme="minorHAnsi" w:hAnsiTheme="minorHAnsi" w:cstheme="minorHAnsi"/>
                <w:color w:val="000000" w:themeColor="text1"/>
                <w:sz w:val="22"/>
                <w:lang w:val="fr-BE"/>
              </w:rPr>
              <w:t>L’opérateur conserve une copie de ces factures et de ces informations.</w:t>
            </w:r>
            <w:r w:rsidRPr="00BA197B">
              <w:rPr>
                <w:rFonts w:asciiTheme="minorHAnsi" w:hAnsiTheme="minorHAnsi" w:cstheme="minorHAnsi"/>
                <w:color w:val="000000" w:themeColor="text1"/>
                <w:sz w:val="22"/>
                <w:highlight w:val="lightGray"/>
                <w:lang w:val="fr-BE"/>
              </w:rPr>
              <w:t xml:space="preserve"> </w:t>
            </w:r>
          </w:p>
        </w:tc>
        <w:tc>
          <w:tcPr>
            <w:tcW w:w="4508" w:type="dxa"/>
          </w:tcPr>
          <w:p w14:paraId="685C668F" w14:textId="0FE74E4A" w:rsidR="004000A8" w:rsidRPr="00BA197B" w:rsidRDefault="004000A8" w:rsidP="004000A8">
            <w:pPr>
              <w:jc w:val="both"/>
              <w:rPr>
                <w:rFonts w:asciiTheme="minorHAnsi" w:hAnsiTheme="minorHAnsi" w:cstheme="minorHAnsi"/>
                <w:sz w:val="22"/>
              </w:rPr>
            </w:pPr>
            <w:r w:rsidRPr="00BA197B">
              <w:rPr>
                <w:rFonts w:asciiTheme="minorHAnsi" w:hAnsiTheme="minorHAnsi" w:cstheme="minorHAnsi"/>
                <w:color w:val="000000" w:themeColor="text1"/>
                <w:sz w:val="22"/>
              </w:rPr>
              <w:t>De operator houdt een kopie van deze facturen en informatie bij.</w:t>
            </w:r>
          </w:p>
        </w:tc>
      </w:tr>
      <w:tr w:rsidR="004000A8" w:rsidRPr="00FF7756" w14:paraId="46F29BE4" w14:textId="77777777" w:rsidTr="0025113D">
        <w:tc>
          <w:tcPr>
            <w:tcW w:w="4508" w:type="dxa"/>
          </w:tcPr>
          <w:p w14:paraId="37113B6E" w14:textId="37B31E69" w:rsidR="004000A8" w:rsidRPr="00BA197B" w:rsidRDefault="004000A8" w:rsidP="004000A8">
            <w:pPr>
              <w:rPr>
                <w:rFonts w:asciiTheme="minorHAnsi" w:hAnsiTheme="minorHAnsi" w:cstheme="minorHAnsi"/>
              </w:rPr>
            </w:pPr>
          </w:p>
        </w:tc>
        <w:tc>
          <w:tcPr>
            <w:tcW w:w="4508" w:type="dxa"/>
          </w:tcPr>
          <w:p w14:paraId="2B21B391" w14:textId="6DA27E74" w:rsidR="004000A8" w:rsidRPr="00BA197B" w:rsidRDefault="004000A8" w:rsidP="004000A8">
            <w:pPr>
              <w:rPr>
                <w:rFonts w:asciiTheme="minorHAnsi" w:hAnsiTheme="minorHAnsi" w:cstheme="minorHAnsi"/>
              </w:rPr>
            </w:pPr>
          </w:p>
        </w:tc>
      </w:tr>
      <w:tr w:rsidR="004000A8" w:rsidRPr="00FF7756" w14:paraId="0D2C7E56" w14:textId="77777777" w:rsidTr="0025113D">
        <w:tc>
          <w:tcPr>
            <w:tcW w:w="4508" w:type="dxa"/>
          </w:tcPr>
          <w:p w14:paraId="35B5074B" w14:textId="0DDA1FF4" w:rsidR="004000A8" w:rsidRPr="00BA197B" w:rsidRDefault="004000A8" w:rsidP="004000A8">
            <w:pPr>
              <w:jc w:val="both"/>
              <w:rPr>
                <w:rFonts w:asciiTheme="minorHAnsi" w:hAnsiTheme="minorHAnsi" w:cstheme="minorHAnsi"/>
                <w:sz w:val="22"/>
                <w:lang w:val="fr-BE"/>
              </w:rPr>
            </w:pPr>
            <w:r w:rsidRPr="00BA197B">
              <w:rPr>
                <w:rFonts w:asciiTheme="minorHAnsi" w:hAnsiTheme="minorHAnsi" w:cstheme="minorHAnsi"/>
                <w:color w:val="000000"/>
                <w:sz w:val="22"/>
                <w:lang w:val="fr-BE"/>
              </w:rPr>
              <w:t>Le Roi peut autoriser certaines méthodes d’identification spécifiques, le cas échéant indirectes, pour les personnes qui ne disposent d’aucun des documents visés à l’alinéa 1</w:t>
            </w:r>
            <w:r w:rsidRPr="00BA197B">
              <w:rPr>
                <w:rFonts w:asciiTheme="minorHAnsi" w:hAnsiTheme="minorHAnsi" w:cstheme="minorHAnsi"/>
                <w:color w:val="000000"/>
                <w:sz w:val="22"/>
                <w:vertAlign w:val="superscript"/>
                <w:lang w:val="fr-BE"/>
              </w:rPr>
              <w:t>er</w:t>
            </w:r>
            <w:r w:rsidRPr="00BA197B">
              <w:rPr>
                <w:rFonts w:asciiTheme="minorHAnsi" w:hAnsiTheme="minorHAnsi" w:cstheme="minorHAnsi"/>
                <w:color w:val="000000"/>
                <w:sz w:val="22"/>
                <w:lang w:val="fr-BE"/>
              </w:rPr>
              <w:t>.</w:t>
            </w:r>
          </w:p>
        </w:tc>
        <w:tc>
          <w:tcPr>
            <w:tcW w:w="4508" w:type="dxa"/>
          </w:tcPr>
          <w:p w14:paraId="7CE58BAE" w14:textId="04089834" w:rsidR="004000A8" w:rsidRPr="00BA197B" w:rsidRDefault="004000A8" w:rsidP="004000A8">
            <w:pPr>
              <w:jc w:val="both"/>
              <w:rPr>
                <w:rFonts w:asciiTheme="minorHAnsi" w:hAnsiTheme="minorHAnsi" w:cstheme="minorHAnsi"/>
                <w:sz w:val="22"/>
              </w:rPr>
            </w:pPr>
            <w:r w:rsidRPr="00BA197B">
              <w:rPr>
                <w:rFonts w:asciiTheme="minorHAnsi" w:hAnsiTheme="minorHAnsi" w:cstheme="minorHAnsi"/>
                <w:color w:val="000000" w:themeColor="text1"/>
                <w:sz w:val="22"/>
              </w:rPr>
              <w:t>De Koning kan een aantal specifieke, eventueel indirecte, identificatiemethodes toestaan voor personen die over geen enkel van de in het eerste lid bedoelde documenten beschikken.</w:t>
            </w:r>
          </w:p>
        </w:tc>
      </w:tr>
      <w:tr w:rsidR="004000A8" w:rsidRPr="00A80C6F" w14:paraId="70732801" w14:textId="77777777" w:rsidTr="0025113D">
        <w:tc>
          <w:tcPr>
            <w:tcW w:w="4508" w:type="dxa"/>
          </w:tcPr>
          <w:p w14:paraId="1960A521" w14:textId="58C3BE15" w:rsidR="004000A8" w:rsidRPr="00792142" w:rsidRDefault="004000A8" w:rsidP="004000A8">
            <w:pPr>
              <w:jc w:val="both"/>
              <w:rPr>
                <w:rFonts w:asciiTheme="minorHAnsi" w:hAnsiTheme="minorHAnsi" w:cstheme="minorHAnsi"/>
                <w:sz w:val="22"/>
              </w:rPr>
            </w:pPr>
          </w:p>
        </w:tc>
        <w:tc>
          <w:tcPr>
            <w:tcW w:w="4508" w:type="dxa"/>
          </w:tcPr>
          <w:p w14:paraId="2BAB94AB" w14:textId="6860187F" w:rsidR="004000A8" w:rsidRPr="00A80C6F" w:rsidRDefault="004000A8" w:rsidP="004000A8">
            <w:pPr>
              <w:jc w:val="both"/>
              <w:rPr>
                <w:rFonts w:asciiTheme="minorHAnsi" w:hAnsiTheme="minorHAnsi" w:cstheme="minorHAnsi"/>
                <w:sz w:val="22"/>
              </w:rPr>
            </w:pPr>
          </w:p>
        </w:tc>
      </w:tr>
      <w:tr w:rsidR="004000A8" w:rsidRPr="00A80C6F" w14:paraId="76837C0D" w14:textId="77777777" w:rsidTr="0025113D">
        <w:tc>
          <w:tcPr>
            <w:tcW w:w="4508" w:type="dxa"/>
          </w:tcPr>
          <w:p w14:paraId="19209683" w14:textId="22978DA0" w:rsidR="004000A8" w:rsidRPr="002D4DB7" w:rsidRDefault="004000A8" w:rsidP="004000A8">
            <w:pPr>
              <w:jc w:val="both"/>
              <w:rPr>
                <w:rFonts w:asciiTheme="minorHAnsi" w:hAnsiTheme="minorHAnsi" w:cstheme="minorHAnsi"/>
                <w:sz w:val="22"/>
                <w:lang w:val="fr-BE"/>
              </w:rPr>
            </w:pPr>
            <w:r w:rsidRPr="002D4DB7">
              <w:rPr>
                <w:rFonts w:asciiTheme="minorHAnsi" w:hAnsiTheme="minorHAnsi" w:cstheme="minorHAnsi"/>
                <w:b/>
                <w:bCs/>
                <w:sz w:val="22"/>
                <w:lang w:val="fr-BE"/>
              </w:rPr>
              <w:t>§ 6.</w:t>
            </w:r>
            <w:r w:rsidRPr="002D4DB7">
              <w:rPr>
                <w:rFonts w:asciiTheme="minorHAnsi" w:hAnsiTheme="minorHAnsi" w:cstheme="minorHAnsi"/>
                <w:sz w:val="22"/>
                <w:lang w:val="fr-BE"/>
              </w:rPr>
              <w:t xml:space="preserve"> </w:t>
            </w:r>
            <w:r w:rsidRPr="002D4DB7">
              <w:rPr>
                <w:rFonts w:asciiTheme="minorHAnsi" w:hAnsiTheme="minorHAnsi" w:cstheme="minorHAnsi"/>
                <w:sz w:val="22"/>
                <w:lang w:val="fr-FR"/>
              </w:rPr>
              <w:t xml:space="preserve">Sans préjudice des données conservées sur base de l’arrêté royal pris </w:t>
            </w:r>
            <w:r w:rsidRPr="00136EDB">
              <w:rPr>
                <w:rFonts w:asciiTheme="minorHAnsi" w:hAnsiTheme="minorHAnsi" w:cstheme="minorHAnsi"/>
                <w:sz w:val="22"/>
                <w:lang w:val="fr-FR"/>
              </w:rPr>
              <w:t>le cas échéant en exécution du paragraphe 5, alinéa 5, lorsqu’un opérateur identifie l’abonné qui est une personne physique par le biais d’une méthode d’identification directe, il conserve au maximum les données d’identification suivantes :</w:t>
            </w:r>
          </w:p>
        </w:tc>
        <w:tc>
          <w:tcPr>
            <w:tcW w:w="4508" w:type="dxa"/>
          </w:tcPr>
          <w:p w14:paraId="123AD82A" w14:textId="681EE675"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b/>
                <w:bCs/>
                <w:color w:val="000000" w:themeColor="text1"/>
                <w:sz w:val="22"/>
              </w:rPr>
              <w:t>§ 6.</w:t>
            </w:r>
            <w:r w:rsidRPr="002D4DB7">
              <w:rPr>
                <w:rFonts w:asciiTheme="minorHAnsi" w:hAnsiTheme="minorHAnsi" w:cstheme="minorHAnsi"/>
                <w:color w:val="000000" w:themeColor="text1"/>
                <w:sz w:val="22"/>
              </w:rPr>
              <w:t xml:space="preserve"> Onverminderd de gegevens die worden bewaard op basis van het koninklijk besluit dat </w:t>
            </w:r>
            <w:r w:rsidRPr="00136EDB">
              <w:rPr>
                <w:rFonts w:asciiTheme="minorHAnsi" w:hAnsiTheme="minorHAnsi" w:cstheme="minorHAnsi"/>
                <w:color w:val="000000" w:themeColor="text1"/>
                <w:sz w:val="22"/>
              </w:rPr>
              <w:t xml:space="preserve">eventueel is genomen ter uitvoering van paragraaf 5, vijfde lid, bewaart de operator, wanneer hij de abonnee die een natuurlijke persoon is identificeert via een directe </w:t>
            </w:r>
            <w:r w:rsidRPr="00136EDB">
              <w:rPr>
                <w:rFonts w:asciiTheme="minorHAnsi" w:hAnsiTheme="minorHAnsi" w:cstheme="minorHAnsi"/>
                <w:color w:val="000000" w:themeColor="text1"/>
                <w:sz w:val="22"/>
              </w:rPr>
              <w:lastRenderedPageBreak/>
              <w:t xml:space="preserve">identificatiemethode, hooguit de volgende </w:t>
            </w:r>
            <w:r w:rsidR="00D53AC0">
              <w:rPr>
                <w:rFonts w:asciiTheme="minorHAnsi" w:hAnsiTheme="minorHAnsi" w:cstheme="minorHAnsi"/>
                <w:color w:val="000000" w:themeColor="text1"/>
                <w:sz w:val="22"/>
              </w:rPr>
              <w:t>identificatie</w:t>
            </w:r>
            <w:r w:rsidRPr="00136EDB">
              <w:rPr>
                <w:rFonts w:asciiTheme="minorHAnsi" w:hAnsiTheme="minorHAnsi" w:cstheme="minorHAnsi"/>
                <w:color w:val="000000" w:themeColor="text1"/>
                <w:sz w:val="22"/>
              </w:rPr>
              <w:t>gegevens:</w:t>
            </w:r>
          </w:p>
        </w:tc>
      </w:tr>
      <w:tr w:rsidR="004000A8" w:rsidRPr="00A80C6F" w14:paraId="3C083F7A" w14:textId="77777777" w:rsidTr="0025113D">
        <w:tc>
          <w:tcPr>
            <w:tcW w:w="4508" w:type="dxa"/>
          </w:tcPr>
          <w:p w14:paraId="5F7F875A" w14:textId="77777777" w:rsidR="004000A8" w:rsidRPr="002D4DB7" w:rsidRDefault="004000A8" w:rsidP="004000A8">
            <w:pPr>
              <w:jc w:val="both"/>
              <w:rPr>
                <w:rFonts w:asciiTheme="minorHAnsi" w:hAnsiTheme="minorHAnsi" w:cstheme="minorHAnsi"/>
                <w:sz w:val="22"/>
              </w:rPr>
            </w:pPr>
          </w:p>
        </w:tc>
        <w:tc>
          <w:tcPr>
            <w:tcW w:w="4508" w:type="dxa"/>
          </w:tcPr>
          <w:p w14:paraId="3A788161" w14:textId="77777777" w:rsidR="004000A8" w:rsidRPr="002D4DB7" w:rsidRDefault="004000A8" w:rsidP="004000A8">
            <w:pPr>
              <w:jc w:val="both"/>
              <w:rPr>
                <w:rFonts w:asciiTheme="minorHAnsi" w:hAnsiTheme="minorHAnsi" w:cstheme="minorHAnsi"/>
                <w:sz w:val="22"/>
              </w:rPr>
            </w:pPr>
          </w:p>
        </w:tc>
      </w:tr>
      <w:tr w:rsidR="004000A8" w:rsidRPr="00A80C6F" w14:paraId="1A7F9A5F" w14:textId="77777777" w:rsidTr="0025113D">
        <w:tc>
          <w:tcPr>
            <w:tcW w:w="4508" w:type="dxa"/>
          </w:tcPr>
          <w:p w14:paraId="237811F9" w14:textId="2D34DA54" w:rsidR="004000A8" w:rsidRPr="002D4DB7" w:rsidRDefault="004000A8" w:rsidP="004000A8">
            <w:pPr>
              <w:jc w:val="both"/>
              <w:rPr>
                <w:rFonts w:asciiTheme="minorHAnsi" w:hAnsiTheme="minorHAnsi" w:cstheme="minorHAnsi"/>
                <w:sz w:val="22"/>
                <w:lang w:val="fr-BE"/>
              </w:rPr>
            </w:pPr>
            <w:r w:rsidRPr="002D4DB7">
              <w:rPr>
                <w:rFonts w:asciiTheme="minorHAnsi" w:hAnsiTheme="minorHAnsi" w:cstheme="minorHAnsi"/>
                <w:sz w:val="22"/>
                <w:lang w:val="fr-BE"/>
              </w:rPr>
              <w:t>1° le nom et le prénom ;</w:t>
            </w:r>
          </w:p>
        </w:tc>
        <w:tc>
          <w:tcPr>
            <w:tcW w:w="4508" w:type="dxa"/>
          </w:tcPr>
          <w:p w14:paraId="50565173" w14:textId="5FA88B5A"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color w:val="000000" w:themeColor="text1"/>
                <w:sz w:val="22"/>
              </w:rPr>
              <w:t>1° de naam en voornaam;</w:t>
            </w:r>
          </w:p>
        </w:tc>
      </w:tr>
      <w:tr w:rsidR="004000A8" w:rsidRPr="00A80C6F" w14:paraId="1558C29F" w14:textId="77777777" w:rsidTr="0025113D">
        <w:tc>
          <w:tcPr>
            <w:tcW w:w="4508" w:type="dxa"/>
          </w:tcPr>
          <w:p w14:paraId="1E6F88F7" w14:textId="77777777" w:rsidR="004000A8" w:rsidRPr="002D4DB7" w:rsidRDefault="004000A8" w:rsidP="004000A8">
            <w:pPr>
              <w:jc w:val="both"/>
              <w:rPr>
                <w:rFonts w:asciiTheme="minorHAnsi" w:hAnsiTheme="minorHAnsi" w:cstheme="minorHAnsi"/>
                <w:sz w:val="22"/>
              </w:rPr>
            </w:pPr>
          </w:p>
        </w:tc>
        <w:tc>
          <w:tcPr>
            <w:tcW w:w="4508" w:type="dxa"/>
          </w:tcPr>
          <w:p w14:paraId="37E633AA" w14:textId="77777777" w:rsidR="004000A8" w:rsidRPr="002D4DB7" w:rsidRDefault="004000A8" w:rsidP="004000A8">
            <w:pPr>
              <w:jc w:val="both"/>
              <w:rPr>
                <w:rFonts w:asciiTheme="minorHAnsi" w:hAnsiTheme="minorHAnsi" w:cstheme="minorHAnsi"/>
                <w:sz w:val="22"/>
              </w:rPr>
            </w:pPr>
          </w:p>
        </w:tc>
      </w:tr>
      <w:tr w:rsidR="004000A8" w:rsidRPr="00A80C6F" w14:paraId="6467C7B4" w14:textId="77777777" w:rsidTr="0025113D">
        <w:tc>
          <w:tcPr>
            <w:tcW w:w="4508" w:type="dxa"/>
          </w:tcPr>
          <w:p w14:paraId="092F1AA4" w14:textId="5FF6D66F"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sz w:val="22"/>
              </w:rPr>
              <w:t xml:space="preserve">2° </w:t>
            </w:r>
            <w:proofErr w:type="spellStart"/>
            <w:r w:rsidRPr="002D4DB7">
              <w:rPr>
                <w:rFonts w:asciiTheme="minorHAnsi" w:hAnsiTheme="minorHAnsi" w:cstheme="minorHAnsi"/>
                <w:sz w:val="22"/>
              </w:rPr>
              <w:t>le</w:t>
            </w:r>
            <w:proofErr w:type="spellEnd"/>
            <w:r w:rsidRPr="002D4DB7">
              <w:rPr>
                <w:rFonts w:asciiTheme="minorHAnsi" w:hAnsiTheme="minorHAnsi" w:cstheme="minorHAnsi"/>
                <w:sz w:val="22"/>
              </w:rPr>
              <w:t xml:space="preserve"> </w:t>
            </w:r>
            <w:proofErr w:type="spellStart"/>
            <w:r w:rsidRPr="002D4DB7">
              <w:rPr>
                <w:rFonts w:asciiTheme="minorHAnsi" w:hAnsiTheme="minorHAnsi" w:cstheme="minorHAnsi"/>
                <w:sz w:val="22"/>
              </w:rPr>
              <w:t>sexe</w:t>
            </w:r>
            <w:proofErr w:type="spellEnd"/>
            <w:r w:rsidRPr="002D4DB7">
              <w:rPr>
                <w:rFonts w:asciiTheme="minorHAnsi" w:hAnsiTheme="minorHAnsi" w:cstheme="minorHAnsi"/>
                <w:sz w:val="22"/>
              </w:rPr>
              <w:t> ;</w:t>
            </w:r>
          </w:p>
        </w:tc>
        <w:tc>
          <w:tcPr>
            <w:tcW w:w="4508" w:type="dxa"/>
          </w:tcPr>
          <w:p w14:paraId="6F1DC6FD" w14:textId="1B8D38E4"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color w:val="000000" w:themeColor="text1"/>
                <w:sz w:val="22"/>
              </w:rPr>
              <w:t>2° het geslacht;</w:t>
            </w:r>
          </w:p>
        </w:tc>
      </w:tr>
      <w:tr w:rsidR="004000A8" w:rsidRPr="00A80C6F" w14:paraId="16A97FEA" w14:textId="77777777" w:rsidTr="0025113D">
        <w:tc>
          <w:tcPr>
            <w:tcW w:w="4508" w:type="dxa"/>
          </w:tcPr>
          <w:p w14:paraId="7C651E87" w14:textId="77777777" w:rsidR="004000A8" w:rsidRPr="002D4DB7" w:rsidRDefault="004000A8" w:rsidP="004000A8">
            <w:pPr>
              <w:jc w:val="both"/>
              <w:rPr>
                <w:rFonts w:asciiTheme="minorHAnsi" w:hAnsiTheme="minorHAnsi" w:cstheme="minorHAnsi"/>
                <w:sz w:val="22"/>
              </w:rPr>
            </w:pPr>
          </w:p>
        </w:tc>
        <w:tc>
          <w:tcPr>
            <w:tcW w:w="4508" w:type="dxa"/>
          </w:tcPr>
          <w:p w14:paraId="4E510E96" w14:textId="77777777" w:rsidR="004000A8" w:rsidRPr="002D4DB7" w:rsidRDefault="004000A8" w:rsidP="004000A8">
            <w:pPr>
              <w:jc w:val="both"/>
              <w:rPr>
                <w:rFonts w:asciiTheme="minorHAnsi" w:hAnsiTheme="minorHAnsi" w:cstheme="minorHAnsi"/>
                <w:sz w:val="22"/>
              </w:rPr>
            </w:pPr>
          </w:p>
        </w:tc>
      </w:tr>
      <w:tr w:rsidR="004000A8" w:rsidRPr="00A80C6F" w14:paraId="7877F1BB" w14:textId="77777777" w:rsidTr="0025113D">
        <w:tc>
          <w:tcPr>
            <w:tcW w:w="4508" w:type="dxa"/>
          </w:tcPr>
          <w:p w14:paraId="7F9CEB4D" w14:textId="13CC5122"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sz w:val="22"/>
              </w:rPr>
              <w:t xml:space="preserve">3° la </w:t>
            </w:r>
            <w:proofErr w:type="spellStart"/>
            <w:r w:rsidRPr="002D4DB7">
              <w:rPr>
                <w:rFonts w:asciiTheme="minorHAnsi" w:hAnsiTheme="minorHAnsi" w:cstheme="minorHAnsi"/>
                <w:sz w:val="22"/>
              </w:rPr>
              <w:t>nationalité</w:t>
            </w:r>
            <w:proofErr w:type="spellEnd"/>
            <w:r w:rsidRPr="002D4DB7">
              <w:rPr>
                <w:rFonts w:asciiTheme="minorHAnsi" w:hAnsiTheme="minorHAnsi" w:cstheme="minorHAnsi"/>
                <w:sz w:val="22"/>
              </w:rPr>
              <w:t> ;</w:t>
            </w:r>
          </w:p>
        </w:tc>
        <w:tc>
          <w:tcPr>
            <w:tcW w:w="4508" w:type="dxa"/>
          </w:tcPr>
          <w:p w14:paraId="41FBEB20" w14:textId="205131B6"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color w:val="000000" w:themeColor="text1"/>
                <w:sz w:val="22"/>
              </w:rPr>
              <w:t>3° de nationaliteit;</w:t>
            </w:r>
          </w:p>
        </w:tc>
      </w:tr>
      <w:tr w:rsidR="004000A8" w:rsidRPr="00A80C6F" w14:paraId="13C9E462" w14:textId="77777777" w:rsidTr="0025113D">
        <w:tc>
          <w:tcPr>
            <w:tcW w:w="4508" w:type="dxa"/>
          </w:tcPr>
          <w:p w14:paraId="7D90F73B" w14:textId="77777777" w:rsidR="004000A8" w:rsidRPr="002D4DB7" w:rsidRDefault="004000A8" w:rsidP="004000A8">
            <w:pPr>
              <w:jc w:val="both"/>
              <w:rPr>
                <w:rFonts w:asciiTheme="minorHAnsi" w:hAnsiTheme="minorHAnsi" w:cstheme="minorHAnsi"/>
                <w:sz w:val="22"/>
              </w:rPr>
            </w:pPr>
          </w:p>
        </w:tc>
        <w:tc>
          <w:tcPr>
            <w:tcW w:w="4508" w:type="dxa"/>
          </w:tcPr>
          <w:p w14:paraId="3D6982C0" w14:textId="77777777" w:rsidR="004000A8" w:rsidRPr="002D4DB7" w:rsidRDefault="004000A8" w:rsidP="004000A8">
            <w:pPr>
              <w:jc w:val="both"/>
              <w:rPr>
                <w:rFonts w:asciiTheme="minorHAnsi" w:hAnsiTheme="minorHAnsi" w:cstheme="minorHAnsi"/>
                <w:sz w:val="22"/>
              </w:rPr>
            </w:pPr>
          </w:p>
        </w:tc>
      </w:tr>
      <w:tr w:rsidR="004000A8" w:rsidRPr="00A80C6F" w14:paraId="317E90C0" w14:textId="77777777" w:rsidTr="0025113D">
        <w:tc>
          <w:tcPr>
            <w:tcW w:w="4508" w:type="dxa"/>
          </w:tcPr>
          <w:p w14:paraId="434B34E8" w14:textId="39B030B4" w:rsidR="004000A8" w:rsidRPr="002D4DB7" w:rsidRDefault="004000A8" w:rsidP="004000A8">
            <w:pPr>
              <w:jc w:val="both"/>
              <w:rPr>
                <w:rFonts w:asciiTheme="minorHAnsi" w:hAnsiTheme="minorHAnsi" w:cstheme="minorHAnsi"/>
                <w:sz w:val="22"/>
                <w:lang w:val="fr-BE"/>
              </w:rPr>
            </w:pPr>
            <w:r w:rsidRPr="002D4DB7">
              <w:rPr>
                <w:rFonts w:asciiTheme="minorHAnsi" w:hAnsiTheme="minorHAnsi" w:cstheme="minorHAnsi"/>
                <w:sz w:val="22"/>
                <w:lang w:val="fr-BE"/>
              </w:rPr>
              <w:t>4° la date  de naissance ;</w:t>
            </w:r>
          </w:p>
        </w:tc>
        <w:tc>
          <w:tcPr>
            <w:tcW w:w="4508" w:type="dxa"/>
          </w:tcPr>
          <w:p w14:paraId="37396FB0" w14:textId="37493D16"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color w:val="000000" w:themeColor="text1"/>
                <w:sz w:val="22"/>
              </w:rPr>
              <w:t>4° de geboortedatum;</w:t>
            </w:r>
          </w:p>
        </w:tc>
      </w:tr>
      <w:tr w:rsidR="004000A8" w:rsidRPr="00A80C6F" w14:paraId="36730E3C" w14:textId="77777777" w:rsidTr="0025113D">
        <w:tc>
          <w:tcPr>
            <w:tcW w:w="4508" w:type="dxa"/>
          </w:tcPr>
          <w:p w14:paraId="5F83D91C" w14:textId="77777777" w:rsidR="004000A8" w:rsidRPr="002D4DB7" w:rsidRDefault="004000A8" w:rsidP="004000A8">
            <w:pPr>
              <w:jc w:val="both"/>
              <w:rPr>
                <w:rFonts w:asciiTheme="minorHAnsi" w:hAnsiTheme="minorHAnsi" w:cstheme="minorHAnsi"/>
                <w:sz w:val="22"/>
              </w:rPr>
            </w:pPr>
          </w:p>
        </w:tc>
        <w:tc>
          <w:tcPr>
            <w:tcW w:w="4508" w:type="dxa"/>
          </w:tcPr>
          <w:p w14:paraId="602CEC53" w14:textId="77777777" w:rsidR="004000A8" w:rsidRPr="002D4DB7" w:rsidRDefault="004000A8" w:rsidP="004000A8">
            <w:pPr>
              <w:jc w:val="both"/>
              <w:rPr>
                <w:rFonts w:asciiTheme="minorHAnsi" w:hAnsiTheme="minorHAnsi" w:cstheme="minorHAnsi"/>
                <w:sz w:val="22"/>
              </w:rPr>
            </w:pPr>
          </w:p>
        </w:tc>
      </w:tr>
      <w:tr w:rsidR="004000A8" w:rsidRPr="00A80C6F" w14:paraId="063F3FF2" w14:textId="77777777" w:rsidTr="0025113D">
        <w:tc>
          <w:tcPr>
            <w:tcW w:w="4508" w:type="dxa"/>
          </w:tcPr>
          <w:p w14:paraId="76F5E4B7" w14:textId="10C37D6A" w:rsidR="004000A8" w:rsidRPr="002D4DB7" w:rsidRDefault="004000A8" w:rsidP="004000A8">
            <w:pPr>
              <w:jc w:val="both"/>
              <w:rPr>
                <w:rFonts w:asciiTheme="minorHAnsi" w:hAnsiTheme="minorHAnsi" w:cstheme="minorHAnsi"/>
                <w:sz w:val="22"/>
                <w:lang w:val="fr-BE"/>
              </w:rPr>
            </w:pPr>
            <w:r w:rsidRPr="002D4DB7">
              <w:rPr>
                <w:rFonts w:asciiTheme="minorHAnsi" w:hAnsiTheme="minorHAnsi" w:cstheme="minorHAnsi"/>
                <w:sz w:val="22"/>
                <w:lang w:val="fr-BE"/>
              </w:rPr>
              <w:t>5° la photo de l’abonné mais uniquement pour les documents d’identité autres que la carte d’identité électronique belge ;</w:t>
            </w:r>
          </w:p>
        </w:tc>
        <w:tc>
          <w:tcPr>
            <w:tcW w:w="4508" w:type="dxa"/>
          </w:tcPr>
          <w:p w14:paraId="52544747" w14:textId="36AF085A"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color w:val="000000" w:themeColor="text1"/>
                <w:sz w:val="22"/>
              </w:rPr>
              <w:t>5° de foto van de abonnee, maar enkel voor andere identiteitsstukken dan de Belgische elektronische identiteitskaart;</w:t>
            </w:r>
          </w:p>
        </w:tc>
      </w:tr>
      <w:tr w:rsidR="004000A8" w:rsidRPr="00A80C6F" w14:paraId="5D19DF3E" w14:textId="77777777" w:rsidTr="0025113D">
        <w:tc>
          <w:tcPr>
            <w:tcW w:w="4508" w:type="dxa"/>
          </w:tcPr>
          <w:p w14:paraId="4384CF86" w14:textId="77777777" w:rsidR="004000A8" w:rsidRPr="002D4DB7" w:rsidRDefault="004000A8" w:rsidP="004000A8">
            <w:pPr>
              <w:jc w:val="both"/>
              <w:rPr>
                <w:rFonts w:asciiTheme="minorHAnsi" w:hAnsiTheme="minorHAnsi" w:cstheme="minorHAnsi"/>
                <w:sz w:val="22"/>
              </w:rPr>
            </w:pPr>
          </w:p>
        </w:tc>
        <w:tc>
          <w:tcPr>
            <w:tcW w:w="4508" w:type="dxa"/>
          </w:tcPr>
          <w:p w14:paraId="591A32C0" w14:textId="77777777" w:rsidR="004000A8" w:rsidRPr="002D4DB7" w:rsidRDefault="004000A8" w:rsidP="004000A8">
            <w:pPr>
              <w:jc w:val="both"/>
              <w:rPr>
                <w:rFonts w:asciiTheme="minorHAnsi" w:hAnsiTheme="minorHAnsi" w:cstheme="minorHAnsi"/>
                <w:sz w:val="22"/>
              </w:rPr>
            </w:pPr>
          </w:p>
        </w:tc>
      </w:tr>
      <w:tr w:rsidR="004000A8" w:rsidRPr="00A80C6F" w14:paraId="41C7AE26" w14:textId="77777777" w:rsidTr="0025113D">
        <w:tc>
          <w:tcPr>
            <w:tcW w:w="4508" w:type="dxa"/>
          </w:tcPr>
          <w:p w14:paraId="44963227" w14:textId="73E02B0D" w:rsidR="004000A8" w:rsidRPr="002D4DB7" w:rsidRDefault="004000A8" w:rsidP="004000A8">
            <w:pPr>
              <w:jc w:val="both"/>
              <w:rPr>
                <w:rFonts w:asciiTheme="minorHAnsi" w:hAnsiTheme="minorHAnsi" w:cstheme="minorHAnsi"/>
                <w:sz w:val="22"/>
                <w:lang w:val="fr-BE"/>
              </w:rPr>
            </w:pPr>
            <w:r w:rsidRPr="002D4DB7">
              <w:rPr>
                <w:rFonts w:asciiTheme="minorHAnsi" w:hAnsiTheme="minorHAnsi" w:cstheme="minorHAnsi"/>
                <w:sz w:val="22"/>
                <w:lang w:val="fr-BE"/>
              </w:rPr>
              <w:t>6° l'adresse du domicile, l'adresse e-mail et le numéro de téléphone ;</w:t>
            </w:r>
          </w:p>
        </w:tc>
        <w:tc>
          <w:tcPr>
            <w:tcW w:w="4508" w:type="dxa"/>
          </w:tcPr>
          <w:p w14:paraId="510ED9D5" w14:textId="79E08110"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color w:val="000000" w:themeColor="text1"/>
                <w:sz w:val="22"/>
              </w:rPr>
              <w:t>6° het adres van de woonplaats, het e-mailadres en het telefoonnummer;</w:t>
            </w:r>
          </w:p>
        </w:tc>
      </w:tr>
      <w:tr w:rsidR="004000A8" w:rsidRPr="00A80C6F" w14:paraId="390254A1" w14:textId="77777777" w:rsidTr="0025113D">
        <w:tc>
          <w:tcPr>
            <w:tcW w:w="4508" w:type="dxa"/>
          </w:tcPr>
          <w:p w14:paraId="2470C59E" w14:textId="77777777" w:rsidR="004000A8" w:rsidRPr="002D4DB7" w:rsidRDefault="004000A8" w:rsidP="004000A8">
            <w:pPr>
              <w:jc w:val="both"/>
              <w:rPr>
                <w:rFonts w:asciiTheme="minorHAnsi" w:hAnsiTheme="minorHAnsi" w:cstheme="minorHAnsi"/>
                <w:sz w:val="22"/>
              </w:rPr>
            </w:pPr>
          </w:p>
        </w:tc>
        <w:tc>
          <w:tcPr>
            <w:tcW w:w="4508" w:type="dxa"/>
          </w:tcPr>
          <w:p w14:paraId="155A01C3" w14:textId="77777777" w:rsidR="004000A8" w:rsidRPr="002D4DB7" w:rsidRDefault="004000A8" w:rsidP="004000A8">
            <w:pPr>
              <w:jc w:val="both"/>
              <w:rPr>
                <w:rFonts w:asciiTheme="minorHAnsi" w:hAnsiTheme="minorHAnsi" w:cstheme="minorHAnsi"/>
                <w:sz w:val="22"/>
              </w:rPr>
            </w:pPr>
          </w:p>
        </w:tc>
      </w:tr>
      <w:tr w:rsidR="004000A8" w:rsidRPr="00A80C6F" w14:paraId="684640CC" w14:textId="77777777" w:rsidTr="0025113D">
        <w:tc>
          <w:tcPr>
            <w:tcW w:w="4508" w:type="dxa"/>
          </w:tcPr>
          <w:p w14:paraId="29758692" w14:textId="34C44005" w:rsidR="004000A8" w:rsidRPr="002D4DB7" w:rsidRDefault="004000A8" w:rsidP="004000A8">
            <w:pPr>
              <w:jc w:val="both"/>
              <w:rPr>
                <w:rFonts w:asciiTheme="minorHAnsi" w:hAnsiTheme="minorHAnsi" w:cstheme="minorHAnsi"/>
                <w:sz w:val="22"/>
                <w:lang w:val="fr-BE"/>
              </w:rPr>
            </w:pPr>
            <w:r w:rsidRPr="002D4DB7">
              <w:rPr>
                <w:rFonts w:asciiTheme="minorHAnsi" w:hAnsiTheme="minorHAnsi" w:cstheme="minorHAnsi"/>
                <w:sz w:val="22"/>
                <w:lang w:val="fr-BE"/>
              </w:rPr>
              <w:t>7° le numéro de registre national ;</w:t>
            </w:r>
          </w:p>
        </w:tc>
        <w:tc>
          <w:tcPr>
            <w:tcW w:w="4508" w:type="dxa"/>
          </w:tcPr>
          <w:p w14:paraId="1CB85FF7" w14:textId="67D8C75F"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color w:val="000000" w:themeColor="text1"/>
                <w:sz w:val="22"/>
              </w:rPr>
              <w:t>7° het rijksregisternummer;</w:t>
            </w:r>
          </w:p>
        </w:tc>
      </w:tr>
      <w:tr w:rsidR="004000A8" w:rsidRPr="00A80C6F" w14:paraId="614BC3D6" w14:textId="77777777" w:rsidTr="0025113D">
        <w:tc>
          <w:tcPr>
            <w:tcW w:w="4508" w:type="dxa"/>
          </w:tcPr>
          <w:p w14:paraId="54F0587A" w14:textId="77777777" w:rsidR="004000A8" w:rsidRPr="002D4DB7" w:rsidRDefault="004000A8" w:rsidP="004000A8">
            <w:pPr>
              <w:jc w:val="both"/>
              <w:rPr>
                <w:rFonts w:asciiTheme="minorHAnsi" w:hAnsiTheme="minorHAnsi" w:cstheme="minorHAnsi"/>
                <w:sz w:val="22"/>
              </w:rPr>
            </w:pPr>
          </w:p>
        </w:tc>
        <w:tc>
          <w:tcPr>
            <w:tcW w:w="4508" w:type="dxa"/>
          </w:tcPr>
          <w:p w14:paraId="237F2F71" w14:textId="77777777" w:rsidR="004000A8" w:rsidRPr="002D4DB7" w:rsidRDefault="004000A8" w:rsidP="004000A8">
            <w:pPr>
              <w:jc w:val="both"/>
              <w:rPr>
                <w:rFonts w:asciiTheme="minorHAnsi" w:hAnsiTheme="minorHAnsi" w:cstheme="minorHAnsi"/>
                <w:sz w:val="22"/>
              </w:rPr>
            </w:pPr>
          </w:p>
        </w:tc>
      </w:tr>
      <w:tr w:rsidR="004000A8" w:rsidRPr="00A80C6F" w14:paraId="4AAE15F7" w14:textId="77777777" w:rsidTr="0025113D">
        <w:tc>
          <w:tcPr>
            <w:tcW w:w="4508" w:type="dxa"/>
          </w:tcPr>
          <w:p w14:paraId="32A4D504" w14:textId="02657343" w:rsidR="004000A8" w:rsidRPr="002D4DB7" w:rsidRDefault="004000A8" w:rsidP="004000A8">
            <w:pPr>
              <w:jc w:val="both"/>
              <w:rPr>
                <w:rFonts w:asciiTheme="minorHAnsi" w:hAnsiTheme="minorHAnsi" w:cstheme="minorHAnsi"/>
                <w:sz w:val="22"/>
                <w:lang w:val="fr-BE"/>
              </w:rPr>
            </w:pPr>
            <w:r w:rsidRPr="002D4DB7">
              <w:rPr>
                <w:rFonts w:asciiTheme="minorHAnsi" w:hAnsiTheme="minorHAnsi" w:cstheme="minorHAnsi"/>
                <w:sz w:val="22"/>
                <w:lang w:val="fr-BE"/>
              </w:rPr>
              <w:t xml:space="preserve">8° </w:t>
            </w:r>
            <w:bookmarkStart w:id="8" w:name="_Hlk96522531"/>
            <w:r w:rsidRPr="002D4DB7">
              <w:rPr>
                <w:rFonts w:asciiTheme="minorHAnsi" w:hAnsiTheme="minorHAnsi" w:cstheme="minorHAnsi"/>
                <w:sz w:val="22"/>
                <w:lang w:val="fr-BE"/>
              </w:rPr>
              <w:t>le numéro de sécurité publique </w:t>
            </w:r>
            <w:bookmarkEnd w:id="8"/>
            <w:r w:rsidRPr="002D4DB7">
              <w:rPr>
                <w:rFonts w:asciiTheme="minorHAnsi" w:hAnsiTheme="minorHAnsi" w:cstheme="minorHAnsi"/>
                <w:sz w:val="22"/>
                <w:lang w:val="fr-BE"/>
              </w:rPr>
              <w:t>;</w:t>
            </w:r>
          </w:p>
        </w:tc>
        <w:tc>
          <w:tcPr>
            <w:tcW w:w="4508" w:type="dxa"/>
          </w:tcPr>
          <w:p w14:paraId="788CBFFC" w14:textId="1A4ADF31"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sz w:val="22"/>
              </w:rPr>
              <w:t xml:space="preserve">8° het </w:t>
            </w:r>
            <w:r w:rsidR="00D53AC0">
              <w:rPr>
                <w:rFonts w:asciiTheme="minorHAnsi" w:hAnsiTheme="minorHAnsi" w:cstheme="minorHAnsi"/>
                <w:sz w:val="22"/>
              </w:rPr>
              <w:t>o</w:t>
            </w:r>
            <w:r w:rsidRPr="002D4DB7">
              <w:rPr>
                <w:rFonts w:asciiTheme="minorHAnsi" w:hAnsiTheme="minorHAnsi" w:cstheme="minorHAnsi"/>
                <w:sz w:val="22"/>
              </w:rPr>
              <w:t>penba</w:t>
            </w:r>
            <w:r w:rsidR="00D53AC0">
              <w:rPr>
                <w:rFonts w:asciiTheme="minorHAnsi" w:hAnsiTheme="minorHAnsi" w:cstheme="minorHAnsi"/>
                <w:sz w:val="22"/>
              </w:rPr>
              <w:t>a</w:t>
            </w:r>
            <w:r w:rsidRPr="002D4DB7">
              <w:rPr>
                <w:rFonts w:asciiTheme="minorHAnsi" w:hAnsiTheme="minorHAnsi" w:cstheme="minorHAnsi"/>
                <w:sz w:val="22"/>
              </w:rPr>
              <w:t xml:space="preserve">r </w:t>
            </w:r>
            <w:r w:rsidR="00D53AC0">
              <w:rPr>
                <w:rFonts w:asciiTheme="minorHAnsi" w:hAnsiTheme="minorHAnsi" w:cstheme="minorHAnsi"/>
                <w:sz w:val="22"/>
              </w:rPr>
              <w:t>v</w:t>
            </w:r>
            <w:r w:rsidRPr="002D4DB7">
              <w:rPr>
                <w:rFonts w:asciiTheme="minorHAnsi" w:hAnsiTheme="minorHAnsi" w:cstheme="minorHAnsi"/>
                <w:sz w:val="22"/>
              </w:rPr>
              <w:t>eiligheid</w:t>
            </w:r>
            <w:r w:rsidR="00D53AC0">
              <w:rPr>
                <w:rFonts w:asciiTheme="minorHAnsi" w:hAnsiTheme="minorHAnsi" w:cstheme="minorHAnsi"/>
                <w:sz w:val="22"/>
              </w:rPr>
              <w:t>snummer</w:t>
            </w:r>
            <w:r w:rsidRPr="002D4DB7">
              <w:rPr>
                <w:rFonts w:asciiTheme="minorHAnsi" w:hAnsiTheme="minorHAnsi" w:cstheme="minorHAnsi"/>
                <w:sz w:val="22"/>
              </w:rPr>
              <w:t>;</w:t>
            </w:r>
          </w:p>
        </w:tc>
      </w:tr>
      <w:tr w:rsidR="004000A8" w:rsidRPr="00A80C6F" w14:paraId="559A39D2" w14:textId="77777777" w:rsidTr="0025113D">
        <w:tc>
          <w:tcPr>
            <w:tcW w:w="4508" w:type="dxa"/>
          </w:tcPr>
          <w:p w14:paraId="138D8278" w14:textId="77777777" w:rsidR="004000A8" w:rsidRPr="002D4DB7" w:rsidRDefault="004000A8" w:rsidP="004000A8">
            <w:pPr>
              <w:jc w:val="both"/>
              <w:rPr>
                <w:rFonts w:asciiTheme="minorHAnsi" w:hAnsiTheme="minorHAnsi" w:cstheme="minorHAnsi"/>
                <w:sz w:val="22"/>
              </w:rPr>
            </w:pPr>
          </w:p>
        </w:tc>
        <w:tc>
          <w:tcPr>
            <w:tcW w:w="4508" w:type="dxa"/>
          </w:tcPr>
          <w:p w14:paraId="36D2F1FD" w14:textId="77777777" w:rsidR="004000A8" w:rsidRPr="002D4DB7" w:rsidRDefault="004000A8" w:rsidP="004000A8">
            <w:pPr>
              <w:jc w:val="both"/>
              <w:rPr>
                <w:rFonts w:asciiTheme="minorHAnsi" w:hAnsiTheme="minorHAnsi" w:cstheme="minorHAnsi"/>
                <w:sz w:val="22"/>
              </w:rPr>
            </w:pPr>
          </w:p>
        </w:tc>
      </w:tr>
      <w:tr w:rsidR="004000A8" w:rsidRPr="00A80C6F" w14:paraId="2E4EF14E" w14:textId="77777777" w:rsidTr="0025113D">
        <w:tc>
          <w:tcPr>
            <w:tcW w:w="4508" w:type="dxa"/>
          </w:tcPr>
          <w:p w14:paraId="18A90F00" w14:textId="0FB94AB7" w:rsidR="004000A8" w:rsidRPr="002D4DB7" w:rsidRDefault="004000A8" w:rsidP="004000A8">
            <w:pPr>
              <w:jc w:val="both"/>
              <w:rPr>
                <w:rFonts w:asciiTheme="minorHAnsi" w:hAnsiTheme="minorHAnsi" w:cstheme="minorHAnsi"/>
                <w:sz w:val="22"/>
                <w:lang w:val="fr-BE"/>
              </w:rPr>
            </w:pPr>
            <w:r w:rsidRPr="002D4DB7">
              <w:rPr>
                <w:rFonts w:asciiTheme="minorHAnsi" w:hAnsiTheme="minorHAnsi" w:cstheme="minorHAnsi"/>
                <w:sz w:val="22"/>
                <w:lang w:val="fr-BE"/>
              </w:rPr>
              <w:t xml:space="preserve">9° le numéro du </w:t>
            </w:r>
            <w:r>
              <w:rPr>
                <w:rFonts w:asciiTheme="minorHAnsi" w:hAnsiTheme="minorHAnsi" w:cstheme="minorHAnsi"/>
                <w:sz w:val="22"/>
                <w:lang w:val="fr-BE"/>
              </w:rPr>
              <w:t>document d’identification</w:t>
            </w:r>
            <w:r w:rsidRPr="002D4DB7">
              <w:rPr>
                <w:rFonts w:asciiTheme="minorHAnsi" w:hAnsiTheme="minorHAnsi" w:cstheme="minorHAnsi"/>
                <w:sz w:val="22"/>
                <w:lang w:val="fr-BE"/>
              </w:rPr>
              <w:t>, le pays d’émission du document lorsqu’il s’agit d’un document étranger et la date de validité du document ;</w:t>
            </w:r>
          </w:p>
        </w:tc>
        <w:tc>
          <w:tcPr>
            <w:tcW w:w="4508" w:type="dxa"/>
          </w:tcPr>
          <w:p w14:paraId="28B12115" w14:textId="5273FA2A"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color w:val="000000" w:themeColor="text1"/>
                <w:sz w:val="22"/>
              </w:rPr>
              <w:t xml:space="preserve">9° het nummer van het </w:t>
            </w:r>
            <w:r>
              <w:rPr>
                <w:rFonts w:asciiTheme="minorHAnsi" w:hAnsiTheme="minorHAnsi" w:cstheme="minorHAnsi"/>
                <w:color w:val="000000" w:themeColor="text1"/>
                <w:sz w:val="22"/>
              </w:rPr>
              <w:t>identificatiedocument</w:t>
            </w:r>
            <w:r w:rsidRPr="002D4DB7">
              <w:rPr>
                <w:rFonts w:asciiTheme="minorHAnsi" w:hAnsiTheme="minorHAnsi" w:cstheme="minorHAnsi"/>
                <w:color w:val="000000" w:themeColor="text1"/>
                <w:sz w:val="22"/>
              </w:rPr>
              <w:t>, het land van uitgifte van het document wanneer het een buitenlands document betreft en de geldigheidsdatum van het document;</w:t>
            </w:r>
          </w:p>
        </w:tc>
      </w:tr>
      <w:tr w:rsidR="004000A8" w:rsidRPr="00A80C6F" w14:paraId="3E733BBB" w14:textId="77777777" w:rsidTr="0025113D">
        <w:tc>
          <w:tcPr>
            <w:tcW w:w="4508" w:type="dxa"/>
          </w:tcPr>
          <w:p w14:paraId="258C0C89" w14:textId="77777777" w:rsidR="004000A8" w:rsidRPr="002D4DB7" w:rsidRDefault="004000A8" w:rsidP="004000A8">
            <w:pPr>
              <w:jc w:val="both"/>
              <w:rPr>
                <w:rFonts w:asciiTheme="minorHAnsi" w:hAnsiTheme="minorHAnsi" w:cstheme="minorHAnsi"/>
                <w:sz w:val="22"/>
              </w:rPr>
            </w:pPr>
          </w:p>
        </w:tc>
        <w:tc>
          <w:tcPr>
            <w:tcW w:w="4508" w:type="dxa"/>
          </w:tcPr>
          <w:p w14:paraId="08C9BD63" w14:textId="77777777" w:rsidR="004000A8" w:rsidRPr="002D4DB7" w:rsidRDefault="004000A8" w:rsidP="004000A8">
            <w:pPr>
              <w:jc w:val="both"/>
              <w:rPr>
                <w:rFonts w:asciiTheme="minorHAnsi" w:hAnsiTheme="minorHAnsi" w:cstheme="minorHAnsi"/>
                <w:sz w:val="22"/>
              </w:rPr>
            </w:pPr>
          </w:p>
        </w:tc>
      </w:tr>
      <w:tr w:rsidR="004000A8" w:rsidRPr="00A80C6F" w14:paraId="05EF58F4" w14:textId="77777777" w:rsidTr="0025113D">
        <w:tc>
          <w:tcPr>
            <w:tcW w:w="4508" w:type="dxa"/>
          </w:tcPr>
          <w:p w14:paraId="65C75AAF" w14:textId="5B1F2CA6" w:rsidR="004000A8" w:rsidRPr="002D4DB7" w:rsidRDefault="004000A8" w:rsidP="004000A8">
            <w:pPr>
              <w:jc w:val="both"/>
              <w:rPr>
                <w:rFonts w:asciiTheme="minorHAnsi" w:hAnsiTheme="minorHAnsi" w:cstheme="minorHAnsi"/>
                <w:sz w:val="22"/>
                <w:lang w:val="fr-BE"/>
              </w:rPr>
            </w:pPr>
            <w:r w:rsidRPr="002D4DB7">
              <w:rPr>
                <w:rFonts w:asciiTheme="minorHAnsi" w:hAnsiTheme="minorHAnsi" w:cstheme="minorHAnsi"/>
                <w:sz w:val="22"/>
                <w:lang w:val="fr-BE"/>
              </w:rPr>
              <w:t xml:space="preserve">10° le lien entre le nouveau service de communications électroniques auquel l’abonné souscrit et le service pour lequel il a déjà été identifié. </w:t>
            </w:r>
          </w:p>
        </w:tc>
        <w:tc>
          <w:tcPr>
            <w:tcW w:w="4508" w:type="dxa"/>
          </w:tcPr>
          <w:p w14:paraId="2BEEDF0A" w14:textId="5600BF36" w:rsidR="004000A8" w:rsidRPr="002D4DB7" w:rsidRDefault="004000A8" w:rsidP="004000A8">
            <w:pPr>
              <w:jc w:val="both"/>
              <w:rPr>
                <w:rFonts w:asciiTheme="minorHAnsi" w:hAnsiTheme="minorHAnsi" w:cstheme="minorHAnsi"/>
                <w:sz w:val="22"/>
              </w:rPr>
            </w:pPr>
            <w:r w:rsidRPr="002D4DB7">
              <w:rPr>
                <w:rFonts w:asciiTheme="minorHAnsi" w:hAnsiTheme="minorHAnsi" w:cstheme="minorHAnsi"/>
                <w:color w:val="000000" w:themeColor="text1"/>
                <w:sz w:val="22"/>
              </w:rPr>
              <w:t>10° het verband tussen de nieuwe elektronische-communicatiedienst waarop de abonnee intekent en de dienst waarvoor hij reeds werd geïdentificeerd.</w:t>
            </w:r>
          </w:p>
        </w:tc>
      </w:tr>
      <w:tr w:rsidR="004000A8" w:rsidRPr="00A80C6F" w14:paraId="3CD0D86F" w14:textId="77777777" w:rsidTr="0025113D">
        <w:tc>
          <w:tcPr>
            <w:tcW w:w="4508" w:type="dxa"/>
          </w:tcPr>
          <w:p w14:paraId="4A3445B5" w14:textId="77777777" w:rsidR="004000A8" w:rsidRPr="00136EDB" w:rsidRDefault="004000A8" w:rsidP="004000A8">
            <w:pPr>
              <w:jc w:val="both"/>
              <w:rPr>
                <w:rFonts w:asciiTheme="minorHAnsi" w:hAnsiTheme="minorHAnsi" w:cstheme="minorHAnsi"/>
                <w:sz w:val="22"/>
              </w:rPr>
            </w:pPr>
          </w:p>
        </w:tc>
        <w:tc>
          <w:tcPr>
            <w:tcW w:w="4508" w:type="dxa"/>
          </w:tcPr>
          <w:p w14:paraId="52630C04" w14:textId="77777777" w:rsidR="004000A8" w:rsidRPr="00136EDB" w:rsidRDefault="004000A8" w:rsidP="004000A8">
            <w:pPr>
              <w:jc w:val="both"/>
              <w:rPr>
                <w:rFonts w:asciiTheme="minorHAnsi" w:hAnsiTheme="minorHAnsi" w:cstheme="minorHAnsi"/>
                <w:sz w:val="22"/>
              </w:rPr>
            </w:pPr>
          </w:p>
        </w:tc>
      </w:tr>
      <w:tr w:rsidR="004000A8" w:rsidRPr="00A80C6F" w14:paraId="196318CE" w14:textId="77777777" w:rsidTr="0025113D">
        <w:tc>
          <w:tcPr>
            <w:tcW w:w="4508" w:type="dxa"/>
          </w:tcPr>
          <w:p w14:paraId="330BF224" w14:textId="78BA09D8" w:rsidR="004000A8" w:rsidRPr="00136EDB" w:rsidRDefault="004000A8" w:rsidP="004000A8">
            <w:pPr>
              <w:jc w:val="both"/>
              <w:rPr>
                <w:rFonts w:asciiTheme="minorHAnsi" w:hAnsiTheme="minorHAnsi" w:cstheme="minorHAnsi"/>
                <w:sz w:val="22"/>
                <w:lang w:val="fr-BE"/>
              </w:rPr>
            </w:pPr>
            <w:r w:rsidRPr="00136EDB">
              <w:rPr>
                <w:rFonts w:asciiTheme="minorHAnsi" w:hAnsiTheme="minorHAnsi" w:cstheme="minorHAnsi"/>
                <w:color w:val="000000" w:themeColor="text1"/>
                <w:sz w:val="22"/>
                <w:lang w:val="fr-FR"/>
              </w:rPr>
              <w:t xml:space="preserve">Sans préjudice des données conservées sur base de l’arrêté royal pris le cas échéant en exécution du paragraphe 5, alinéa 5, lorsqu’un opérateur identifie l’abonné qui est une personne physique par le biais d’une méthode d’identification directe, il </w:t>
            </w:r>
            <w:r w:rsidRPr="00136EDB">
              <w:rPr>
                <w:rFonts w:asciiTheme="minorHAnsi" w:hAnsiTheme="minorHAnsi" w:cstheme="minorHAnsi"/>
                <w:sz w:val="22"/>
                <w:lang w:val="fr-BE"/>
              </w:rPr>
              <w:t>conserve au minimum les données d’identification suivantes :</w:t>
            </w:r>
          </w:p>
        </w:tc>
        <w:tc>
          <w:tcPr>
            <w:tcW w:w="4508" w:type="dxa"/>
          </w:tcPr>
          <w:p w14:paraId="6C55246B" w14:textId="548C91E1" w:rsidR="004000A8" w:rsidRPr="00136EDB" w:rsidRDefault="004000A8" w:rsidP="004000A8">
            <w:pPr>
              <w:jc w:val="both"/>
              <w:rPr>
                <w:rFonts w:asciiTheme="minorHAnsi" w:hAnsiTheme="minorHAnsi" w:cstheme="minorHAnsi"/>
                <w:sz w:val="22"/>
              </w:rPr>
            </w:pPr>
            <w:r w:rsidRPr="00136EDB">
              <w:rPr>
                <w:rFonts w:asciiTheme="minorHAnsi" w:hAnsiTheme="minorHAnsi" w:cstheme="minorHAnsi"/>
                <w:color w:val="000000" w:themeColor="text1"/>
                <w:sz w:val="22"/>
              </w:rPr>
              <w:t xml:space="preserve">Onverminderd de gegevens die worden bewaard op basis van het koninklijk besluit dat eventueel is genomen ter uitvoering van paragraaf 5, vijfde lid, bewaart de operator, wanneer hij de abonnee die een natuurlijke persoon is, identificeert via een directe identificatiecode, minimaal de volgende </w:t>
            </w:r>
            <w:r w:rsidR="00151618">
              <w:rPr>
                <w:rFonts w:asciiTheme="minorHAnsi" w:hAnsiTheme="minorHAnsi" w:cstheme="minorHAnsi"/>
                <w:color w:val="000000" w:themeColor="text1"/>
                <w:sz w:val="22"/>
              </w:rPr>
              <w:t>identificatie</w:t>
            </w:r>
            <w:r w:rsidRPr="00136EDB">
              <w:rPr>
                <w:rFonts w:asciiTheme="minorHAnsi" w:hAnsiTheme="minorHAnsi" w:cstheme="minorHAnsi"/>
                <w:color w:val="000000" w:themeColor="text1"/>
                <w:sz w:val="22"/>
              </w:rPr>
              <w:t>gegevens:</w:t>
            </w:r>
          </w:p>
        </w:tc>
      </w:tr>
      <w:tr w:rsidR="004000A8" w:rsidRPr="00A80C6F" w14:paraId="2BE17C8A" w14:textId="77777777" w:rsidTr="0025113D">
        <w:tc>
          <w:tcPr>
            <w:tcW w:w="4508" w:type="dxa"/>
          </w:tcPr>
          <w:p w14:paraId="3F0B9D32" w14:textId="77777777" w:rsidR="004000A8" w:rsidRPr="00136EDB" w:rsidRDefault="004000A8" w:rsidP="004000A8">
            <w:pPr>
              <w:jc w:val="both"/>
              <w:rPr>
                <w:rFonts w:asciiTheme="minorHAnsi" w:hAnsiTheme="minorHAnsi" w:cstheme="minorHAnsi"/>
                <w:sz w:val="22"/>
              </w:rPr>
            </w:pPr>
          </w:p>
        </w:tc>
        <w:tc>
          <w:tcPr>
            <w:tcW w:w="4508" w:type="dxa"/>
          </w:tcPr>
          <w:p w14:paraId="3B9A5CA8" w14:textId="77777777" w:rsidR="004000A8" w:rsidRPr="00136EDB" w:rsidRDefault="004000A8" w:rsidP="004000A8">
            <w:pPr>
              <w:jc w:val="both"/>
              <w:rPr>
                <w:rFonts w:asciiTheme="minorHAnsi" w:hAnsiTheme="minorHAnsi" w:cstheme="minorHAnsi"/>
                <w:sz w:val="22"/>
              </w:rPr>
            </w:pPr>
          </w:p>
        </w:tc>
      </w:tr>
      <w:tr w:rsidR="004000A8" w:rsidRPr="00A80C6F" w14:paraId="1E941C1D" w14:textId="77777777" w:rsidTr="0025113D">
        <w:tc>
          <w:tcPr>
            <w:tcW w:w="4508" w:type="dxa"/>
          </w:tcPr>
          <w:p w14:paraId="04737601" w14:textId="6A92FC5B" w:rsidR="004000A8" w:rsidRPr="00136EDB" w:rsidRDefault="004000A8" w:rsidP="004000A8">
            <w:pPr>
              <w:pStyle w:val="Lijstalinea"/>
              <w:numPr>
                <w:ilvl w:val="0"/>
                <w:numId w:val="4"/>
              </w:numPr>
              <w:spacing w:before="0"/>
              <w:rPr>
                <w:rFonts w:asciiTheme="minorHAnsi" w:hAnsiTheme="minorHAnsi" w:cstheme="minorHAnsi"/>
                <w:lang w:val="fr-BE"/>
              </w:rPr>
            </w:pPr>
            <w:r w:rsidRPr="00136EDB">
              <w:rPr>
                <w:rFonts w:asciiTheme="minorHAnsi" w:hAnsiTheme="minorHAnsi" w:cstheme="minorHAnsi"/>
                <w:color w:val="000000" w:themeColor="text1"/>
                <w:lang w:val="fr-FR"/>
              </w:rPr>
              <w:t>lorsque l’opérateur identifie son abonné à partir des données disponibles sur sa carte d’identité électronique belge : le numéro de registre national, le nom et le prénom ;</w:t>
            </w:r>
          </w:p>
        </w:tc>
        <w:tc>
          <w:tcPr>
            <w:tcW w:w="4508" w:type="dxa"/>
          </w:tcPr>
          <w:p w14:paraId="5C82BCDC" w14:textId="53EE906E" w:rsidR="004000A8" w:rsidRPr="00136EDB" w:rsidRDefault="004000A8" w:rsidP="004000A8">
            <w:pPr>
              <w:pStyle w:val="Lijstalinea"/>
              <w:numPr>
                <w:ilvl w:val="0"/>
                <w:numId w:val="4"/>
              </w:numPr>
              <w:rPr>
                <w:rFonts w:asciiTheme="minorHAnsi" w:hAnsiTheme="minorHAnsi" w:cstheme="minorHAnsi"/>
                <w:lang w:val="nl-BE"/>
              </w:rPr>
            </w:pPr>
            <w:r w:rsidRPr="00136EDB">
              <w:rPr>
                <w:rFonts w:asciiTheme="minorHAnsi" w:hAnsiTheme="minorHAnsi" w:cstheme="minorHAnsi"/>
                <w:lang w:val="nl-BE"/>
              </w:rPr>
              <w:t>wanneer de operator zijn abonnee identificeert uitgaande van de gegevens die beschikbaar zijn op zijn Belgische elektronische identiteitskaart: het rijksregisternummer, de naam en voornaam;</w:t>
            </w:r>
          </w:p>
        </w:tc>
      </w:tr>
      <w:tr w:rsidR="004000A8" w:rsidRPr="00A80C6F" w14:paraId="097C43F4" w14:textId="77777777" w:rsidTr="0025113D">
        <w:tc>
          <w:tcPr>
            <w:tcW w:w="4508" w:type="dxa"/>
          </w:tcPr>
          <w:p w14:paraId="3307565C" w14:textId="77777777" w:rsidR="004000A8" w:rsidRPr="00136EDB" w:rsidRDefault="004000A8" w:rsidP="004000A8">
            <w:pPr>
              <w:jc w:val="both"/>
              <w:rPr>
                <w:rFonts w:asciiTheme="minorHAnsi" w:hAnsiTheme="minorHAnsi" w:cstheme="minorHAnsi"/>
                <w:sz w:val="22"/>
              </w:rPr>
            </w:pPr>
          </w:p>
        </w:tc>
        <w:tc>
          <w:tcPr>
            <w:tcW w:w="4508" w:type="dxa"/>
          </w:tcPr>
          <w:p w14:paraId="3B88C863" w14:textId="77777777" w:rsidR="004000A8" w:rsidRPr="00136EDB" w:rsidRDefault="004000A8" w:rsidP="004000A8">
            <w:pPr>
              <w:jc w:val="both"/>
              <w:rPr>
                <w:rFonts w:asciiTheme="minorHAnsi" w:hAnsiTheme="minorHAnsi" w:cstheme="minorHAnsi"/>
                <w:sz w:val="22"/>
              </w:rPr>
            </w:pPr>
          </w:p>
        </w:tc>
      </w:tr>
      <w:tr w:rsidR="004000A8" w:rsidRPr="00A80C6F" w14:paraId="46FEDCE4" w14:textId="77777777" w:rsidTr="0025113D">
        <w:tc>
          <w:tcPr>
            <w:tcW w:w="4508" w:type="dxa"/>
          </w:tcPr>
          <w:p w14:paraId="7F478DC7" w14:textId="17A484E2" w:rsidR="004000A8" w:rsidRPr="002D4DB7" w:rsidRDefault="004000A8" w:rsidP="004000A8">
            <w:pPr>
              <w:pStyle w:val="Lijstalinea"/>
              <w:numPr>
                <w:ilvl w:val="0"/>
                <w:numId w:val="4"/>
              </w:numPr>
              <w:spacing w:before="0"/>
              <w:rPr>
                <w:rFonts w:asciiTheme="minorHAnsi" w:hAnsiTheme="minorHAnsi" w:cstheme="minorHAnsi"/>
                <w:lang w:val="fr-BE"/>
              </w:rPr>
            </w:pPr>
            <w:r w:rsidRPr="002D4DB7">
              <w:rPr>
                <w:rFonts w:asciiTheme="minorHAnsi" w:hAnsiTheme="minorHAnsi" w:cstheme="minorHAnsi"/>
                <w:color w:val="000000" w:themeColor="text1"/>
                <w:lang w:val="fr-FR"/>
              </w:rPr>
              <w:lastRenderedPageBreak/>
              <w:t>dans les autres cas de figure : le nom et le prénom, la date de naissance et les données que le Roi peut déterminer.</w:t>
            </w:r>
          </w:p>
        </w:tc>
        <w:tc>
          <w:tcPr>
            <w:tcW w:w="4508" w:type="dxa"/>
          </w:tcPr>
          <w:p w14:paraId="7716F696" w14:textId="24F75121" w:rsidR="004000A8" w:rsidRPr="002D4DB7" w:rsidRDefault="004000A8" w:rsidP="004000A8">
            <w:pPr>
              <w:pStyle w:val="Lijstalinea"/>
              <w:numPr>
                <w:ilvl w:val="0"/>
                <w:numId w:val="4"/>
              </w:numPr>
              <w:rPr>
                <w:rFonts w:asciiTheme="minorHAnsi" w:hAnsiTheme="minorHAnsi" w:cstheme="minorHAnsi"/>
                <w:lang w:val="nl-BE"/>
              </w:rPr>
            </w:pPr>
            <w:r w:rsidRPr="002D4DB7">
              <w:rPr>
                <w:rFonts w:asciiTheme="minorHAnsi" w:hAnsiTheme="minorHAnsi" w:cstheme="minorHAnsi"/>
                <w:lang w:val="nl-BE"/>
              </w:rPr>
              <w:t>in de andere gevallen: de naam en voornaam, de geboortedatum en de gegevens die de Koning kan bepalen.</w:t>
            </w:r>
          </w:p>
        </w:tc>
      </w:tr>
      <w:tr w:rsidR="004000A8" w:rsidRPr="00A80C6F" w14:paraId="6C207C52" w14:textId="77777777" w:rsidTr="0025113D">
        <w:tc>
          <w:tcPr>
            <w:tcW w:w="4508" w:type="dxa"/>
          </w:tcPr>
          <w:p w14:paraId="3A6CEF2B" w14:textId="77777777" w:rsidR="004000A8" w:rsidRPr="00045A81" w:rsidRDefault="004000A8" w:rsidP="004000A8">
            <w:pPr>
              <w:jc w:val="both"/>
              <w:rPr>
                <w:rFonts w:asciiTheme="minorHAnsi" w:hAnsiTheme="minorHAnsi" w:cstheme="minorHAnsi"/>
                <w:sz w:val="22"/>
              </w:rPr>
            </w:pPr>
          </w:p>
        </w:tc>
        <w:tc>
          <w:tcPr>
            <w:tcW w:w="4508" w:type="dxa"/>
          </w:tcPr>
          <w:p w14:paraId="00202462" w14:textId="77777777" w:rsidR="004000A8" w:rsidRPr="00A80C6F" w:rsidRDefault="004000A8" w:rsidP="004000A8">
            <w:pPr>
              <w:jc w:val="both"/>
              <w:rPr>
                <w:rFonts w:asciiTheme="minorHAnsi" w:hAnsiTheme="minorHAnsi" w:cstheme="minorHAnsi"/>
                <w:sz w:val="22"/>
              </w:rPr>
            </w:pPr>
          </w:p>
        </w:tc>
      </w:tr>
      <w:tr w:rsidR="004000A8" w:rsidRPr="00A80C6F" w14:paraId="4E59045A" w14:textId="77777777" w:rsidTr="0025113D">
        <w:tc>
          <w:tcPr>
            <w:tcW w:w="4508" w:type="dxa"/>
          </w:tcPr>
          <w:p w14:paraId="354E42E3" w14:textId="2F599177" w:rsidR="004000A8" w:rsidRPr="00A61847" w:rsidRDefault="004000A8" w:rsidP="004000A8">
            <w:pPr>
              <w:jc w:val="both"/>
              <w:rPr>
                <w:rFonts w:asciiTheme="minorHAnsi" w:hAnsiTheme="minorHAnsi" w:cstheme="minorHAnsi"/>
                <w:sz w:val="22"/>
                <w:lang w:val="fr-BE"/>
              </w:rPr>
            </w:pPr>
            <w:r w:rsidRPr="00A61847">
              <w:rPr>
                <w:rFonts w:asciiTheme="minorHAnsi" w:hAnsiTheme="minorHAnsi" w:cstheme="minorHAnsi"/>
                <w:b/>
                <w:bCs/>
                <w:color w:val="000000" w:themeColor="text1"/>
                <w:sz w:val="22"/>
                <w:lang w:val="fr-BE"/>
              </w:rPr>
              <w:t>§ 7.</w:t>
            </w:r>
            <w:r w:rsidRPr="00A61847">
              <w:rPr>
                <w:rFonts w:asciiTheme="minorHAnsi" w:hAnsiTheme="minorHAnsi" w:cstheme="minorHAnsi"/>
                <w:color w:val="000000" w:themeColor="text1"/>
                <w:sz w:val="22"/>
                <w:lang w:val="fr-BE"/>
              </w:rPr>
              <w:t xml:space="preserve"> </w:t>
            </w:r>
            <w:r w:rsidRPr="00A61847">
              <w:rPr>
                <w:rFonts w:asciiTheme="minorHAnsi" w:hAnsiTheme="minorHAnsi" w:cstheme="minorHAnsi"/>
                <w:color w:val="000000" w:themeColor="text1"/>
                <w:sz w:val="22"/>
                <w:lang w:val="fr-FR"/>
              </w:rPr>
              <w:t xml:space="preserve">Lorsqu’un opérateur offre un service de communications </w:t>
            </w:r>
            <w:r w:rsidRPr="00136EDB">
              <w:rPr>
                <w:rFonts w:asciiTheme="minorHAnsi" w:hAnsiTheme="minorHAnsi" w:cstheme="minorHAnsi"/>
                <w:color w:val="000000" w:themeColor="text1"/>
                <w:sz w:val="22"/>
                <w:lang w:val="fr-FR"/>
              </w:rPr>
              <w:t>électroniques mobile fourni sur la base d'une carte prépayée à un abonné qui est une personne morale et qu’il l’identifie par le biais d’une méthode d’identification directe, il  collecte et conserve </w:t>
            </w:r>
            <w:r w:rsidRPr="00136EDB">
              <w:rPr>
                <w:rFonts w:asciiTheme="minorHAnsi" w:hAnsiTheme="minorHAnsi" w:cstheme="minorHAnsi"/>
                <w:color w:val="000000" w:themeColor="text1"/>
                <w:sz w:val="22"/>
                <w:lang w:val="fr-BE"/>
              </w:rPr>
              <w:t>l</w:t>
            </w:r>
            <w:r w:rsidRPr="00136EDB">
              <w:rPr>
                <w:rFonts w:asciiTheme="minorHAnsi" w:hAnsiTheme="minorHAnsi" w:cstheme="minorHAnsi"/>
                <w:color w:val="000000" w:themeColor="text1"/>
                <w:sz w:val="22"/>
                <w:lang w:val="fr-FR"/>
              </w:rPr>
              <w:t>’identité civile d’une personne physique qui agit pour le compte de la personne morale au fin du respect de l’obligation d’identification prévue par le présent paragraphe,  conformément aux exigences prévues aux paragraphes 4 à 6.</w:t>
            </w:r>
            <w:r w:rsidRPr="00A61847">
              <w:rPr>
                <w:rFonts w:asciiTheme="minorHAnsi" w:hAnsiTheme="minorHAnsi" w:cstheme="minorHAnsi"/>
                <w:color w:val="000000" w:themeColor="text1"/>
                <w:sz w:val="22"/>
                <w:lang w:val="fr-FR"/>
              </w:rPr>
              <w:t xml:space="preserve">  </w:t>
            </w:r>
          </w:p>
        </w:tc>
        <w:tc>
          <w:tcPr>
            <w:tcW w:w="4508" w:type="dxa"/>
          </w:tcPr>
          <w:p w14:paraId="1668D250" w14:textId="1A2E5FE5" w:rsidR="004000A8" w:rsidRPr="00A61847" w:rsidRDefault="004000A8" w:rsidP="004000A8">
            <w:pPr>
              <w:jc w:val="both"/>
              <w:rPr>
                <w:rFonts w:asciiTheme="minorHAnsi" w:hAnsiTheme="minorHAnsi" w:cstheme="minorHAnsi"/>
                <w:sz w:val="22"/>
              </w:rPr>
            </w:pPr>
            <w:r w:rsidRPr="00A61847">
              <w:rPr>
                <w:rFonts w:asciiTheme="minorHAnsi" w:hAnsiTheme="minorHAnsi" w:cstheme="minorHAnsi"/>
                <w:b/>
                <w:bCs/>
                <w:color w:val="000000"/>
                <w:sz w:val="22"/>
              </w:rPr>
              <w:t xml:space="preserve">§ 7. </w:t>
            </w:r>
            <w:r w:rsidRPr="00A61847">
              <w:rPr>
                <w:rFonts w:asciiTheme="minorHAnsi" w:hAnsiTheme="minorHAnsi" w:cstheme="minorHAnsi"/>
                <w:color w:val="000000"/>
                <w:sz w:val="22"/>
              </w:rPr>
              <w:t xml:space="preserve">Wanneer een operator op basis van een </w:t>
            </w:r>
            <w:proofErr w:type="spellStart"/>
            <w:r w:rsidRPr="00A61847">
              <w:rPr>
                <w:rFonts w:asciiTheme="minorHAnsi" w:hAnsiTheme="minorHAnsi" w:cstheme="minorHAnsi"/>
                <w:color w:val="000000"/>
                <w:sz w:val="22"/>
              </w:rPr>
              <w:t>voorafbetaalde</w:t>
            </w:r>
            <w:proofErr w:type="spellEnd"/>
            <w:r w:rsidRPr="00A61847">
              <w:rPr>
                <w:rFonts w:asciiTheme="minorHAnsi" w:hAnsiTheme="minorHAnsi" w:cstheme="minorHAnsi"/>
                <w:color w:val="000000"/>
                <w:sz w:val="22"/>
              </w:rPr>
              <w:t xml:space="preserve"> kaart een mobiele </w:t>
            </w:r>
            <w:r w:rsidRPr="00136EDB">
              <w:rPr>
                <w:rFonts w:asciiTheme="minorHAnsi" w:hAnsiTheme="minorHAnsi" w:cstheme="minorHAnsi"/>
                <w:color w:val="000000"/>
                <w:sz w:val="22"/>
              </w:rPr>
              <w:t>elektronische-communicatiedienst aanbiedt aan een abonnee die een rechtspersoon is en die hij identificeert aan de hand van een directe identificatiemethode, vergaart en bewaart hij de burgerlijke identiteit van een natuurlijke persoon die handelt voor rekening van de rechtspersoon met het oog op de inachtneming van de identificatieplicht waarin deze paragraaf voorziet, conform de vereisten vastgelegd in de paragrafen 4 tot 6.</w:t>
            </w:r>
          </w:p>
        </w:tc>
      </w:tr>
      <w:tr w:rsidR="004000A8" w:rsidRPr="00A80C6F" w14:paraId="0970FADD" w14:textId="77777777" w:rsidTr="0025113D">
        <w:tc>
          <w:tcPr>
            <w:tcW w:w="4508" w:type="dxa"/>
          </w:tcPr>
          <w:p w14:paraId="4808E0DD" w14:textId="77777777" w:rsidR="004000A8" w:rsidRPr="00A61847" w:rsidRDefault="004000A8" w:rsidP="004000A8">
            <w:pPr>
              <w:jc w:val="both"/>
              <w:rPr>
                <w:rFonts w:asciiTheme="minorHAnsi" w:hAnsiTheme="minorHAnsi" w:cstheme="minorHAnsi"/>
                <w:sz w:val="22"/>
              </w:rPr>
            </w:pPr>
          </w:p>
        </w:tc>
        <w:tc>
          <w:tcPr>
            <w:tcW w:w="4508" w:type="dxa"/>
          </w:tcPr>
          <w:p w14:paraId="17A754E8" w14:textId="77777777" w:rsidR="004000A8" w:rsidRPr="00A61847" w:rsidRDefault="004000A8" w:rsidP="004000A8">
            <w:pPr>
              <w:jc w:val="both"/>
              <w:rPr>
                <w:rFonts w:asciiTheme="minorHAnsi" w:hAnsiTheme="minorHAnsi" w:cstheme="minorHAnsi"/>
                <w:sz w:val="22"/>
              </w:rPr>
            </w:pPr>
          </w:p>
        </w:tc>
      </w:tr>
      <w:tr w:rsidR="004000A8" w:rsidRPr="00A80C6F" w14:paraId="3B63F3F5" w14:textId="77777777" w:rsidTr="0025113D">
        <w:tc>
          <w:tcPr>
            <w:tcW w:w="4508" w:type="dxa"/>
          </w:tcPr>
          <w:p w14:paraId="4E5494B3" w14:textId="3358E954" w:rsidR="004000A8" w:rsidRPr="00A61847" w:rsidRDefault="004000A8" w:rsidP="004000A8">
            <w:pPr>
              <w:jc w:val="both"/>
              <w:rPr>
                <w:rFonts w:asciiTheme="minorHAnsi" w:hAnsiTheme="minorHAnsi" w:cstheme="minorHAnsi"/>
                <w:sz w:val="22"/>
              </w:rPr>
            </w:pPr>
            <w:r w:rsidRPr="00A61847">
              <w:rPr>
                <w:rFonts w:asciiTheme="minorHAnsi" w:hAnsiTheme="minorHAnsi" w:cstheme="minorHAnsi"/>
                <w:b/>
                <w:bCs/>
                <w:color w:val="000000" w:themeColor="text1"/>
                <w:sz w:val="22"/>
                <w:lang w:val="fr-FR"/>
              </w:rPr>
              <w:t>§ 8.</w:t>
            </w:r>
            <w:r w:rsidRPr="00A61847">
              <w:rPr>
                <w:rFonts w:asciiTheme="minorHAnsi" w:hAnsiTheme="minorHAnsi" w:cstheme="minorHAnsi"/>
                <w:color w:val="000000" w:themeColor="text1"/>
                <w:sz w:val="22"/>
                <w:lang w:val="fr-FR"/>
              </w:rPr>
              <w:t xml:space="preserve"> Le Roi peut:  </w:t>
            </w:r>
          </w:p>
        </w:tc>
        <w:tc>
          <w:tcPr>
            <w:tcW w:w="4508" w:type="dxa"/>
          </w:tcPr>
          <w:p w14:paraId="1DD97B82" w14:textId="74FC0192" w:rsidR="004000A8" w:rsidRPr="00A61847" w:rsidRDefault="004000A8" w:rsidP="004000A8">
            <w:pPr>
              <w:jc w:val="both"/>
              <w:rPr>
                <w:rFonts w:asciiTheme="minorHAnsi" w:hAnsiTheme="minorHAnsi" w:cstheme="minorHAnsi"/>
                <w:sz w:val="22"/>
              </w:rPr>
            </w:pPr>
            <w:r w:rsidRPr="00A61847">
              <w:rPr>
                <w:rFonts w:asciiTheme="minorHAnsi" w:hAnsiTheme="minorHAnsi" w:cstheme="minorHAnsi"/>
                <w:b/>
                <w:bCs/>
                <w:color w:val="000000" w:themeColor="text1"/>
                <w:sz w:val="22"/>
              </w:rPr>
              <w:t>§ 8.</w:t>
            </w:r>
            <w:r w:rsidRPr="00A61847">
              <w:rPr>
                <w:rFonts w:asciiTheme="minorHAnsi" w:hAnsiTheme="minorHAnsi" w:cstheme="minorHAnsi"/>
                <w:color w:val="000000" w:themeColor="text1"/>
                <w:sz w:val="22"/>
              </w:rPr>
              <w:t xml:space="preserve"> De Koning kan:</w:t>
            </w:r>
          </w:p>
        </w:tc>
      </w:tr>
      <w:tr w:rsidR="004000A8" w:rsidRPr="00A80C6F" w14:paraId="637BAC1A" w14:textId="77777777" w:rsidTr="0025113D">
        <w:tc>
          <w:tcPr>
            <w:tcW w:w="4508" w:type="dxa"/>
          </w:tcPr>
          <w:p w14:paraId="329B6321" w14:textId="77777777" w:rsidR="004000A8" w:rsidRPr="00A61847" w:rsidRDefault="004000A8" w:rsidP="004000A8">
            <w:pPr>
              <w:jc w:val="both"/>
              <w:rPr>
                <w:rFonts w:asciiTheme="minorHAnsi" w:hAnsiTheme="minorHAnsi" w:cstheme="minorHAnsi"/>
                <w:sz w:val="22"/>
              </w:rPr>
            </w:pPr>
          </w:p>
        </w:tc>
        <w:tc>
          <w:tcPr>
            <w:tcW w:w="4508" w:type="dxa"/>
          </w:tcPr>
          <w:p w14:paraId="0E36B2F2" w14:textId="77777777" w:rsidR="004000A8" w:rsidRPr="00A61847" w:rsidRDefault="004000A8" w:rsidP="004000A8">
            <w:pPr>
              <w:jc w:val="both"/>
              <w:rPr>
                <w:rFonts w:asciiTheme="minorHAnsi" w:hAnsiTheme="minorHAnsi" w:cstheme="minorHAnsi"/>
                <w:sz w:val="22"/>
              </w:rPr>
            </w:pPr>
          </w:p>
        </w:tc>
      </w:tr>
      <w:tr w:rsidR="004000A8" w:rsidRPr="00A80C6F" w14:paraId="6ABA4F8C" w14:textId="77777777" w:rsidTr="0025113D">
        <w:tc>
          <w:tcPr>
            <w:tcW w:w="4508" w:type="dxa"/>
          </w:tcPr>
          <w:p w14:paraId="1A865882" w14:textId="503D967A" w:rsidR="004000A8" w:rsidRPr="00A61847" w:rsidRDefault="004000A8" w:rsidP="004000A8">
            <w:pPr>
              <w:jc w:val="both"/>
              <w:rPr>
                <w:rFonts w:asciiTheme="minorHAnsi" w:hAnsiTheme="minorHAnsi" w:cstheme="minorHAnsi"/>
                <w:sz w:val="22"/>
                <w:lang w:val="fr-BE"/>
              </w:rPr>
            </w:pPr>
            <w:r w:rsidRPr="00A61847">
              <w:rPr>
                <w:rFonts w:asciiTheme="minorHAnsi" w:hAnsiTheme="minorHAnsi" w:cstheme="minorHAnsi"/>
                <w:sz w:val="22"/>
                <w:lang w:val="fr-FR"/>
              </w:rPr>
              <w:t>1°</w:t>
            </w:r>
            <w:r>
              <w:rPr>
                <w:rFonts w:asciiTheme="minorHAnsi" w:hAnsiTheme="minorHAnsi" w:cstheme="minorHAnsi"/>
                <w:sz w:val="22"/>
                <w:lang w:val="fr-FR"/>
              </w:rPr>
              <w:t xml:space="preserve"> </w:t>
            </w:r>
            <w:r w:rsidRPr="00A61847">
              <w:rPr>
                <w:rFonts w:asciiTheme="minorHAnsi" w:hAnsiTheme="minorHAnsi" w:cstheme="minorHAnsi"/>
                <w:sz w:val="22"/>
                <w:lang w:val="fr-FR"/>
              </w:rPr>
              <w:t xml:space="preserve">déterminer les seules méthodes d’identification directe que les opérateurs peuvent utiliser, y compris prévoir, par méthode, les conditions à respecter et soumettre une méthode d’identification proposée par une entreprise à une autorisation préalable du ministre et du ministre de la Justice ;    </w:t>
            </w:r>
          </w:p>
        </w:tc>
        <w:tc>
          <w:tcPr>
            <w:tcW w:w="4508" w:type="dxa"/>
          </w:tcPr>
          <w:p w14:paraId="2EFE3EC1" w14:textId="456119E4" w:rsidR="004000A8" w:rsidRPr="00A61847" w:rsidRDefault="004000A8" w:rsidP="004000A8">
            <w:pPr>
              <w:jc w:val="both"/>
              <w:rPr>
                <w:rFonts w:asciiTheme="minorHAnsi" w:hAnsiTheme="minorHAnsi" w:cstheme="minorHAnsi"/>
                <w:sz w:val="22"/>
              </w:rPr>
            </w:pPr>
            <w:r w:rsidRPr="00A61847">
              <w:rPr>
                <w:rFonts w:asciiTheme="minorHAnsi" w:eastAsia="Calibri" w:hAnsiTheme="minorHAnsi" w:cstheme="minorHAnsi"/>
                <w:color w:val="000000" w:themeColor="text1"/>
                <w:sz w:val="22"/>
              </w:rPr>
              <w:t xml:space="preserve">1° de </w:t>
            </w:r>
            <w:r w:rsidR="00151618">
              <w:rPr>
                <w:rFonts w:asciiTheme="minorHAnsi" w:eastAsia="Calibri" w:hAnsiTheme="minorHAnsi" w:cstheme="minorHAnsi"/>
                <w:color w:val="000000" w:themeColor="text1"/>
                <w:sz w:val="22"/>
              </w:rPr>
              <w:t>enige</w:t>
            </w:r>
            <w:r w:rsidR="00151618" w:rsidRPr="00A61847">
              <w:rPr>
                <w:rFonts w:asciiTheme="minorHAnsi" w:eastAsia="Calibri" w:hAnsiTheme="minorHAnsi" w:cstheme="minorHAnsi"/>
                <w:color w:val="000000" w:themeColor="text1"/>
                <w:sz w:val="22"/>
              </w:rPr>
              <w:t xml:space="preserve"> </w:t>
            </w:r>
            <w:r w:rsidRPr="00A61847">
              <w:rPr>
                <w:rFonts w:asciiTheme="minorHAnsi" w:eastAsia="Calibri" w:hAnsiTheme="minorHAnsi" w:cstheme="minorHAnsi"/>
                <w:color w:val="000000" w:themeColor="text1"/>
                <w:sz w:val="22"/>
              </w:rPr>
              <w:t>directe identificatiemethodes vastleggen die de operatoren mogen gebruiken, inclusief per methode voorzien in de te vervullen voorwaarden en een door een onderneming voorgestelde identificatiemethode onderwerpen aan een voorafgaande machtiging van de minister en van de minister van Justitie;</w:t>
            </w:r>
          </w:p>
        </w:tc>
      </w:tr>
      <w:tr w:rsidR="004000A8" w:rsidRPr="00A80C6F" w14:paraId="1F92611A" w14:textId="77777777" w:rsidTr="0025113D">
        <w:tc>
          <w:tcPr>
            <w:tcW w:w="4508" w:type="dxa"/>
          </w:tcPr>
          <w:p w14:paraId="088A9B1C" w14:textId="77777777" w:rsidR="004000A8" w:rsidRPr="00A61847" w:rsidRDefault="004000A8" w:rsidP="004000A8">
            <w:pPr>
              <w:jc w:val="both"/>
              <w:rPr>
                <w:rFonts w:asciiTheme="minorHAnsi" w:hAnsiTheme="minorHAnsi" w:cstheme="minorHAnsi"/>
                <w:sz w:val="22"/>
              </w:rPr>
            </w:pPr>
          </w:p>
        </w:tc>
        <w:tc>
          <w:tcPr>
            <w:tcW w:w="4508" w:type="dxa"/>
          </w:tcPr>
          <w:p w14:paraId="486D2E34" w14:textId="77777777" w:rsidR="004000A8" w:rsidRPr="00A61847" w:rsidRDefault="004000A8" w:rsidP="004000A8">
            <w:pPr>
              <w:jc w:val="both"/>
              <w:rPr>
                <w:rFonts w:asciiTheme="minorHAnsi" w:hAnsiTheme="minorHAnsi" w:cstheme="minorHAnsi"/>
                <w:sz w:val="22"/>
              </w:rPr>
            </w:pPr>
          </w:p>
        </w:tc>
      </w:tr>
      <w:tr w:rsidR="004000A8" w:rsidRPr="00A80C6F" w14:paraId="42897F2C" w14:textId="77777777" w:rsidTr="0025113D">
        <w:tc>
          <w:tcPr>
            <w:tcW w:w="4508" w:type="dxa"/>
          </w:tcPr>
          <w:p w14:paraId="6F62BA7C" w14:textId="071CC898" w:rsidR="004000A8" w:rsidRPr="00A61847" w:rsidRDefault="004000A8" w:rsidP="004000A8">
            <w:pPr>
              <w:jc w:val="both"/>
              <w:rPr>
                <w:rFonts w:asciiTheme="minorHAnsi" w:hAnsiTheme="minorHAnsi" w:cstheme="minorHAnsi"/>
                <w:sz w:val="22"/>
                <w:lang w:val="fr-BE"/>
              </w:rPr>
            </w:pPr>
            <w:r w:rsidRPr="00A61847">
              <w:rPr>
                <w:rFonts w:asciiTheme="minorHAnsi" w:hAnsiTheme="minorHAnsi" w:cstheme="minorHAnsi"/>
                <w:color w:val="000000" w:themeColor="text1"/>
                <w:sz w:val="22"/>
                <w:lang w:val="fr-BE"/>
              </w:rPr>
              <w:t xml:space="preserve">2° imposer des obligations aux opérateurs, aux points </w:t>
            </w:r>
            <w:r w:rsidRPr="00A61847">
              <w:rPr>
                <w:rFonts w:asciiTheme="minorHAnsi" w:hAnsiTheme="minorHAnsi" w:cstheme="minorHAnsi"/>
                <w:color w:val="000000"/>
                <w:sz w:val="22"/>
                <w:lang w:val="fr-BE"/>
              </w:rPr>
              <w:t xml:space="preserve">de vente de services de communications électroniques, aux entreprises fournissant un service d’identification et </w:t>
            </w:r>
            <w:r w:rsidRPr="00A61847">
              <w:rPr>
                <w:rFonts w:asciiTheme="minorHAnsi" w:hAnsiTheme="minorHAnsi" w:cstheme="minorHAnsi"/>
                <w:color w:val="000000" w:themeColor="text1"/>
                <w:sz w:val="22"/>
                <w:lang w:val="fr-BE"/>
              </w:rPr>
              <w:t xml:space="preserve">aux abonnés, en vue de l’identification de ces derniers. </w:t>
            </w:r>
          </w:p>
        </w:tc>
        <w:tc>
          <w:tcPr>
            <w:tcW w:w="4508" w:type="dxa"/>
          </w:tcPr>
          <w:p w14:paraId="399920BB" w14:textId="76482C5B" w:rsidR="004000A8" w:rsidRPr="00A61847" w:rsidRDefault="004000A8" w:rsidP="004000A8">
            <w:pPr>
              <w:jc w:val="both"/>
              <w:rPr>
                <w:rFonts w:asciiTheme="minorHAnsi" w:hAnsiTheme="minorHAnsi" w:cstheme="minorHAnsi"/>
                <w:sz w:val="22"/>
              </w:rPr>
            </w:pPr>
            <w:r w:rsidRPr="00A61847">
              <w:rPr>
                <w:rFonts w:asciiTheme="minorHAnsi" w:eastAsia="Calibri" w:hAnsiTheme="minorHAnsi" w:cstheme="minorHAnsi"/>
                <w:color w:val="000000" w:themeColor="text1"/>
                <w:sz w:val="22"/>
              </w:rPr>
              <w:t>2° verplichtingen opleggen aan de operatoren, de verkooppunten van elektronische-communicatiediensten, aan de ondernemingen die een identificatiedienst verstrekken en aan de abonnees, met het oog op de identificatie van deze laatsten.</w:t>
            </w:r>
          </w:p>
        </w:tc>
      </w:tr>
      <w:tr w:rsidR="004000A8" w:rsidRPr="00A80C6F" w14:paraId="0C7EE8D9" w14:textId="77777777" w:rsidTr="0025113D">
        <w:tc>
          <w:tcPr>
            <w:tcW w:w="4508" w:type="dxa"/>
          </w:tcPr>
          <w:p w14:paraId="2FE0A1A3" w14:textId="77777777" w:rsidR="004000A8" w:rsidRPr="00045A81" w:rsidRDefault="004000A8" w:rsidP="004000A8">
            <w:pPr>
              <w:jc w:val="both"/>
              <w:rPr>
                <w:rFonts w:asciiTheme="minorHAnsi" w:hAnsiTheme="minorHAnsi" w:cstheme="minorHAnsi"/>
                <w:sz w:val="22"/>
              </w:rPr>
            </w:pPr>
          </w:p>
        </w:tc>
        <w:tc>
          <w:tcPr>
            <w:tcW w:w="4508" w:type="dxa"/>
          </w:tcPr>
          <w:p w14:paraId="57A5BE35" w14:textId="77777777" w:rsidR="004000A8" w:rsidRPr="00A80C6F" w:rsidRDefault="004000A8" w:rsidP="004000A8">
            <w:pPr>
              <w:jc w:val="both"/>
              <w:rPr>
                <w:rFonts w:asciiTheme="minorHAnsi" w:hAnsiTheme="minorHAnsi" w:cstheme="minorHAnsi"/>
                <w:sz w:val="22"/>
              </w:rPr>
            </w:pPr>
          </w:p>
        </w:tc>
      </w:tr>
      <w:tr w:rsidR="004000A8" w:rsidRPr="00A80C6F" w14:paraId="3449617F" w14:textId="77777777" w:rsidTr="0025113D">
        <w:tc>
          <w:tcPr>
            <w:tcW w:w="4508" w:type="dxa"/>
          </w:tcPr>
          <w:p w14:paraId="7BB78E64" w14:textId="72BCEB16"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b/>
                <w:bCs/>
                <w:color w:val="000000" w:themeColor="text1"/>
                <w:sz w:val="22"/>
                <w:lang w:val="fr-BE"/>
              </w:rPr>
              <w:t>§ 9.</w:t>
            </w:r>
            <w:r w:rsidRPr="00CB6730">
              <w:rPr>
                <w:rFonts w:asciiTheme="minorHAnsi" w:hAnsiTheme="minorHAnsi" w:cstheme="minorHAnsi"/>
                <w:color w:val="000000" w:themeColor="text1"/>
                <w:sz w:val="22"/>
                <w:lang w:val="fr-BE"/>
              </w:rPr>
              <w:t xml:space="preserve"> L</w:t>
            </w:r>
            <w:r w:rsidRPr="00CB6730">
              <w:rPr>
                <w:rFonts w:asciiTheme="minorHAnsi" w:hAnsiTheme="minorHAnsi" w:cstheme="minorHAnsi"/>
                <w:color w:val="000000" w:themeColor="text1"/>
                <w:sz w:val="22"/>
                <w:lang w:val="fr-FR"/>
              </w:rPr>
              <w:t xml:space="preserve">’opérateur </w:t>
            </w:r>
            <w:r w:rsidRPr="00136EDB">
              <w:rPr>
                <w:rFonts w:asciiTheme="minorHAnsi" w:hAnsiTheme="minorHAnsi" w:cstheme="minorHAnsi"/>
                <w:color w:val="000000" w:themeColor="text1"/>
                <w:sz w:val="22"/>
                <w:lang w:val="fr-FR"/>
              </w:rPr>
              <w:t>permet aux autorités visées à l’article 127/1, § 3</w:t>
            </w:r>
            <w:r w:rsidRPr="00136EDB">
              <w:rPr>
                <w:rFonts w:asciiTheme="minorHAnsi" w:hAnsiTheme="minorHAnsi" w:cstheme="minorHAnsi"/>
                <w:color w:val="000000" w:themeColor="text1"/>
                <w:sz w:val="22"/>
                <w:lang w:val="fr-BE"/>
              </w:rPr>
              <w:t>, alinéa 1</w:t>
            </w:r>
            <w:r w:rsidRPr="00136EDB">
              <w:rPr>
                <w:rFonts w:asciiTheme="minorHAnsi" w:hAnsiTheme="minorHAnsi" w:cstheme="minorHAnsi"/>
                <w:color w:val="000000" w:themeColor="text1"/>
                <w:sz w:val="22"/>
                <w:vertAlign w:val="superscript"/>
                <w:lang w:val="fr-BE"/>
              </w:rPr>
              <w:t>er</w:t>
            </w:r>
            <w:r w:rsidRPr="00136EDB">
              <w:rPr>
                <w:rFonts w:asciiTheme="minorHAnsi" w:hAnsiTheme="minorHAnsi" w:cstheme="minorHAnsi"/>
                <w:color w:val="000000" w:themeColor="text1"/>
                <w:sz w:val="22"/>
                <w:lang w:val="fr-FR"/>
              </w:rPr>
              <w:t>, d’identifier ses abonnés par le biais d’une méthode d’identification indirecte :</w:t>
            </w:r>
            <w:r w:rsidRPr="00CB6730">
              <w:rPr>
                <w:rFonts w:asciiTheme="minorHAnsi" w:hAnsiTheme="minorHAnsi" w:cstheme="minorHAnsi"/>
                <w:color w:val="000000" w:themeColor="text1"/>
                <w:sz w:val="22"/>
                <w:lang w:val="fr-FR"/>
              </w:rPr>
              <w:t xml:space="preserve"> </w:t>
            </w:r>
          </w:p>
        </w:tc>
        <w:tc>
          <w:tcPr>
            <w:tcW w:w="4508" w:type="dxa"/>
          </w:tcPr>
          <w:p w14:paraId="4BDE900F" w14:textId="5493A978"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b/>
                <w:bCs/>
                <w:color w:val="000000"/>
                <w:sz w:val="22"/>
              </w:rPr>
              <w:t>§ 9.</w:t>
            </w:r>
            <w:r w:rsidRPr="00CB6730">
              <w:rPr>
                <w:rFonts w:asciiTheme="minorHAnsi" w:hAnsiTheme="minorHAnsi" w:cstheme="minorHAnsi"/>
                <w:color w:val="000000"/>
                <w:sz w:val="22"/>
              </w:rPr>
              <w:t xml:space="preserve"> De operator maakt het voor de autoriteiten bedoeld in artikel 127/1, § 3, eerste lid, mogelijk om zijn abonnees </w:t>
            </w:r>
            <w:r w:rsidRPr="00136EDB">
              <w:rPr>
                <w:rFonts w:asciiTheme="minorHAnsi" w:hAnsiTheme="minorHAnsi" w:cstheme="minorHAnsi"/>
                <w:color w:val="000000"/>
                <w:sz w:val="22"/>
              </w:rPr>
              <w:t>te identificeren via een indirecte identificatiemethode:</w:t>
            </w:r>
          </w:p>
        </w:tc>
      </w:tr>
      <w:tr w:rsidR="004000A8" w:rsidRPr="00A80C6F" w14:paraId="1EDB8509" w14:textId="77777777" w:rsidTr="0025113D">
        <w:tc>
          <w:tcPr>
            <w:tcW w:w="4508" w:type="dxa"/>
          </w:tcPr>
          <w:p w14:paraId="7E2E1B00" w14:textId="77777777" w:rsidR="004000A8" w:rsidRPr="00CB6730" w:rsidRDefault="004000A8" w:rsidP="004000A8">
            <w:pPr>
              <w:jc w:val="both"/>
              <w:rPr>
                <w:rFonts w:asciiTheme="minorHAnsi" w:hAnsiTheme="minorHAnsi" w:cstheme="minorHAnsi"/>
                <w:sz w:val="22"/>
              </w:rPr>
            </w:pPr>
          </w:p>
        </w:tc>
        <w:tc>
          <w:tcPr>
            <w:tcW w:w="4508" w:type="dxa"/>
          </w:tcPr>
          <w:p w14:paraId="49CED559" w14:textId="77777777" w:rsidR="004000A8" w:rsidRPr="00CB6730" w:rsidRDefault="004000A8" w:rsidP="004000A8">
            <w:pPr>
              <w:jc w:val="both"/>
              <w:rPr>
                <w:rFonts w:asciiTheme="minorHAnsi" w:hAnsiTheme="minorHAnsi" w:cstheme="minorHAnsi"/>
                <w:sz w:val="22"/>
              </w:rPr>
            </w:pPr>
          </w:p>
        </w:tc>
      </w:tr>
      <w:tr w:rsidR="004000A8" w:rsidRPr="00A80C6F" w14:paraId="1ADAB09D" w14:textId="77777777" w:rsidTr="0025113D">
        <w:tc>
          <w:tcPr>
            <w:tcW w:w="4508" w:type="dxa"/>
          </w:tcPr>
          <w:p w14:paraId="668B6B9B" w14:textId="2A0970D4" w:rsidR="004000A8" w:rsidRPr="00CB6730" w:rsidRDefault="004000A8" w:rsidP="004000A8">
            <w:pPr>
              <w:jc w:val="both"/>
              <w:rPr>
                <w:rFonts w:asciiTheme="minorHAnsi" w:hAnsiTheme="minorHAnsi" w:cstheme="minorHAnsi"/>
                <w:sz w:val="22"/>
                <w:lang w:val="fr-BE"/>
              </w:rPr>
            </w:pPr>
            <w:bookmarkStart w:id="9" w:name="_Hlk91162072"/>
            <w:r w:rsidRPr="00CB6730">
              <w:rPr>
                <w:rFonts w:asciiTheme="minorHAnsi" w:hAnsiTheme="minorHAnsi" w:cstheme="minorHAnsi"/>
                <w:color w:val="000000" w:themeColor="text1"/>
                <w:sz w:val="22"/>
                <w:lang w:val="fr-FR"/>
              </w:rPr>
              <w:t xml:space="preserve">1°par la conservation, conformément à l’article 126, de l’adresse IP ayant servi à la création du compte </w:t>
            </w:r>
            <w:r w:rsidR="00D36BE4">
              <w:rPr>
                <w:rFonts w:asciiTheme="minorHAnsi" w:hAnsiTheme="minorHAnsi" w:cstheme="minorHAnsi"/>
                <w:color w:val="000000" w:themeColor="text1"/>
                <w:sz w:val="22"/>
                <w:lang w:val="fr-FR"/>
              </w:rPr>
              <w:t xml:space="preserve">qui permet l’utilisation du service de communications électroniques </w:t>
            </w:r>
            <w:r w:rsidRPr="00CB6730">
              <w:rPr>
                <w:rFonts w:asciiTheme="minorHAnsi" w:hAnsiTheme="minorHAnsi" w:cstheme="minorHAnsi"/>
                <w:color w:val="000000" w:themeColor="text1"/>
                <w:sz w:val="22"/>
                <w:lang w:val="fr-FR"/>
              </w:rPr>
              <w:t xml:space="preserve">et des adresses IP à la source de la connexion, l’horodatage </w:t>
            </w:r>
            <w:r w:rsidRPr="00CB6730">
              <w:rPr>
                <w:rFonts w:asciiTheme="minorHAnsi" w:hAnsiTheme="minorHAnsi" w:cstheme="minorHAnsi"/>
                <w:sz w:val="22"/>
                <w:lang w:val="fr-BE"/>
              </w:rPr>
              <w:t>ainsi que, en cas d'utilisation partagée d'une adresse IP de l’utilisateur final, des ports qui lui ont été attribués</w:t>
            </w:r>
            <w:r w:rsidRPr="00CB6730">
              <w:rPr>
                <w:rFonts w:asciiTheme="minorHAnsi" w:hAnsiTheme="minorHAnsi" w:cstheme="minorHAnsi"/>
                <w:color w:val="000000" w:themeColor="text1"/>
                <w:sz w:val="22"/>
                <w:lang w:val="fr-FR"/>
              </w:rPr>
              <w:t xml:space="preserve">, ou ;  </w:t>
            </w:r>
            <w:bookmarkEnd w:id="9"/>
          </w:p>
        </w:tc>
        <w:tc>
          <w:tcPr>
            <w:tcW w:w="4508" w:type="dxa"/>
          </w:tcPr>
          <w:p w14:paraId="0DAC0223" w14:textId="02798923"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color w:val="000000"/>
                <w:sz w:val="22"/>
              </w:rPr>
              <w:t xml:space="preserve">1°door de bewaring, in overeenstemming met artikel 126, van het IP-adres dat werd gebruikt om de account </w:t>
            </w:r>
            <w:r w:rsidR="00D36BE4">
              <w:rPr>
                <w:rFonts w:asciiTheme="minorHAnsi" w:hAnsiTheme="minorHAnsi" w:cstheme="minorHAnsi"/>
                <w:color w:val="000000"/>
                <w:sz w:val="22"/>
              </w:rPr>
              <w:t>ter gebruik van de elektronische- communicatiedienst</w:t>
            </w:r>
            <w:r w:rsidR="00D36BE4" w:rsidRPr="00CB6730">
              <w:rPr>
                <w:rFonts w:asciiTheme="minorHAnsi" w:hAnsiTheme="minorHAnsi" w:cstheme="minorHAnsi"/>
                <w:color w:val="000000"/>
                <w:sz w:val="22"/>
              </w:rPr>
              <w:t xml:space="preserve"> </w:t>
            </w:r>
            <w:r w:rsidRPr="00CB6730">
              <w:rPr>
                <w:rFonts w:asciiTheme="minorHAnsi" w:hAnsiTheme="minorHAnsi" w:cstheme="minorHAnsi"/>
                <w:color w:val="000000"/>
                <w:sz w:val="22"/>
              </w:rPr>
              <w:t>te creëren en de IP-bronadressen van de verbinding, het tijdstempel,</w:t>
            </w:r>
            <w:r w:rsidRPr="00CB6730" w:rsidDel="00671E76">
              <w:rPr>
                <w:rFonts w:asciiTheme="minorHAnsi" w:hAnsiTheme="minorHAnsi" w:cstheme="minorHAnsi"/>
                <w:color w:val="000000"/>
                <w:sz w:val="22"/>
              </w:rPr>
              <w:t xml:space="preserve"> </w:t>
            </w:r>
            <w:r w:rsidRPr="00CB6730">
              <w:rPr>
                <w:rFonts w:asciiTheme="minorHAnsi" w:hAnsiTheme="minorHAnsi" w:cstheme="minorHAnsi"/>
                <w:color w:val="000000"/>
                <w:sz w:val="22"/>
              </w:rPr>
              <w:t xml:space="preserve"> alsook, in geval van gedeeld gebruik van een IP-adres van de eindgebruiker, de toegewezen poorten, of;</w:t>
            </w:r>
          </w:p>
        </w:tc>
      </w:tr>
      <w:tr w:rsidR="004000A8" w:rsidRPr="00A80C6F" w14:paraId="3C4C5D50" w14:textId="77777777" w:rsidTr="0025113D">
        <w:tc>
          <w:tcPr>
            <w:tcW w:w="4508" w:type="dxa"/>
          </w:tcPr>
          <w:p w14:paraId="5652F225" w14:textId="77777777" w:rsidR="004000A8" w:rsidRPr="00CB6730" w:rsidRDefault="004000A8" w:rsidP="004000A8">
            <w:pPr>
              <w:jc w:val="both"/>
              <w:rPr>
                <w:rFonts w:asciiTheme="minorHAnsi" w:hAnsiTheme="minorHAnsi" w:cstheme="minorHAnsi"/>
                <w:sz w:val="22"/>
              </w:rPr>
            </w:pPr>
          </w:p>
        </w:tc>
        <w:tc>
          <w:tcPr>
            <w:tcW w:w="4508" w:type="dxa"/>
          </w:tcPr>
          <w:p w14:paraId="472046E3" w14:textId="77777777" w:rsidR="004000A8" w:rsidRPr="00CB6730" w:rsidRDefault="004000A8" w:rsidP="004000A8">
            <w:pPr>
              <w:jc w:val="both"/>
              <w:rPr>
                <w:rFonts w:asciiTheme="minorHAnsi" w:hAnsiTheme="minorHAnsi" w:cstheme="minorHAnsi"/>
                <w:sz w:val="22"/>
              </w:rPr>
            </w:pPr>
          </w:p>
        </w:tc>
      </w:tr>
      <w:tr w:rsidR="004000A8" w:rsidRPr="00A80C6F" w14:paraId="183CC728" w14:textId="77777777" w:rsidTr="0025113D">
        <w:tc>
          <w:tcPr>
            <w:tcW w:w="4508" w:type="dxa"/>
          </w:tcPr>
          <w:p w14:paraId="58A4A0A6" w14:textId="01296EEB"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themeColor="text1"/>
                <w:sz w:val="22"/>
                <w:lang w:val="fr-FR"/>
              </w:rPr>
              <w:t xml:space="preserve">2° en collectant et conservant le numéro de téléphone de l’abonné attribué dans le cadre </w:t>
            </w:r>
            <w:r w:rsidRPr="00CB6730">
              <w:rPr>
                <w:rFonts w:asciiTheme="minorHAnsi" w:hAnsiTheme="minorHAnsi" w:cstheme="minorHAnsi"/>
                <w:color w:val="000000" w:themeColor="text1"/>
                <w:sz w:val="22"/>
                <w:lang w:val="fr-FR"/>
              </w:rPr>
              <w:lastRenderedPageBreak/>
              <w:t xml:space="preserve">d’un service de communications électroniques payant pour lequel un opérateur doit identifier l’abonné conformément au présent article, ou ; </w:t>
            </w:r>
          </w:p>
        </w:tc>
        <w:tc>
          <w:tcPr>
            <w:tcW w:w="4508" w:type="dxa"/>
          </w:tcPr>
          <w:p w14:paraId="3EB3F14C" w14:textId="2D90D708"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color w:val="000000"/>
                <w:sz w:val="22"/>
              </w:rPr>
              <w:lastRenderedPageBreak/>
              <w:t xml:space="preserve">2° door de vergaring en bewaring van het telefoonnummer van de abonnee dat werd </w:t>
            </w:r>
            <w:r w:rsidRPr="00CB6730">
              <w:rPr>
                <w:rFonts w:asciiTheme="minorHAnsi" w:hAnsiTheme="minorHAnsi" w:cstheme="minorHAnsi"/>
                <w:color w:val="000000"/>
                <w:sz w:val="22"/>
              </w:rPr>
              <w:lastRenderedPageBreak/>
              <w:t>toegewezen in het kader van een elektronische-communicatiebetaaldienst waarvoor een operator de abonnee moet identificeren krachtens onderhavig artikel, of;</w:t>
            </w:r>
          </w:p>
        </w:tc>
      </w:tr>
      <w:tr w:rsidR="004000A8" w:rsidRPr="00A80C6F" w14:paraId="7D323EFF" w14:textId="77777777" w:rsidTr="0025113D">
        <w:tc>
          <w:tcPr>
            <w:tcW w:w="4508" w:type="dxa"/>
          </w:tcPr>
          <w:p w14:paraId="6EB0F523" w14:textId="77777777" w:rsidR="004000A8" w:rsidRPr="00CB6730" w:rsidRDefault="004000A8" w:rsidP="004000A8">
            <w:pPr>
              <w:jc w:val="both"/>
              <w:rPr>
                <w:rFonts w:asciiTheme="minorHAnsi" w:hAnsiTheme="minorHAnsi" w:cstheme="minorHAnsi"/>
                <w:sz w:val="22"/>
              </w:rPr>
            </w:pPr>
          </w:p>
        </w:tc>
        <w:tc>
          <w:tcPr>
            <w:tcW w:w="4508" w:type="dxa"/>
          </w:tcPr>
          <w:p w14:paraId="15B934FB" w14:textId="77777777" w:rsidR="004000A8" w:rsidRPr="00CB6730" w:rsidRDefault="004000A8" w:rsidP="004000A8">
            <w:pPr>
              <w:jc w:val="both"/>
              <w:rPr>
                <w:rFonts w:asciiTheme="minorHAnsi" w:hAnsiTheme="minorHAnsi" w:cstheme="minorHAnsi"/>
                <w:sz w:val="22"/>
              </w:rPr>
            </w:pPr>
          </w:p>
        </w:tc>
      </w:tr>
      <w:tr w:rsidR="004000A8" w:rsidRPr="00A80C6F" w14:paraId="1BBA86E3" w14:textId="77777777" w:rsidTr="0025113D">
        <w:tc>
          <w:tcPr>
            <w:tcW w:w="4508" w:type="dxa"/>
          </w:tcPr>
          <w:p w14:paraId="0BA7B739" w14:textId="56FE8FF9" w:rsidR="004000A8" w:rsidRPr="00CB6730" w:rsidRDefault="004000A8" w:rsidP="004000A8">
            <w:pPr>
              <w:jc w:val="both"/>
              <w:rPr>
                <w:rFonts w:asciiTheme="minorHAnsi" w:hAnsiTheme="minorHAnsi" w:cstheme="minorHAnsi"/>
                <w:sz w:val="22"/>
                <w:lang w:val="fr-BE"/>
              </w:rPr>
            </w:pPr>
            <w:r>
              <w:rPr>
                <w:rFonts w:asciiTheme="minorHAnsi" w:hAnsiTheme="minorHAnsi" w:cstheme="minorHAnsi"/>
                <w:color w:val="000000" w:themeColor="text1"/>
                <w:sz w:val="22"/>
                <w:lang w:val="fr-FR"/>
              </w:rPr>
              <w:t>3</w:t>
            </w:r>
            <w:r>
              <w:rPr>
                <w:rFonts w:asciiTheme="minorHAnsi" w:hAnsiTheme="minorHAnsi" w:cstheme="minorHAnsi"/>
                <w:b/>
                <w:bCs/>
                <w:color w:val="000000"/>
                <w:sz w:val="22"/>
                <w:lang w:val="fr-BE"/>
              </w:rPr>
              <w:t xml:space="preserve">° </w:t>
            </w:r>
            <w:r w:rsidRPr="00CB6730">
              <w:rPr>
                <w:rFonts w:asciiTheme="minorHAnsi" w:hAnsiTheme="minorHAnsi" w:cstheme="minorHAnsi"/>
                <w:color w:val="000000" w:themeColor="text1"/>
                <w:sz w:val="22"/>
                <w:lang w:val="fr-FR"/>
              </w:rPr>
              <w:t xml:space="preserve">en cas de paiement électronique en ligne spécifique à la souscription d’un service de communications électroniques, en collectant et conservant la référence de l’opération de paiement, le  nom, le prénom, le lieu et la date de naissance de l’abonné qui est une personne physique ou qui agit pour le compte d’un abonné qui est une personne morale afin de remplir ses obligations en matière d’identification, ou ; </w:t>
            </w:r>
          </w:p>
        </w:tc>
        <w:tc>
          <w:tcPr>
            <w:tcW w:w="4508" w:type="dxa"/>
          </w:tcPr>
          <w:p w14:paraId="3C2CBF7A" w14:textId="6725BE48"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color w:val="000000"/>
                <w:sz w:val="22"/>
              </w:rPr>
              <w:t>3° in geval van een onlinebetaling specifiek voor de intekening op een elektronische-communicatiedienst, door de vergaring en bewaring van het kenmerk van de betalingsverrichting, de naam, de voornaam, de geboorteplaats en -datum van de abonnee die een natuurlijke persoon is of die handelt voor rekening van een abonnee die een rechtspersoon is teneinde zijn verplichtingen inzake identificatie te vervullen, of:</w:t>
            </w:r>
          </w:p>
        </w:tc>
      </w:tr>
      <w:tr w:rsidR="004000A8" w:rsidRPr="00A80C6F" w14:paraId="11801211" w14:textId="77777777" w:rsidTr="0025113D">
        <w:tc>
          <w:tcPr>
            <w:tcW w:w="4508" w:type="dxa"/>
          </w:tcPr>
          <w:p w14:paraId="5DD56497" w14:textId="77777777" w:rsidR="004000A8" w:rsidRPr="00CB6730" w:rsidRDefault="004000A8" w:rsidP="004000A8">
            <w:pPr>
              <w:jc w:val="both"/>
              <w:rPr>
                <w:rFonts w:asciiTheme="minorHAnsi" w:hAnsiTheme="minorHAnsi" w:cstheme="minorHAnsi"/>
                <w:sz w:val="22"/>
              </w:rPr>
            </w:pPr>
          </w:p>
        </w:tc>
        <w:tc>
          <w:tcPr>
            <w:tcW w:w="4508" w:type="dxa"/>
          </w:tcPr>
          <w:p w14:paraId="5E80E28D" w14:textId="77777777" w:rsidR="004000A8" w:rsidRPr="00CB6730" w:rsidRDefault="004000A8" w:rsidP="004000A8">
            <w:pPr>
              <w:jc w:val="both"/>
              <w:rPr>
                <w:rFonts w:asciiTheme="minorHAnsi" w:hAnsiTheme="minorHAnsi" w:cstheme="minorHAnsi"/>
                <w:sz w:val="22"/>
              </w:rPr>
            </w:pPr>
          </w:p>
        </w:tc>
      </w:tr>
      <w:tr w:rsidR="004000A8" w:rsidRPr="00A80C6F" w14:paraId="56659CE0" w14:textId="77777777" w:rsidTr="0025113D">
        <w:tc>
          <w:tcPr>
            <w:tcW w:w="4508" w:type="dxa"/>
          </w:tcPr>
          <w:p w14:paraId="7941DDA7" w14:textId="3C55BA68"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themeColor="text1"/>
                <w:sz w:val="22"/>
                <w:lang w:val="fr-FR"/>
              </w:rPr>
              <w:t xml:space="preserve">4° en cas de souscription d’un abonné qui réside dans un centre fermé ou un </w:t>
            </w:r>
            <w:r w:rsidRPr="00CB6730">
              <w:rPr>
                <w:rFonts w:asciiTheme="minorHAnsi" w:hAnsiTheme="minorHAnsi" w:cstheme="minorHAnsi"/>
                <w:color w:val="000000" w:themeColor="text1"/>
                <w:sz w:val="22"/>
                <w:lang w:val="fr-BE"/>
              </w:rPr>
              <w:t xml:space="preserve">lieu d’hébergement au sens des articles 74/8 et 74/9 de la loi du </w:t>
            </w:r>
            <w:r w:rsidRPr="00CB6730">
              <w:rPr>
                <w:rFonts w:asciiTheme="minorHAnsi" w:hAnsiTheme="minorHAnsi" w:cstheme="minorHAnsi"/>
                <w:color w:val="000000"/>
                <w:sz w:val="22"/>
                <w:lang w:val="fr-BE"/>
              </w:rPr>
              <w:t xml:space="preserve">15 décembre 1980 sur l'accès au territoire, le séjour, l'établissement et l'éloignement des étrangers </w:t>
            </w:r>
            <w:r w:rsidRPr="00CB6730">
              <w:rPr>
                <w:rFonts w:asciiTheme="minorHAnsi" w:hAnsiTheme="minorHAnsi" w:cstheme="minorHAnsi"/>
                <w:color w:val="000000" w:themeColor="text1"/>
                <w:sz w:val="22"/>
                <w:lang w:val="fr-FR"/>
              </w:rPr>
              <w:t xml:space="preserve">à un </w:t>
            </w:r>
            <w:r w:rsidRPr="00CB6730">
              <w:rPr>
                <w:rFonts w:asciiTheme="minorHAnsi" w:hAnsiTheme="minorHAnsi" w:cstheme="minorHAnsi"/>
                <w:color w:val="000000" w:themeColor="text1"/>
                <w:sz w:val="22"/>
                <w:lang w:val="fr-BE"/>
              </w:rPr>
              <w:t xml:space="preserve">service de communications électroniques mobiles fourni au moyen d'une carte prépayée, en collectant et conservant </w:t>
            </w:r>
            <w:r w:rsidRPr="00CB6730">
              <w:rPr>
                <w:rFonts w:asciiTheme="minorHAnsi" w:hAnsiTheme="minorHAnsi" w:cstheme="minorHAnsi"/>
                <w:color w:val="000000" w:themeColor="text1"/>
                <w:sz w:val="22"/>
                <w:lang w:val="fr-FR"/>
              </w:rPr>
              <w:t xml:space="preserve">le nom et le prénom de l’abonné, son numéro de sécurité publique et les coordonnées du centre ou du </w:t>
            </w:r>
            <w:r w:rsidRPr="00CB6730">
              <w:rPr>
                <w:rFonts w:asciiTheme="minorHAnsi" w:hAnsiTheme="minorHAnsi" w:cstheme="minorHAnsi"/>
                <w:color w:val="000000" w:themeColor="text1"/>
                <w:sz w:val="22"/>
                <w:lang w:val="fr-BE"/>
              </w:rPr>
              <w:t>lieu d’hébergement</w:t>
            </w:r>
            <w:r w:rsidRPr="00CB6730">
              <w:rPr>
                <w:rFonts w:asciiTheme="minorHAnsi" w:hAnsiTheme="minorHAnsi" w:cstheme="minorHAnsi"/>
                <w:color w:val="000000" w:themeColor="text1"/>
                <w:sz w:val="22"/>
                <w:lang w:val="fr-FR"/>
              </w:rPr>
              <w:t xml:space="preserve"> où la souscription a eu lieu, ou ;   </w:t>
            </w:r>
          </w:p>
        </w:tc>
        <w:tc>
          <w:tcPr>
            <w:tcW w:w="4508" w:type="dxa"/>
          </w:tcPr>
          <w:p w14:paraId="6EE15ACF" w14:textId="6FDED33B"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color w:val="000000"/>
                <w:sz w:val="22"/>
              </w:rPr>
              <w:t xml:space="preserve">4° in geval van een intekening van een abonnee die in een gesloten centrum of woonunit verblijft in de zin van de artikelen 74/8 en 74/9 van de wet van 15 december 1980 betreffende de toegang tot het grondgebied, het verblijf, de vestiging en de verwijdering van vreemdelingen, op een mobiele elektronische-communicatiedienst verstrekt door middel van een </w:t>
            </w:r>
            <w:proofErr w:type="spellStart"/>
            <w:r w:rsidRPr="00CB6730">
              <w:rPr>
                <w:rFonts w:asciiTheme="minorHAnsi" w:hAnsiTheme="minorHAnsi" w:cstheme="minorHAnsi"/>
                <w:color w:val="000000"/>
                <w:sz w:val="22"/>
              </w:rPr>
              <w:t>voorafbetaalde</w:t>
            </w:r>
            <w:proofErr w:type="spellEnd"/>
            <w:r w:rsidRPr="00CB6730">
              <w:rPr>
                <w:rFonts w:asciiTheme="minorHAnsi" w:hAnsiTheme="minorHAnsi" w:cstheme="minorHAnsi"/>
                <w:color w:val="000000"/>
                <w:sz w:val="22"/>
              </w:rPr>
              <w:t xml:space="preserve"> kaart, door de vergaring en bewaring van de naam en de voornaam van de abonnee, zijn </w:t>
            </w:r>
            <w:r w:rsidR="00151618">
              <w:rPr>
                <w:rFonts w:asciiTheme="minorHAnsi" w:hAnsiTheme="minorHAnsi" w:cstheme="minorHAnsi"/>
                <w:color w:val="000000"/>
                <w:sz w:val="22"/>
              </w:rPr>
              <w:t>openbaar veiligheids</w:t>
            </w:r>
            <w:r w:rsidRPr="00CB6730">
              <w:rPr>
                <w:rFonts w:asciiTheme="minorHAnsi" w:hAnsiTheme="minorHAnsi" w:cstheme="minorHAnsi"/>
                <w:color w:val="000000"/>
                <w:sz w:val="22"/>
              </w:rPr>
              <w:t>nummer en de contactgegevens van het centrum of de woonunit waar de intekening heeft plaatsgevonden, of:</w:t>
            </w:r>
          </w:p>
        </w:tc>
      </w:tr>
      <w:tr w:rsidR="004000A8" w:rsidRPr="00A80C6F" w14:paraId="5A16CAB9" w14:textId="77777777" w:rsidTr="0025113D">
        <w:tc>
          <w:tcPr>
            <w:tcW w:w="4508" w:type="dxa"/>
          </w:tcPr>
          <w:p w14:paraId="134029F3" w14:textId="77777777" w:rsidR="004000A8" w:rsidRPr="00CB6730" w:rsidRDefault="004000A8" w:rsidP="004000A8">
            <w:pPr>
              <w:jc w:val="both"/>
              <w:rPr>
                <w:rFonts w:asciiTheme="minorHAnsi" w:hAnsiTheme="minorHAnsi" w:cstheme="minorHAnsi"/>
                <w:sz w:val="22"/>
              </w:rPr>
            </w:pPr>
          </w:p>
        </w:tc>
        <w:tc>
          <w:tcPr>
            <w:tcW w:w="4508" w:type="dxa"/>
          </w:tcPr>
          <w:p w14:paraId="1F960A53" w14:textId="77777777" w:rsidR="004000A8" w:rsidRPr="00CB6730" w:rsidRDefault="004000A8" w:rsidP="004000A8">
            <w:pPr>
              <w:jc w:val="both"/>
              <w:rPr>
                <w:rFonts w:asciiTheme="minorHAnsi" w:hAnsiTheme="minorHAnsi" w:cstheme="minorHAnsi"/>
                <w:sz w:val="22"/>
              </w:rPr>
            </w:pPr>
          </w:p>
        </w:tc>
      </w:tr>
      <w:tr w:rsidR="004000A8" w:rsidRPr="00A80C6F" w14:paraId="32FD2D89" w14:textId="77777777" w:rsidTr="0025113D">
        <w:tc>
          <w:tcPr>
            <w:tcW w:w="4508" w:type="dxa"/>
          </w:tcPr>
          <w:p w14:paraId="376BFA5E" w14:textId="026213F8"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themeColor="text1"/>
                <w:sz w:val="22"/>
                <w:lang w:val="fr-BE"/>
              </w:rPr>
              <w:t xml:space="preserve">5° en collectant et conservant </w:t>
            </w:r>
            <w:r w:rsidRPr="00CB6730">
              <w:rPr>
                <w:rFonts w:asciiTheme="minorHAnsi" w:hAnsiTheme="minorHAnsi" w:cstheme="minorHAnsi"/>
                <w:color w:val="000000"/>
                <w:sz w:val="22"/>
                <w:lang w:val="fr-BE"/>
              </w:rPr>
              <w:t>les données fixées par le Roi, pour l</w:t>
            </w:r>
            <w:r w:rsidRPr="00CB6730">
              <w:rPr>
                <w:rFonts w:asciiTheme="minorHAnsi" w:hAnsiTheme="minorHAnsi" w:cstheme="minorHAnsi"/>
                <w:color w:val="000000" w:themeColor="text1"/>
                <w:sz w:val="22"/>
                <w:lang w:val="fr-BE"/>
              </w:rPr>
              <w:t>es services de communications électroniques visés au paragraphe 2, alinéa 2, 1° et 3°.</w:t>
            </w:r>
          </w:p>
        </w:tc>
        <w:tc>
          <w:tcPr>
            <w:tcW w:w="4508" w:type="dxa"/>
          </w:tcPr>
          <w:p w14:paraId="4470B5D9" w14:textId="07A4B630"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color w:val="000000"/>
                <w:sz w:val="22"/>
              </w:rPr>
              <w:t>5° door de vergaring en bewaring van de gegevens vastgelegd door de Koning, voor de elektronische-communicatiediensten bedoeld in paragraaf 2, tweede lid, 1° en 3°.</w:t>
            </w:r>
          </w:p>
        </w:tc>
      </w:tr>
      <w:tr w:rsidR="004000A8" w:rsidRPr="00A80C6F" w14:paraId="22C72F79" w14:textId="77777777" w:rsidTr="0025113D">
        <w:tc>
          <w:tcPr>
            <w:tcW w:w="4508" w:type="dxa"/>
          </w:tcPr>
          <w:p w14:paraId="35C8A33B" w14:textId="77777777" w:rsidR="004000A8" w:rsidRPr="00CB6730" w:rsidRDefault="004000A8" w:rsidP="004000A8">
            <w:pPr>
              <w:jc w:val="both"/>
              <w:rPr>
                <w:rFonts w:asciiTheme="minorHAnsi" w:hAnsiTheme="minorHAnsi" w:cstheme="minorHAnsi"/>
                <w:sz w:val="22"/>
              </w:rPr>
            </w:pPr>
          </w:p>
        </w:tc>
        <w:tc>
          <w:tcPr>
            <w:tcW w:w="4508" w:type="dxa"/>
          </w:tcPr>
          <w:p w14:paraId="6D2AECB1" w14:textId="77777777" w:rsidR="004000A8" w:rsidRPr="00CB6730" w:rsidRDefault="004000A8" w:rsidP="004000A8">
            <w:pPr>
              <w:jc w:val="both"/>
              <w:rPr>
                <w:rFonts w:asciiTheme="minorHAnsi" w:hAnsiTheme="minorHAnsi" w:cstheme="minorHAnsi"/>
                <w:sz w:val="22"/>
              </w:rPr>
            </w:pPr>
          </w:p>
        </w:tc>
      </w:tr>
      <w:tr w:rsidR="004000A8" w:rsidRPr="00A80C6F" w14:paraId="34E82682" w14:textId="77777777" w:rsidTr="0025113D">
        <w:tc>
          <w:tcPr>
            <w:tcW w:w="4508" w:type="dxa"/>
          </w:tcPr>
          <w:p w14:paraId="4E750175" w14:textId="54EDFF8B"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themeColor="text1"/>
                <w:sz w:val="22"/>
                <w:lang w:val="fr-BE"/>
              </w:rPr>
              <w:t>Le Roi peut fixer les conditions à respecter pour les méthodes visées à l’alinéa 1</w:t>
            </w:r>
            <w:r w:rsidRPr="00CB6730">
              <w:rPr>
                <w:rFonts w:asciiTheme="minorHAnsi" w:hAnsiTheme="minorHAnsi" w:cstheme="minorHAnsi"/>
                <w:color w:val="000000" w:themeColor="text1"/>
                <w:sz w:val="22"/>
                <w:vertAlign w:val="superscript"/>
                <w:lang w:val="fr-BE"/>
              </w:rPr>
              <w:t xml:space="preserve">er </w:t>
            </w:r>
            <w:r w:rsidRPr="00CB6730">
              <w:rPr>
                <w:rFonts w:asciiTheme="minorHAnsi" w:hAnsiTheme="minorHAnsi" w:cstheme="minorHAnsi"/>
                <w:color w:val="000000" w:themeColor="text1"/>
                <w:sz w:val="22"/>
                <w:lang w:val="fr-BE"/>
              </w:rPr>
              <w:t>et</w:t>
            </w:r>
            <w:r w:rsidRPr="00CB6730">
              <w:rPr>
                <w:rFonts w:asciiTheme="minorHAnsi" w:hAnsiTheme="minorHAnsi" w:cstheme="minorHAnsi"/>
                <w:color w:val="000000" w:themeColor="text1"/>
                <w:sz w:val="22"/>
                <w:vertAlign w:val="superscript"/>
                <w:lang w:val="fr-BE"/>
              </w:rPr>
              <w:t xml:space="preserve"> </w:t>
            </w:r>
            <w:r w:rsidRPr="00CB6730">
              <w:rPr>
                <w:rFonts w:asciiTheme="minorHAnsi" w:hAnsiTheme="minorHAnsi" w:cstheme="minorHAnsi"/>
                <w:color w:val="000000" w:themeColor="text1"/>
                <w:sz w:val="22"/>
                <w:lang w:val="fr-BE"/>
              </w:rPr>
              <w:t xml:space="preserve">imposer des obligations aux opérateurs, </w:t>
            </w:r>
            <w:r w:rsidRPr="00CB6730">
              <w:rPr>
                <w:rFonts w:asciiTheme="minorHAnsi" w:hAnsiTheme="minorHAnsi" w:cstheme="minorHAnsi"/>
                <w:color w:val="000000"/>
                <w:sz w:val="22"/>
                <w:lang w:val="fr-BE"/>
              </w:rPr>
              <w:t xml:space="preserve"> aux entreprises fournissant un service d'identification et </w:t>
            </w:r>
            <w:r w:rsidRPr="00CB6730">
              <w:rPr>
                <w:rFonts w:asciiTheme="minorHAnsi" w:hAnsiTheme="minorHAnsi" w:cstheme="minorHAnsi"/>
                <w:color w:val="000000" w:themeColor="text1"/>
                <w:sz w:val="22"/>
                <w:lang w:val="fr-BE"/>
              </w:rPr>
              <w:t xml:space="preserve">aux abonnés, en vue de l’identification de ces derniers. </w:t>
            </w:r>
          </w:p>
        </w:tc>
        <w:tc>
          <w:tcPr>
            <w:tcW w:w="4508" w:type="dxa"/>
          </w:tcPr>
          <w:p w14:paraId="79C5D0CC" w14:textId="77E1C5A2"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color w:val="000000"/>
                <w:sz w:val="22"/>
              </w:rPr>
              <w:t xml:space="preserve">De Koning kan de voorwaarden vastleggen die moeten worden nageleefd voor de methodes bedoeld in het eerste lid en verplichtingen opleggen aan de operatoren, </w:t>
            </w:r>
            <w:r w:rsidR="007D71FB">
              <w:rPr>
                <w:rFonts w:asciiTheme="minorHAnsi" w:hAnsiTheme="minorHAnsi" w:cstheme="minorHAnsi"/>
                <w:color w:val="000000"/>
                <w:sz w:val="22"/>
              </w:rPr>
              <w:t xml:space="preserve">aan </w:t>
            </w:r>
            <w:r w:rsidRPr="00CB6730">
              <w:rPr>
                <w:rFonts w:asciiTheme="minorHAnsi" w:hAnsiTheme="minorHAnsi" w:cstheme="minorHAnsi"/>
                <w:color w:val="000000"/>
                <w:sz w:val="22"/>
              </w:rPr>
              <w:t xml:space="preserve">de ondernemingen die een identificatiedienst verstrekken en </w:t>
            </w:r>
            <w:r w:rsidR="007D71FB">
              <w:rPr>
                <w:rFonts w:asciiTheme="minorHAnsi" w:hAnsiTheme="minorHAnsi" w:cstheme="minorHAnsi"/>
                <w:color w:val="000000"/>
                <w:sz w:val="22"/>
              </w:rPr>
              <w:t xml:space="preserve">aan </w:t>
            </w:r>
            <w:r w:rsidRPr="00CB6730">
              <w:rPr>
                <w:rFonts w:asciiTheme="minorHAnsi" w:hAnsiTheme="minorHAnsi" w:cstheme="minorHAnsi"/>
                <w:color w:val="000000"/>
                <w:sz w:val="22"/>
              </w:rPr>
              <w:t>de abonnees, met het oog op de identificatie van deze laatsten.</w:t>
            </w:r>
          </w:p>
        </w:tc>
      </w:tr>
      <w:tr w:rsidR="004000A8" w:rsidRPr="00A80C6F" w14:paraId="686C5C68" w14:textId="77777777" w:rsidTr="0025113D">
        <w:tc>
          <w:tcPr>
            <w:tcW w:w="4508" w:type="dxa"/>
          </w:tcPr>
          <w:p w14:paraId="491A2191" w14:textId="77777777" w:rsidR="004000A8" w:rsidRPr="00045A81" w:rsidRDefault="004000A8" w:rsidP="004000A8">
            <w:pPr>
              <w:jc w:val="both"/>
              <w:rPr>
                <w:rFonts w:asciiTheme="minorHAnsi" w:hAnsiTheme="minorHAnsi" w:cstheme="minorHAnsi"/>
                <w:sz w:val="22"/>
              </w:rPr>
            </w:pPr>
          </w:p>
        </w:tc>
        <w:tc>
          <w:tcPr>
            <w:tcW w:w="4508" w:type="dxa"/>
          </w:tcPr>
          <w:p w14:paraId="0A869770" w14:textId="77777777" w:rsidR="004000A8" w:rsidRPr="00A80C6F" w:rsidRDefault="004000A8" w:rsidP="004000A8">
            <w:pPr>
              <w:jc w:val="both"/>
              <w:rPr>
                <w:rFonts w:asciiTheme="minorHAnsi" w:hAnsiTheme="minorHAnsi" w:cstheme="minorHAnsi"/>
                <w:sz w:val="22"/>
              </w:rPr>
            </w:pPr>
          </w:p>
        </w:tc>
      </w:tr>
      <w:tr w:rsidR="004000A8" w:rsidRPr="00A80C6F" w14:paraId="65F78A62" w14:textId="77777777" w:rsidTr="0025113D">
        <w:tc>
          <w:tcPr>
            <w:tcW w:w="4508" w:type="dxa"/>
          </w:tcPr>
          <w:p w14:paraId="3FE1DA01" w14:textId="15499DC7"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b/>
                <w:bCs/>
                <w:color w:val="000000"/>
                <w:sz w:val="22"/>
                <w:lang w:val="fr-BE"/>
              </w:rPr>
              <w:t xml:space="preserve">§ 10. </w:t>
            </w:r>
            <w:r w:rsidRPr="00CB6730">
              <w:rPr>
                <w:rFonts w:asciiTheme="minorHAnsi" w:hAnsiTheme="minorHAnsi" w:cstheme="minorHAnsi"/>
                <w:color w:val="000000" w:themeColor="text1"/>
                <w:sz w:val="22"/>
                <w:lang w:val="fr-FR"/>
              </w:rPr>
              <w:t xml:space="preserve">Sauf preuve contraire, </w:t>
            </w:r>
            <w:r w:rsidRPr="00CB6730">
              <w:rPr>
                <w:rFonts w:asciiTheme="minorHAnsi" w:hAnsiTheme="minorHAnsi" w:cstheme="minorHAnsi"/>
                <w:color w:val="000000"/>
                <w:sz w:val="22"/>
                <w:lang w:val="fr-BE"/>
              </w:rPr>
              <w:t>la personne identifiée</w:t>
            </w:r>
            <w:r w:rsidRPr="00CB6730">
              <w:rPr>
                <w:rFonts w:asciiTheme="minorHAnsi" w:hAnsiTheme="minorHAnsi" w:cstheme="minorHAnsi"/>
                <w:color w:val="000000" w:themeColor="text1"/>
                <w:sz w:val="22"/>
                <w:lang w:val="fr-FR"/>
              </w:rPr>
              <w:t xml:space="preserve"> est présumé</w:t>
            </w:r>
            <w:r w:rsidRPr="00CB6730">
              <w:rPr>
                <w:rFonts w:asciiTheme="minorHAnsi" w:hAnsiTheme="minorHAnsi" w:cstheme="minorHAnsi"/>
                <w:strike/>
                <w:color w:val="000000" w:themeColor="text1"/>
                <w:sz w:val="22"/>
                <w:lang w:val="fr-FR"/>
              </w:rPr>
              <w:t>e</w:t>
            </w:r>
            <w:r w:rsidRPr="00CB6730">
              <w:rPr>
                <w:rFonts w:asciiTheme="minorHAnsi" w:hAnsiTheme="minorHAnsi" w:cstheme="minorHAnsi"/>
                <w:color w:val="000000" w:themeColor="text1"/>
                <w:sz w:val="22"/>
                <w:lang w:val="fr-FR"/>
              </w:rPr>
              <w:t xml:space="preserve"> utiliser elle-même le service de communications électroniques.</w:t>
            </w:r>
          </w:p>
        </w:tc>
        <w:tc>
          <w:tcPr>
            <w:tcW w:w="4508" w:type="dxa"/>
          </w:tcPr>
          <w:p w14:paraId="56751D72" w14:textId="44369FB4"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b/>
                <w:bCs/>
                <w:color w:val="000000"/>
                <w:sz w:val="22"/>
              </w:rPr>
              <w:t xml:space="preserve">§ 10. </w:t>
            </w:r>
            <w:r w:rsidRPr="00CB6730">
              <w:rPr>
                <w:rFonts w:asciiTheme="minorHAnsi" w:hAnsiTheme="minorHAnsi" w:cstheme="minorHAnsi"/>
                <w:color w:val="000000"/>
                <w:sz w:val="22"/>
              </w:rPr>
              <w:t>Behoudens tegenbewijs wordt de geïdentificeerde persoon geacht zelf de elektronische-communicatiedienst te gebruiken.</w:t>
            </w:r>
          </w:p>
        </w:tc>
      </w:tr>
      <w:tr w:rsidR="004000A8" w:rsidRPr="00A80C6F" w14:paraId="71AC2DF0" w14:textId="77777777" w:rsidTr="0025113D">
        <w:tc>
          <w:tcPr>
            <w:tcW w:w="4508" w:type="dxa"/>
          </w:tcPr>
          <w:p w14:paraId="6484C7FD" w14:textId="77777777" w:rsidR="004000A8" w:rsidRPr="00CB6730" w:rsidRDefault="004000A8" w:rsidP="004000A8">
            <w:pPr>
              <w:jc w:val="both"/>
              <w:rPr>
                <w:rFonts w:asciiTheme="minorHAnsi" w:hAnsiTheme="minorHAnsi" w:cstheme="minorHAnsi"/>
                <w:sz w:val="22"/>
              </w:rPr>
            </w:pPr>
          </w:p>
        </w:tc>
        <w:tc>
          <w:tcPr>
            <w:tcW w:w="4508" w:type="dxa"/>
          </w:tcPr>
          <w:p w14:paraId="54F90E73" w14:textId="77777777" w:rsidR="004000A8" w:rsidRPr="00CB6730" w:rsidRDefault="004000A8" w:rsidP="004000A8">
            <w:pPr>
              <w:jc w:val="both"/>
              <w:rPr>
                <w:rFonts w:asciiTheme="minorHAnsi" w:hAnsiTheme="minorHAnsi" w:cstheme="minorHAnsi"/>
                <w:sz w:val="22"/>
              </w:rPr>
            </w:pPr>
          </w:p>
        </w:tc>
      </w:tr>
      <w:tr w:rsidR="004000A8" w:rsidRPr="00A80C6F" w14:paraId="52181BEB" w14:textId="77777777" w:rsidTr="0025113D">
        <w:tc>
          <w:tcPr>
            <w:tcW w:w="4508" w:type="dxa"/>
          </w:tcPr>
          <w:p w14:paraId="756B3A0F" w14:textId="3F77F90D"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sz w:val="22"/>
                <w:lang w:val="fr-BE"/>
              </w:rPr>
              <w:t xml:space="preserve">Une personne morale peut souscrire à un service de communications électroniques au nom et </w:t>
            </w:r>
            <w:r w:rsidRPr="00CB6730">
              <w:rPr>
                <w:rFonts w:asciiTheme="minorHAnsi" w:hAnsiTheme="minorHAnsi" w:cstheme="minorHAnsi"/>
                <w:color w:val="000000"/>
                <w:sz w:val="22"/>
                <w:lang w:val="fr-BE"/>
              </w:rPr>
              <w:lastRenderedPageBreak/>
              <w:t xml:space="preserve">pour le compte de personnes physiques, qui sont les abonnés, pour autant : </w:t>
            </w:r>
          </w:p>
        </w:tc>
        <w:tc>
          <w:tcPr>
            <w:tcW w:w="4508" w:type="dxa"/>
          </w:tcPr>
          <w:p w14:paraId="2D9F449E" w14:textId="789A3C63" w:rsidR="004000A8" w:rsidRPr="00947C96" w:rsidRDefault="004000A8" w:rsidP="004000A8">
            <w:pPr>
              <w:jc w:val="both"/>
              <w:rPr>
                <w:rFonts w:asciiTheme="minorHAnsi" w:hAnsiTheme="minorHAnsi" w:cstheme="minorHAnsi"/>
                <w:color w:val="000000"/>
                <w:sz w:val="22"/>
              </w:rPr>
            </w:pPr>
            <w:r w:rsidRPr="00CB6730">
              <w:rPr>
                <w:rFonts w:asciiTheme="minorHAnsi" w:hAnsiTheme="minorHAnsi" w:cstheme="minorHAnsi"/>
                <w:color w:val="000000"/>
                <w:sz w:val="22"/>
              </w:rPr>
              <w:lastRenderedPageBreak/>
              <w:t xml:space="preserve">Een rechtspersoon kan intekenen op een elektronische-communicatiedienst op naam en </w:t>
            </w:r>
            <w:r w:rsidRPr="00CB6730">
              <w:rPr>
                <w:rFonts w:asciiTheme="minorHAnsi" w:hAnsiTheme="minorHAnsi" w:cstheme="minorHAnsi"/>
                <w:color w:val="000000"/>
                <w:sz w:val="22"/>
              </w:rPr>
              <w:lastRenderedPageBreak/>
              <w:t>voor rekening van natuurlijke personen, die de abonnees zijn, voor zover:</w:t>
            </w:r>
          </w:p>
        </w:tc>
      </w:tr>
      <w:tr w:rsidR="004000A8" w:rsidRPr="00A80C6F" w14:paraId="2B9A170A" w14:textId="77777777" w:rsidTr="0025113D">
        <w:tc>
          <w:tcPr>
            <w:tcW w:w="4508" w:type="dxa"/>
          </w:tcPr>
          <w:p w14:paraId="01F3DAE5" w14:textId="77777777" w:rsidR="004000A8" w:rsidRPr="00CB6730" w:rsidRDefault="004000A8" w:rsidP="004000A8">
            <w:pPr>
              <w:jc w:val="both"/>
              <w:rPr>
                <w:rFonts w:asciiTheme="minorHAnsi" w:hAnsiTheme="minorHAnsi" w:cstheme="minorHAnsi"/>
                <w:sz w:val="22"/>
              </w:rPr>
            </w:pPr>
          </w:p>
        </w:tc>
        <w:tc>
          <w:tcPr>
            <w:tcW w:w="4508" w:type="dxa"/>
          </w:tcPr>
          <w:p w14:paraId="0321327A" w14:textId="77777777" w:rsidR="004000A8" w:rsidRPr="00CB6730" w:rsidRDefault="004000A8" w:rsidP="004000A8">
            <w:pPr>
              <w:jc w:val="both"/>
              <w:rPr>
                <w:rFonts w:asciiTheme="minorHAnsi" w:hAnsiTheme="minorHAnsi" w:cstheme="minorHAnsi"/>
                <w:sz w:val="22"/>
              </w:rPr>
            </w:pPr>
          </w:p>
        </w:tc>
      </w:tr>
      <w:tr w:rsidR="004000A8" w:rsidRPr="00A80C6F" w14:paraId="02ADAC7C" w14:textId="77777777" w:rsidTr="0025113D">
        <w:tc>
          <w:tcPr>
            <w:tcW w:w="4508" w:type="dxa"/>
          </w:tcPr>
          <w:p w14:paraId="5172A542" w14:textId="500BABE8"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sz w:val="22"/>
                <w:lang w:val="fr-BE"/>
              </w:rPr>
              <w:t xml:space="preserve">1° qu’elle s’identifie auprès de l’opérateur, cette identification se faisant conformément aux exigences du paragraphe 7 lorsque </w:t>
            </w:r>
            <w:r w:rsidRPr="00CB6730">
              <w:rPr>
                <w:rFonts w:asciiTheme="minorHAnsi" w:hAnsiTheme="minorHAnsi" w:cstheme="minorHAnsi"/>
                <w:color w:val="000000" w:themeColor="text1"/>
                <w:sz w:val="22"/>
                <w:lang w:val="fr-FR"/>
              </w:rPr>
              <w:t xml:space="preserve">le service de communications électroniques auquel il est souscrit est un service mobile fourni sur la base d'une carte prépayée ; </w:t>
            </w:r>
          </w:p>
        </w:tc>
        <w:tc>
          <w:tcPr>
            <w:tcW w:w="4508" w:type="dxa"/>
          </w:tcPr>
          <w:p w14:paraId="363AA3E1" w14:textId="6ACECC8E"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sz w:val="22"/>
              </w:rPr>
              <w:t xml:space="preserve">1° hij zich identificeert bij de operator, deze identificatie gebeurt conform de vereisten van paragraaf 7 wanneer de elektronische-communicatiedienst waarop er wordt ingeschreven een mobiele dienst is aangeboden op basis van een </w:t>
            </w:r>
            <w:proofErr w:type="spellStart"/>
            <w:r w:rsidRPr="00CB6730">
              <w:rPr>
                <w:rFonts w:asciiTheme="minorHAnsi" w:hAnsiTheme="minorHAnsi" w:cstheme="minorHAnsi"/>
                <w:sz w:val="22"/>
              </w:rPr>
              <w:t>voorafbetaalde</w:t>
            </w:r>
            <w:proofErr w:type="spellEnd"/>
            <w:r w:rsidRPr="00CB6730">
              <w:rPr>
                <w:rFonts w:asciiTheme="minorHAnsi" w:hAnsiTheme="minorHAnsi" w:cstheme="minorHAnsi"/>
                <w:sz w:val="22"/>
              </w:rPr>
              <w:t xml:space="preserve"> kaart;</w:t>
            </w:r>
          </w:p>
        </w:tc>
      </w:tr>
      <w:tr w:rsidR="004000A8" w:rsidRPr="00A80C6F" w14:paraId="15786176" w14:textId="77777777" w:rsidTr="0025113D">
        <w:tc>
          <w:tcPr>
            <w:tcW w:w="4508" w:type="dxa"/>
          </w:tcPr>
          <w:p w14:paraId="5BBEB7EF" w14:textId="77777777" w:rsidR="004000A8" w:rsidRPr="00CB6730" w:rsidRDefault="004000A8" w:rsidP="004000A8">
            <w:pPr>
              <w:jc w:val="both"/>
              <w:rPr>
                <w:rFonts w:asciiTheme="minorHAnsi" w:hAnsiTheme="minorHAnsi" w:cstheme="minorHAnsi"/>
                <w:sz w:val="22"/>
              </w:rPr>
            </w:pPr>
          </w:p>
        </w:tc>
        <w:tc>
          <w:tcPr>
            <w:tcW w:w="4508" w:type="dxa"/>
          </w:tcPr>
          <w:p w14:paraId="3EA33015" w14:textId="77777777" w:rsidR="004000A8" w:rsidRPr="00CB6730" w:rsidRDefault="004000A8" w:rsidP="004000A8">
            <w:pPr>
              <w:jc w:val="both"/>
              <w:rPr>
                <w:rFonts w:asciiTheme="minorHAnsi" w:hAnsiTheme="minorHAnsi" w:cstheme="minorHAnsi"/>
                <w:sz w:val="22"/>
              </w:rPr>
            </w:pPr>
          </w:p>
        </w:tc>
      </w:tr>
      <w:tr w:rsidR="004000A8" w:rsidRPr="00A80C6F" w14:paraId="6FC69306" w14:textId="77777777" w:rsidTr="0025113D">
        <w:tc>
          <w:tcPr>
            <w:tcW w:w="4508" w:type="dxa"/>
          </w:tcPr>
          <w:p w14:paraId="463F9873" w14:textId="1A8A454C"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sz w:val="22"/>
                <w:lang w:val="fr-BE"/>
              </w:rPr>
              <w:t xml:space="preserve">2° qu’elle conserve une liste actualisée permettant de faire le lien entre le service de communications électroniques et les abonnés, comprenant au minimum le nom, le prénom et le numéro de registre national de l’abonné ;  </w:t>
            </w:r>
            <w:r w:rsidRPr="00CB6730">
              <w:rPr>
                <w:rFonts w:asciiTheme="minorHAnsi" w:hAnsiTheme="minorHAnsi" w:cstheme="minorHAnsi"/>
                <w:b/>
                <w:bCs/>
                <w:color w:val="000000"/>
                <w:sz w:val="22"/>
                <w:lang w:val="fr-BE"/>
              </w:rPr>
              <w:t xml:space="preserve"> </w:t>
            </w:r>
            <w:r w:rsidRPr="00CB6730">
              <w:rPr>
                <w:rFonts w:asciiTheme="minorHAnsi" w:hAnsiTheme="minorHAnsi" w:cstheme="minorHAnsi"/>
                <w:color w:val="000000"/>
                <w:sz w:val="22"/>
                <w:lang w:val="fr-BE"/>
              </w:rPr>
              <w:t xml:space="preserve"> </w:t>
            </w:r>
          </w:p>
        </w:tc>
        <w:tc>
          <w:tcPr>
            <w:tcW w:w="4508" w:type="dxa"/>
          </w:tcPr>
          <w:p w14:paraId="10C8508B" w14:textId="459122B1"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sz w:val="22"/>
              </w:rPr>
              <w:t>2° hij een geactualiseerde lijst bewaart aan de hand waarvan het verband kan worden vastgesteld tussen de elektronische-communicatiedienst en de abonnees, met daarin ten minste de naam, de voornaam en het rijksregisternummer van de abonnee;</w:t>
            </w:r>
          </w:p>
        </w:tc>
      </w:tr>
      <w:tr w:rsidR="004000A8" w:rsidRPr="00A80C6F" w14:paraId="40570E15" w14:textId="77777777" w:rsidTr="0025113D">
        <w:tc>
          <w:tcPr>
            <w:tcW w:w="4508" w:type="dxa"/>
          </w:tcPr>
          <w:p w14:paraId="300345AA" w14:textId="77777777" w:rsidR="004000A8" w:rsidRPr="00CB6730" w:rsidRDefault="004000A8" w:rsidP="004000A8">
            <w:pPr>
              <w:jc w:val="both"/>
              <w:rPr>
                <w:rFonts w:asciiTheme="minorHAnsi" w:hAnsiTheme="minorHAnsi" w:cstheme="minorHAnsi"/>
                <w:sz w:val="22"/>
              </w:rPr>
            </w:pPr>
          </w:p>
        </w:tc>
        <w:tc>
          <w:tcPr>
            <w:tcW w:w="4508" w:type="dxa"/>
          </w:tcPr>
          <w:p w14:paraId="08946799" w14:textId="77777777" w:rsidR="004000A8" w:rsidRPr="00CB6730" w:rsidRDefault="004000A8" w:rsidP="004000A8">
            <w:pPr>
              <w:jc w:val="both"/>
              <w:rPr>
                <w:rFonts w:asciiTheme="minorHAnsi" w:hAnsiTheme="minorHAnsi" w:cstheme="minorHAnsi"/>
                <w:sz w:val="22"/>
              </w:rPr>
            </w:pPr>
          </w:p>
        </w:tc>
      </w:tr>
      <w:tr w:rsidR="004000A8" w:rsidRPr="00A80C6F" w14:paraId="16B5A55F" w14:textId="77777777" w:rsidTr="0025113D">
        <w:tc>
          <w:tcPr>
            <w:tcW w:w="4508" w:type="dxa"/>
          </w:tcPr>
          <w:p w14:paraId="66C409A1" w14:textId="6BECAEF9"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sz w:val="22"/>
                <w:lang w:val="fr-BE"/>
              </w:rPr>
              <w:t>3° qu’elle identifie les abonnés à l’aide d’un des documents d’identité visés au paragraphe 5, conformément aux exigences de fiabilité visées au paragraphe 4, alinéa 1</w:t>
            </w:r>
            <w:r w:rsidRPr="00CB6730">
              <w:rPr>
                <w:rFonts w:asciiTheme="minorHAnsi" w:hAnsiTheme="minorHAnsi" w:cstheme="minorHAnsi"/>
                <w:color w:val="000000"/>
                <w:sz w:val="22"/>
                <w:vertAlign w:val="superscript"/>
                <w:lang w:val="fr-BE"/>
              </w:rPr>
              <w:t>er</w:t>
            </w:r>
            <w:r w:rsidRPr="00CB6730">
              <w:rPr>
                <w:rFonts w:asciiTheme="minorHAnsi" w:hAnsiTheme="minorHAnsi" w:cstheme="minorHAnsi"/>
                <w:color w:val="000000"/>
                <w:sz w:val="22"/>
                <w:lang w:val="fr-BE"/>
              </w:rPr>
              <w:t xml:space="preserve"> et 2 ; </w:t>
            </w:r>
          </w:p>
        </w:tc>
        <w:tc>
          <w:tcPr>
            <w:tcW w:w="4508" w:type="dxa"/>
          </w:tcPr>
          <w:p w14:paraId="09B242B4" w14:textId="72017C04"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color w:val="000000"/>
                <w:sz w:val="22"/>
              </w:rPr>
              <w:t>3° hij de abonnees identificeert aan de hand van een van de identiteitsstukken bedoeld in paragraaf 5, conform de vereisten inzake betrouwbaarheid bedoeld in paragraaf 4, eerste en tweede lid;</w:t>
            </w:r>
          </w:p>
        </w:tc>
      </w:tr>
      <w:tr w:rsidR="004000A8" w:rsidRPr="00A80C6F" w14:paraId="611AA9E1" w14:textId="77777777" w:rsidTr="0025113D">
        <w:tc>
          <w:tcPr>
            <w:tcW w:w="4508" w:type="dxa"/>
          </w:tcPr>
          <w:p w14:paraId="5195E6E8" w14:textId="77777777" w:rsidR="004000A8" w:rsidRPr="00CB6730" w:rsidRDefault="004000A8" w:rsidP="004000A8">
            <w:pPr>
              <w:jc w:val="both"/>
              <w:rPr>
                <w:rFonts w:asciiTheme="minorHAnsi" w:hAnsiTheme="minorHAnsi" w:cstheme="minorHAnsi"/>
                <w:sz w:val="22"/>
              </w:rPr>
            </w:pPr>
          </w:p>
        </w:tc>
        <w:tc>
          <w:tcPr>
            <w:tcW w:w="4508" w:type="dxa"/>
          </w:tcPr>
          <w:p w14:paraId="7EC8315D" w14:textId="77777777" w:rsidR="004000A8" w:rsidRPr="00CB6730" w:rsidRDefault="004000A8" w:rsidP="004000A8">
            <w:pPr>
              <w:jc w:val="both"/>
              <w:rPr>
                <w:rFonts w:asciiTheme="minorHAnsi" w:hAnsiTheme="minorHAnsi" w:cstheme="minorHAnsi"/>
                <w:sz w:val="22"/>
              </w:rPr>
            </w:pPr>
          </w:p>
        </w:tc>
      </w:tr>
      <w:tr w:rsidR="004000A8" w:rsidRPr="00A80C6F" w14:paraId="76DBB0D5" w14:textId="77777777" w:rsidTr="0025113D">
        <w:tc>
          <w:tcPr>
            <w:tcW w:w="4508" w:type="dxa"/>
          </w:tcPr>
          <w:p w14:paraId="56F4088F" w14:textId="2386F084"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sz w:val="22"/>
                <w:lang w:val="fr-BE"/>
              </w:rPr>
              <w:t xml:space="preserve">4° qu’elle fournisse à l’opérateur une copie </w:t>
            </w:r>
            <w:r>
              <w:rPr>
                <w:rFonts w:asciiTheme="minorHAnsi" w:hAnsiTheme="minorHAnsi" w:cstheme="minorHAnsi"/>
                <w:color w:val="000000"/>
                <w:sz w:val="22"/>
                <w:lang w:val="fr-BE"/>
              </w:rPr>
              <w:t xml:space="preserve">du </w:t>
            </w:r>
            <w:r w:rsidRPr="00CB6730">
              <w:rPr>
                <w:rFonts w:asciiTheme="minorHAnsi" w:hAnsiTheme="minorHAnsi" w:cstheme="minorHAnsi"/>
                <w:color w:val="000000" w:themeColor="text1"/>
                <w:sz w:val="22"/>
                <w:lang w:val="fr-FR"/>
              </w:rPr>
              <w:t xml:space="preserve"> </w:t>
            </w:r>
            <w:r>
              <w:rPr>
                <w:rFonts w:asciiTheme="minorHAnsi" w:hAnsiTheme="minorHAnsi" w:cstheme="minorHAnsi"/>
                <w:color w:val="000000" w:themeColor="text1"/>
                <w:sz w:val="22"/>
                <w:lang w:val="fr-FR"/>
              </w:rPr>
              <w:t>document d’identification</w:t>
            </w:r>
            <w:r w:rsidRPr="00CB6730">
              <w:rPr>
                <w:rFonts w:asciiTheme="minorHAnsi" w:hAnsiTheme="minorHAnsi" w:cstheme="minorHAnsi"/>
                <w:color w:val="000000" w:themeColor="text1"/>
                <w:sz w:val="22"/>
                <w:lang w:val="fr-FR"/>
              </w:rPr>
              <w:t xml:space="preserve"> des abonnés, sauf lorsqu’il s’agit de la carte d’identité électronique belge, conformément au paragraphe 5, alinéa 3</w:t>
            </w:r>
            <w:r w:rsidRPr="00CB6730">
              <w:rPr>
                <w:rFonts w:asciiTheme="minorHAnsi" w:hAnsiTheme="minorHAnsi" w:cstheme="minorHAnsi"/>
                <w:color w:val="000000"/>
                <w:sz w:val="22"/>
                <w:lang w:val="fr-BE"/>
              </w:rPr>
              <w:t>.</w:t>
            </w:r>
          </w:p>
        </w:tc>
        <w:tc>
          <w:tcPr>
            <w:tcW w:w="4508" w:type="dxa"/>
          </w:tcPr>
          <w:p w14:paraId="6AF93E66" w14:textId="088B458D"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sz w:val="22"/>
              </w:rPr>
              <w:t xml:space="preserve">4° hij de operator een kopie van het </w:t>
            </w:r>
            <w:r>
              <w:rPr>
                <w:rFonts w:asciiTheme="minorHAnsi" w:hAnsiTheme="minorHAnsi" w:cstheme="minorHAnsi"/>
                <w:color w:val="000000" w:themeColor="text1"/>
                <w:sz w:val="22"/>
              </w:rPr>
              <w:t>identificatiedocument</w:t>
            </w:r>
            <w:r w:rsidR="007611B5">
              <w:rPr>
                <w:rFonts w:asciiTheme="minorHAnsi" w:hAnsiTheme="minorHAnsi" w:cstheme="minorHAnsi"/>
                <w:color w:val="000000" w:themeColor="text1"/>
                <w:sz w:val="22"/>
              </w:rPr>
              <w:t xml:space="preserve"> </w:t>
            </w:r>
            <w:r w:rsidRPr="00CB6730">
              <w:rPr>
                <w:rFonts w:asciiTheme="minorHAnsi" w:hAnsiTheme="minorHAnsi" w:cstheme="minorHAnsi"/>
                <w:sz w:val="22"/>
              </w:rPr>
              <w:t>van de abonnees verstrekt, behalve wanneer het gaat om de Belgische elektronische identiteitskaart, conform paragraaf 5, derde lid.</w:t>
            </w:r>
          </w:p>
        </w:tc>
      </w:tr>
      <w:tr w:rsidR="004000A8" w:rsidRPr="00A80C6F" w14:paraId="010BEF55" w14:textId="77777777" w:rsidTr="0025113D">
        <w:tc>
          <w:tcPr>
            <w:tcW w:w="4508" w:type="dxa"/>
          </w:tcPr>
          <w:p w14:paraId="651BDD3A" w14:textId="77777777" w:rsidR="004000A8" w:rsidRPr="00CB6730" w:rsidRDefault="004000A8" w:rsidP="004000A8">
            <w:pPr>
              <w:jc w:val="both"/>
              <w:rPr>
                <w:rFonts w:asciiTheme="minorHAnsi" w:hAnsiTheme="minorHAnsi" w:cstheme="minorHAnsi"/>
                <w:sz w:val="22"/>
              </w:rPr>
            </w:pPr>
          </w:p>
        </w:tc>
        <w:tc>
          <w:tcPr>
            <w:tcW w:w="4508" w:type="dxa"/>
          </w:tcPr>
          <w:p w14:paraId="7902F207" w14:textId="77777777" w:rsidR="004000A8" w:rsidRPr="00CB6730" w:rsidRDefault="004000A8" w:rsidP="004000A8">
            <w:pPr>
              <w:jc w:val="both"/>
              <w:rPr>
                <w:rFonts w:asciiTheme="minorHAnsi" w:hAnsiTheme="minorHAnsi" w:cstheme="minorHAnsi"/>
                <w:sz w:val="22"/>
              </w:rPr>
            </w:pPr>
          </w:p>
        </w:tc>
      </w:tr>
      <w:tr w:rsidR="004000A8" w:rsidRPr="00281341" w14:paraId="3C08DE16" w14:textId="77777777" w:rsidTr="0025113D">
        <w:tc>
          <w:tcPr>
            <w:tcW w:w="4508" w:type="dxa"/>
          </w:tcPr>
          <w:p w14:paraId="23021C15" w14:textId="1208DF47" w:rsidR="004000A8" w:rsidRPr="00CA2966" w:rsidRDefault="004000A8" w:rsidP="004000A8">
            <w:pPr>
              <w:jc w:val="both"/>
              <w:rPr>
                <w:rFonts w:asciiTheme="minorHAnsi" w:hAnsiTheme="minorHAnsi" w:cstheme="minorHAnsi"/>
                <w:sz w:val="22"/>
                <w:lang w:val="fr-BE"/>
              </w:rPr>
            </w:pPr>
            <w:r w:rsidRPr="00CA2966">
              <w:rPr>
                <w:rFonts w:asciiTheme="minorHAnsi" w:hAnsiTheme="minorHAnsi" w:cstheme="minorHAnsi"/>
                <w:sz w:val="22"/>
                <w:lang w:val="fr-BE"/>
              </w:rPr>
              <w:t>La personne morale conserve le</w:t>
            </w:r>
            <w:r>
              <w:rPr>
                <w:rFonts w:asciiTheme="minorHAnsi" w:hAnsiTheme="minorHAnsi" w:cstheme="minorHAnsi"/>
                <w:sz w:val="22"/>
                <w:lang w:val="fr-BE"/>
              </w:rPr>
              <w:t>s données relatives à un abonné dans la liste actualisée visée alinéa 2, 2°, pendant la durée du service de communications électroniques et douze mois après la fin de ce service</w:t>
            </w:r>
            <w:r w:rsidR="007611B5">
              <w:rPr>
                <w:rFonts w:asciiTheme="minorHAnsi" w:hAnsiTheme="minorHAnsi" w:cstheme="minorHAnsi"/>
                <w:sz w:val="22"/>
                <w:lang w:val="fr-BE"/>
              </w:rPr>
              <w:t>.</w:t>
            </w:r>
          </w:p>
        </w:tc>
        <w:tc>
          <w:tcPr>
            <w:tcW w:w="4508" w:type="dxa"/>
          </w:tcPr>
          <w:p w14:paraId="22FC16F1" w14:textId="68540564" w:rsidR="004000A8" w:rsidRPr="00281341" w:rsidRDefault="004000A8" w:rsidP="004000A8">
            <w:pPr>
              <w:jc w:val="both"/>
              <w:rPr>
                <w:rFonts w:asciiTheme="minorHAnsi" w:hAnsiTheme="minorHAnsi" w:cstheme="minorHAnsi"/>
                <w:sz w:val="22"/>
              </w:rPr>
            </w:pPr>
            <w:r w:rsidRPr="00281341">
              <w:rPr>
                <w:rFonts w:asciiTheme="minorHAnsi" w:hAnsiTheme="minorHAnsi" w:cstheme="minorHAnsi"/>
                <w:sz w:val="22"/>
              </w:rPr>
              <w:t>De rechtspersoon bewaart de gegevens met betrekking tot een abonnee in de geactualiseerde lijst waarvan sprake in het tweede lid, 2°, voor de duur van de elektronische-communicatiedienst en twaalf maanden na het einde van die dienst.</w:t>
            </w:r>
          </w:p>
        </w:tc>
      </w:tr>
      <w:tr w:rsidR="004000A8" w:rsidRPr="00281341" w14:paraId="63BD52A7" w14:textId="77777777" w:rsidTr="0025113D">
        <w:tc>
          <w:tcPr>
            <w:tcW w:w="4508" w:type="dxa"/>
          </w:tcPr>
          <w:p w14:paraId="49A9F6E7" w14:textId="77777777" w:rsidR="004000A8" w:rsidRPr="00281341" w:rsidRDefault="004000A8" w:rsidP="004000A8">
            <w:pPr>
              <w:jc w:val="both"/>
              <w:rPr>
                <w:rFonts w:asciiTheme="minorHAnsi" w:hAnsiTheme="minorHAnsi" w:cstheme="minorHAnsi"/>
                <w:sz w:val="22"/>
              </w:rPr>
            </w:pPr>
          </w:p>
        </w:tc>
        <w:tc>
          <w:tcPr>
            <w:tcW w:w="4508" w:type="dxa"/>
          </w:tcPr>
          <w:p w14:paraId="1871E079" w14:textId="77777777" w:rsidR="004000A8" w:rsidRPr="00281341" w:rsidRDefault="004000A8" w:rsidP="004000A8">
            <w:pPr>
              <w:jc w:val="both"/>
              <w:rPr>
                <w:rFonts w:asciiTheme="minorHAnsi" w:hAnsiTheme="minorHAnsi" w:cstheme="minorHAnsi"/>
                <w:sz w:val="22"/>
              </w:rPr>
            </w:pPr>
          </w:p>
        </w:tc>
      </w:tr>
      <w:tr w:rsidR="004000A8" w:rsidRPr="00A80C6F" w14:paraId="41184CB9" w14:textId="77777777" w:rsidTr="0025113D">
        <w:tc>
          <w:tcPr>
            <w:tcW w:w="4508" w:type="dxa"/>
          </w:tcPr>
          <w:p w14:paraId="41E93BDD" w14:textId="76EBC3F3"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themeColor="text1"/>
                <w:sz w:val="22"/>
                <w:lang w:val="fr-BE"/>
              </w:rPr>
              <w:t>P</w:t>
            </w:r>
            <w:proofErr w:type="spellStart"/>
            <w:r w:rsidRPr="00CB6730">
              <w:rPr>
                <w:rFonts w:asciiTheme="minorHAnsi" w:hAnsiTheme="minorHAnsi" w:cstheme="minorHAnsi"/>
                <w:color w:val="000000" w:themeColor="text1"/>
                <w:sz w:val="22"/>
                <w:lang w:val="fr-FR"/>
              </w:rPr>
              <w:t>our</w:t>
            </w:r>
            <w:proofErr w:type="spellEnd"/>
            <w:r w:rsidRPr="00CB6730">
              <w:rPr>
                <w:rFonts w:asciiTheme="minorHAnsi" w:hAnsiTheme="minorHAnsi" w:cstheme="minorHAnsi"/>
                <w:color w:val="000000" w:themeColor="text1"/>
                <w:sz w:val="22"/>
                <w:lang w:val="fr-FR"/>
              </w:rPr>
              <w:t xml:space="preserve"> les services de communications électroniques</w:t>
            </w:r>
            <w:r w:rsidRPr="00CB6730">
              <w:rPr>
                <w:rFonts w:asciiTheme="minorHAnsi" w:hAnsiTheme="minorHAnsi" w:cstheme="minorHAnsi"/>
                <w:color w:val="000000" w:themeColor="text1"/>
                <w:sz w:val="22"/>
                <w:lang w:val="fr-BE"/>
              </w:rPr>
              <w:t xml:space="preserve"> mobiles fournis au moyen d'une carte prépayée, l</w:t>
            </w:r>
            <w:r w:rsidRPr="00CB6730">
              <w:rPr>
                <w:rFonts w:asciiTheme="minorHAnsi" w:hAnsiTheme="minorHAnsi" w:cstheme="minorHAnsi"/>
                <w:color w:val="000000" w:themeColor="text1"/>
                <w:sz w:val="22"/>
                <w:lang w:val="fr-FR"/>
              </w:rPr>
              <w:t>e Roi</w:t>
            </w:r>
            <w:r>
              <w:rPr>
                <w:rFonts w:asciiTheme="minorHAnsi" w:hAnsiTheme="minorHAnsi" w:cstheme="minorHAnsi"/>
                <w:color w:val="000000" w:themeColor="text1"/>
                <w:sz w:val="22"/>
                <w:lang w:val="fr-FR"/>
              </w:rPr>
              <w:t xml:space="preserve"> </w:t>
            </w:r>
            <w:r w:rsidRPr="00CB6730">
              <w:rPr>
                <w:rFonts w:asciiTheme="minorHAnsi" w:hAnsiTheme="minorHAnsi" w:cstheme="minorHAnsi"/>
                <w:color w:val="000000" w:themeColor="text1"/>
                <w:sz w:val="22"/>
                <w:lang w:val="fr-FR"/>
              </w:rPr>
              <w:t xml:space="preserve">:  </w:t>
            </w:r>
          </w:p>
        </w:tc>
        <w:tc>
          <w:tcPr>
            <w:tcW w:w="4508" w:type="dxa"/>
          </w:tcPr>
          <w:p w14:paraId="2BAA58AA" w14:textId="7F85A295"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color w:val="000000" w:themeColor="text1"/>
                <w:sz w:val="22"/>
              </w:rPr>
              <w:t xml:space="preserve">De Koning kan, voor de mobiele elektronische-communicatiediensten verstrekt op basis van een </w:t>
            </w:r>
            <w:proofErr w:type="spellStart"/>
            <w:r w:rsidRPr="00CB6730">
              <w:rPr>
                <w:rFonts w:asciiTheme="minorHAnsi" w:hAnsiTheme="minorHAnsi" w:cstheme="minorHAnsi"/>
                <w:color w:val="000000" w:themeColor="text1"/>
                <w:sz w:val="22"/>
              </w:rPr>
              <w:t>voorafbetaalde</w:t>
            </w:r>
            <w:proofErr w:type="spellEnd"/>
            <w:r w:rsidRPr="00CB6730">
              <w:rPr>
                <w:rFonts w:asciiTheme="minorHAnsi" w:hAnsiTheme="minorHAnsi" w:cstheme="minorHAnsi"/>
                <w:color w:val="000000" w:themeColor="text1"/>
                <w:sz w:val="22"/>
              </w:rPr>
              <w:t xml:space="preserve"> kaart:</w:t>
            </w:r>
          </w:p>
        </w:tc>
      </w:tr>
      <w:tr w:rsidR="004000A8" w:rsidRPr="00A80C6F" w14:paraId="4349F0A1" w14:textId="77777777" w:rsidTr="0025113D">
        <w:tc>
          <w:tcPr>
            <w:tcW w:w="4508" w:type="dxa"/>
          </w:tcPr>
          <w:p w14:paraId="5C441C50" w14:textId="77777777" w:rsidR="004000A8" w:rsidRPr="00CB6730" w:rsidRDefault="004000A8" w:rsidP="004000A8">
            <w:pPr>
              <w:jc w:val="both"/>
              <w:rPr>
                <w:rFonts w:asciiTheme="minorHAnsi" w:hAnsiTheme="minorHAnsi" w:cstheme="minorHAnsi"/>
                <w:sz w:val="22"/>
              </w:rPr>
            </w:pPr>
          </w:p>
        </w:tc>
        <w:tc>
          <w:tcPr>
            <w:tcW w:w="4508" w:type="dxa"/>
          </w:tcPr>
          <w:p w14:paraId="3BFF115D" w14:textId="77777777" w:rsidR="004000A8" w:rsidRPr="00CB6730" w:rsidRDefault="004000A8" w:rsidP="004000A8">
            <w:pPr>
              <w:jc w:val="both"/>
              <w:rPr>
                <w:rFonts w:asciiTheme="minorHAnsi" w:hAnsiTheme="minorHAnsi" w:cstheme="minorHAnsi"/>
                <w:sz w:val="22"/>
              </w:rPr>
            </w:pPr>
          </w:p>
        </w:tc>
      </w:tr>
      <w:tr w:rsidR="004000A8" w:rsidRPr="00A80C6F" w14:paraId="2D52FC81" w14:textId="77777777" w:rsidTr="0025113D">
        <w:tc>
          <w:tcPr>
            <w:tcW w:w="4508" w:type="dxa"/>
          </w:tcPr>
          <w:p w14:paraId="06A13426" w14:textId="44BB262A"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themeColor="text1"/>
                <w:sz w:val="22"/>
                <w:lang w:val="fr-BE"/>
              </w:rPr>
              <w:t>1° r</w:t>
            </w:r>
            <w:proofErr w:type="spellStart"/>
            <w:r w:rsidRPr="00CB6730">
              <w:rPr>
                <w:rFonts w:asciiTheme="minorHAnsi" w:hAnsiTheme="minorHAnsi" w:cstheme="minorHAnsi"/>
                <w:color w:val="000000" w:themeColor="text1"/>
                <w:sz w:val="22"/>
                <w:lang w:val="fr-FR"/>
              </w:rPr>
              <w:t>estreint</w:t>
            </w:r>
            <w:proofErr w:type="spellEnd"/>
            <w:r w:rsidRPr="00CB6730">
              <w:rPr>
                <w:rFonts w:asciiTheme="minorHAnsi" w:hAnsiTheme="minorHAnsi" w:cstheme="minorHAnsi"/>
                <w:color w:val="000000" w:themeColor="text1"/>
                <w:sz w:val="22"/>
                <w:lang w:val="fr-FR"/>
              </w:rPr>
              <w:t xml:space="preserve"> la possibilité pour l’abonné de permettre à des tiers de bénéficier du service;  </w:t>
            </w:r>
          </w:p>
        </w:tc>
        <w:tc>
          <w:tcPr>
            <w:tcW w:w="4508" w:type="dxa"/>
          </w:tcPr>
          <w:p w14:paraId="715A393E" w14:textId="5AB3F2CC" w:rsidR="004000A8" w:rsidRPr="00CB6730" w:rsidRDefault="004000A8" w:rsidP="004000A8">
            <w:pPr>
              <w:jc w:val="both"/>
              <w:rPr>
                <w:rFonts w:asciiTheme="minorHAnsi" w:hAnsiTheme="minorHAnsi" w:cstheme="minorHAnsi"/>
                <w:sz w:val="22"/>
              </w:rPr>
            </w:pPr>
            <w:r w:rsidRPr="00CB6730">
              <w:rPr>
                <w:rFonts w:asciiTheme="minorHAnsi" w:eastAsia="Calibri" w:hAnsiTheme="minorHAnsi" w:cstheme="minorHAnsi"/>
                <w:color w:val="000000" w:themeColor="text1"/>
                <w:sz w:val="22"/>
              </w:rPr>
              <w:t>1° de mogelijkheid beperken voor de abonnee om derden gebruik te laten maken van de dienst;</w:t>
            </w:r>
          </w:p>
        </w:tc>
      </w:tr>
      <w:tr w:rsidR="004000A8" w:rsidRPr="00A80C6F" w14:paraId="01121185" w14:textId="77777777" w:rsidTr="0025113D">
        <w:tc>
          <w:tcPr>
            <w:tcW w:w="4508" w:type="dxa"/>
          </w:tcPr>
          <w:p w14:paraId="63ADB9CD" w14:textId="77777777" w:rsidR="004000A8" w:rsidRPr="00CB6730" w:rsidRDefault="004000A8" w:rsidP="004000A8">
            <w:pPr>
              <w:jc w:val="both"/>
              <w:rPr>
                <w:rFonts w:asciiTheme="minorHAnsi" w:hAnsiTheme="minorHAnsi" w:cstheme="minorHAnsi"/>
                <w:sz w:val="22"/>
              </w:rPr>
            </w:pPr>
          </w:p>
        </w:tc>
        <w:tc>
          <w:tcPr>
            <w:tcW w:w="4508" w:type="dxa"/>
          </w:tcPr>
          <w:p w14:paraId="1ABDDE9E" w14:textId="77777777" w:rsidR="004000A8" w:rsidRPr="00CB6730" w:rsidRDefault="004000A8" w:rsidP="004000A8">
            <w:pPr>
              <w:jc w:val="both"/>
              <w:rPr>
                <w:rFonts w:asciiTheme="minorHAnsi" w:hAnsiTheme="minorHAnsi" w:cstheme="minorHAnsi"/>
                <w:sz w:val="22"/>
              </w:rPr>
            </w:pPr>
          </w:p>
        </w:tc>
      </w:tr>
      <w:tr w:rsidR="004000A8" w:rsidRPr="00A80C6F" w14:paraId="6FDAE644" w14:textId="77777777" w:rsidTr="0025113D">
        <w:tc>
          <w:tcPr>
            <w:tcW w:w="4508" w:type="dxa"/>
          </w:tcPr>
          <w:p w14:paraId="2D36BEAF" w14:textId="44765845"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themeColor="text1"/>
                <w:sz w:val="22"/>
                <w:lang w:val="fr-FR"/>
              </w:rPr>
              <w:t xml:space="preserve">2° impose des obligations aux abonnés qui sont des personnes morales afin de déterminer les utilisateurs effectifs du service.  </w:t>
            </w:r>
          </w:p>
        </w:tc>
        <w:tc>
          <w:tcPr>
            <w:tcW w:w="4508" w:type="dxa"/>
          </w:tcPr>
          <w:p w14:paraId="283E0F3A" w14:textId="0B2538F2" w:rsidR="004000A8" w:rsidRPr="00CB6730" w:rsidRDefault="004000A8" w:rsidP="004000A8">
            <w:pPr>
              <w:jc w:val="both"/>
              <w:rPr>
                <w:rFonts w:asciiTheme="minorHAnsi" w:hAnsiTheme="minorHAnsi" w:cstheme="minorHAnsi"/>
                <w:sz w:val="22"/>
              </w:rPr>
            </w:pPr>
            <w:r w:rsidRPr="00CB6730">
              <w:rPr>
                <w:rFonts w:asciiTheme="minorHAnsi" w:eastAsia="Calibri" w:hAnsiTheme="minorHAnsi" w:cstheme="minorHAnsi"/>
                <w:color w:val="000000" w:themeColor="text1"/>
                <w:sz w:val="22"/>
              </w:rPr>
              <w:t>2° verplichtingen opleggen aan de abonnees die rechtspersonen zijn om de werkelijke gebruikers van de dienst te identificeren.</w:t>
            </w:r>
          </w:p>
        </w:tc>
      </w:tr>
      <w:tr w:rsidR="004000A8" w:rsidRPr="00A80C6F" w14:paraId="7E54B0FB" w14:textId="77777777" w:rsidTr="0025113D">
        <w:tc>
          <w:tcPr>
            <w:tcW w:w="4508" w:type="dxa"/>
          </w:tcPr>
          <w:p w14:paraId="3BC0BE1F" w14:textId="77777777" w:rsidR="004000A8" w:rsidRPr="00CB6730" w:rsidRDefault="004000A8" w:rsidP="004000A8">
            <w:pPr>
              <w:jc w:val="both"/>
              <w:rPr>
                <w:rFonts w:asciiTheme="minorHAnsi" w:hAnsiTheme="minorHAnsi" w:cstheme="minorHAnsi"/>
                <w:sz w:val="22"/>
              </w:rPr>
            </w:pPr>
          </w:p>
        </w:tc>
        <w:tc>
          <w:tcPr>
            <w:tcW w:w="4508" w:type="dxa"/>
          </w:tcPr>
          <w:p w14:paraId="6C4A6D6C" w14:textId="77777777" w:rsidR="004000A8" w:rsidRPr="00CB6730" w:rsidRDefault="004000A8" w:rsidP="004000A8">
            <w:pPr>
              <w:jc w:val="both"/>
              <w:rPr>
                <w:rFonts w:asciiTheme="minorHAnsi" w:hAnsiTheme="minorHAnsi" w:cstheme="minorHAnsi"/>
                <w:sz w:val="22"/>
              </w:rPr>
            </w:pPr>
          </w:p>
        </w:tc>
      </w:tr>
      <w:tr w:rsidR="004000A8" w:rsidRPr="00A80C6F" w14:paraId="128A9482" w14:textId="77777777" w:rsidTr="0025113D">
        <w:tc>
          <w:tcPr>
            <w:tcW w:w="4508" w:type="dxa"/>
          </w:tcPr>
          <w:p w14:paraId="4DEA8108" w14:textId="6F93A4FE"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sz w:val="22"/>
                <w:lang w:val="fr-BE"/>
              </w:rPr>
              <w:t>L’opérateur conserve le numéro de châssis du véhicule dans lequel une de ses cartes SIM (« </w:t>
            </w:r>
            <w:proofErr w:type="spellStart"/>
            <w:r w:rsidRPr="00CB6730">
              <w:rPr>
                <w:rFonts w:asciiTheme="minorHAnsi" w:hAnsiTheme="minorHAnsi" w:cstheme="minorHAnsi"/>
                <w:sz w:val="22"/>
                <w:lang w:val="fr-BE"/>
              </w:rPr>
              <w:t>subscriber</w:t>
            </w:r>
            <w:proofErr w:type="spellEnd"/>
            <w:r w:rsidRPr="00CB6730">
              <w:rPr>
                <w:rFonts w:asciiTheme="minorHAnsi" w:hAnsiTheme="minorHAnsi" w:cstheme="minorHAnsi"/>
                <w:sz w:val="22"/>
                <w:lang w:val="fr-BE"/>
              </w:rPr>
              <w:t xml:space="preserve"> </w:t>
            </w:r>
            <w:proofErr w:type="spellStart"/>
            <w:r w:rsidRPr="00CB6730">
              <w:rPr>
                <w:rFonts w:asciiTheme="minorHAnsi" w:hAnsiTheme="minorHAnsi" w:cstheme="minorHAnsi"/>
                <w:sz w:val="22"/>
                <w:lang w:val="fr-BE"/>
              </w:rPr>
              <w:t>identity</w:t>
            </w:r>
            <w:proofErr w:type="spellEnd"/>
            <w:r w:rsidRPr="00CB6730">
              <w:rPr>
                <w:rFonts w:asciiTheme="minorHAnsi" w:hAnsiTheme="minorHAnsi" w:cstheme="minorHAnsi"/>
                <w:sz w:val="22"/>
                <w:lang w:val="fr-BE"/>
              </w:rPr>
              <w:t xml:space="preserve">/identification module ») </w:t>
            </w:r>
            <w:r w:rsidRPr="00CB6730">
              <w:rPr>
                <w:rFonts w:asciiTheme="minorHAnsi" w:hAnsiTheme="minorHAnsi" w:cstheme="minorHAnsi"/>
                <w:sz w:val="22"/>
                <w:lang w:val="fr-BE"/>
              </w:rPr>
              <w:lastRenderedPageBreak/>
              <w:t>ou toute carte équivalente a été intégrée, ainsi que lien entre le numéro de châssis et le numéro de cette carte, à partir de la date d’activation du service de communications électroniques jusqu’à douze mois après la fin du service.</w:t>
            </w:r>
          </w:p>
        </w:tc>
        <w:tc>
          <w:tcPr>
            <w:tcW w:w="4508" w:type="dxa"/>
          </w:tcPr>
          <w:p w14:paraId="3864EAA5" w14:textId="0B7B5688" w:rsidR="004000A8" w:rsidRPr="00CB6730" w:rsidRDefault="004000A8" w:rsidP="004000A8">
            <w:pPr>
              <w:jc w:val="both"/>
              <w:rPr>
                <w:rFonts w:asciiTheme="minorHAnsi" w:hAnsiTheme="minorHAnsi" w:cstheme="minorHAnsi"/>
                <w:sz w:val="22"/>
              </w:rPr>
            </w:pPr>
            <w:r w:rsidRPr="00CB6730">
              <w:rPr>
                <w:rFonts w:asciiTheme="minorHAnsi" w:eastAsia="Calibri" w:hAnsiTheme="minorHAnsi" w:cstheme="minorHAnsi"/>
                <w:sz w:val="22"/>
              </w:rPr>
              <w:lastRenderedPageBreak/>
              <w:t>De operator bewaart het chassisnummer van het voertuig waarin een van zijn simkaarten (“</w:t>
            </w:r>
            <w:proofErr w:type="spellStart"/>
            <w:r w:rsidRPr="00CB6730">
              <w:rPr>
                <w:rFonts w:asciiTheme="minorHAnsi" w:eastAsia="Calibri" w:hAnsiTheme="minorHAnsi" w:cstheme="minorHAnsi"/>
                <w:sz w:val="22"/>
              </w:rPr>
              <w:t>subscriber</w:t>
            </w:r>
            <w:proofErr w:type="spellEnd"/>
            <w:r w:rsidRPr="00CB6730">
              <w:rPr>
                <w:rFonts w:asciiTheme="minorHAnsi" w:eastAsia="Calibri" w:hAnsiTheme="minorHAnsi" w:cstheme="minorHAnsi"/>
                <w:sz w:val="22"/>
              </w:rPr>
              <w:t xml:space="preserve"> </w:t>
            </w:r>
            <w:proofErr w:type="spellStart"/>
            <w:r w:rsidRPr="00CB6730">
              <w:rPr>
                <w:rFonts w:asciiTheme="minorHAnsi" w:eastAsia="Calibri" w:hAnsiTheme="minorHAnsi" w:cstheme="minorHAnsi"/>
                <w:sz w:val="22"/>
              </w:rPr>
              <w:t>identity</w:t>
            </w:r>
            <w:proofErr w:type="spellEnd"/>
            <w:r w:rsidRPr="00CB6730">
              <w:rPr>
                <w:rFonts w:asciiTheme="minorHAnsi" w:eastAsia="Calibri" w:hAnsiTheme="minorHAnsi" w:cstheme="minorHAnsi"/>
                <w:sz w:val="22"/>
              </w:rPr>
              <w:t>/</w:t>
            </w:r>
            <w:proofErr w:type="spellStart"/>
            <w:r w:rsidRPr="00CB6730">
              <w:rPr>
                <w:rFonts w:asciiTheme="minorHAnsi" w:eastAsia="Calibri" w:hAnsiTheme="minorHAnsi" w:cstheme="minorHAnsi"/>
                <w:sz w:val="22"/>
              </w:rPr>
              <w:t>identification</w:t>
            </w:r>
            <w:proofErr w:type="spellEnd"/>
            <w:r w:rsidRPr="00CB6730">
              <w:rPr>
                <w:rFonts w:asciiTheme="minorHAnsi" w:eastAsia="Calibri" w:hAnsiTheme="minorHAnsi" w:cstheme="minorHAnsi"/>
                <w:sz w:val="22"/>
              </w:rPr>
              <w:t xml:space="preserve"> module”) of </w:t>
            </w:r>
            <w:r w:rsidRPr="00CB6730">
              <w:rPr>
                <w:rFonts w:asciiTheme="minorHAnsi" w:eastAsia="Calibri" w:hAnsiTheme="minorHAnsi" w:cstheme="minorHAnsi"/>
                <w:sz w:val="22"/>
              </w:rPr>
              <w:lastRenderedPageBreak/>
              <w:t>een gelijkwaardige kaart werd ingebouwd, evenals de link tussen het chassisnummer en het nummer van deze kaart, vanaf de activeringsdatum van de elektronische-communicatiedienst tot twaalf maanden na de stopzetting van de dienst.</w:t>
            </w:r>
          </w:p>
        </w:tc>
      </w:tr>
      <w:tr w:rsidR="004000A8" w:rsidRPr="00A80C6F" w14:paraId="13AD1510" w14:textId="77777777" w:rsidTr="0025113D">
        <w:tc>
          <w:tcPr>
            <w:tcW w:w="4508" w:type="dxa"/>
          </w:tcPr>
          <w:p w14:paraId="69700D86" w14:textId="77777777" w:rsidR="004000A8" w:rsidRPr="00CB6730" w:rsidRDefault="004000A8" w:rsidP="004000A8">
            <w:pPr>
              <w:jc w:val="both"/>
              <w:rPr>
                <w:rFonts w:asciiTheme="minorHAnsi" w:hAnsiTheme="minorHAnsi" w:cstheme="minorHAnsi"/>
                <w:sz w:val="22"/>
              </w:rPr>
            </w:pPr>
          </w:p>
        </w:tc>
        <w:tc>
          <w:tcPr>
            <w:tcW w:w="4508" w:type="dxa"/>
          </w:tcPr>
          <w:p w14:paraId="0AC3C6C4" w14:textId="77777777" w:rsidR="004000A8" w:rsidRPr="00CB6730" w:rsidRDefault="004000A8" w:rsidP="004000A8">
            <w:pPr>
              <w:jc w:val="both"/>
              <w:rPr>
                <w:rFonts w:asciiTheme="minorHAnsi" w:hAnsiTheme="minorHAnsi" w:cstheme="minorHAnsi"/>
                <w:sz w:val="22"/>
              </w:rPr>
            </w:pPr>
          </w:p>
        </w:tc>
      </w:tr>
      <w:tr w:rsidR="004000A8" w:rsidRPr="00A80C6F" w14:paraId="1995663B" w14:textId="77777777" w:rsidTr="0025113D">
        <w:tc>
          <w:tcPr>
            <w:tcW w:w="4508" w:type="dxa"/>
          </w:tcPr>
          <w:p w14:paraId="720DC1B4" w14:textId="08D7DBE4"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sz w:val="22"/>
                <w:lang w:val="fr-BE"/>
              </w:rPr>
              <w:t xml:space="preserve">Le Roi peut fixer les modalités de l’obligation visée à l’alinéa 3 et peut imposer aux entreprises qui disposent du numéro de châssis de le transmettre aux opérateurs.  </w:t>
            </w:r>
          </w:p>
        </w:tc>
        <w:tc>
          <w:tcPr>
            <w:tcW w:w="4508" w:type="dxa"/>
          </w:tcPr>
          <w:p w14:paraId="14CD0DC1" w14:textId="5B164047" w:rsidR="004000A8" w:rsidRPr="00CB6730" w:rsidRDefault="004000A8" w:rsidP="004000A8">
            <w:pPr>
              <w:jc w:val="both"/>
              <w:rPr>
                <w:rFonts w:asciiTheme="minorHAnsi" w:hAnsiTheme="minorHAnsi" w:cstheme="minorHAnsi"/>
                <w:sz w:val="22"/>
              </w:rPr>
            </w:pPr>
            <w:r w:rsidRPr="00CB6730">
              <w:rPr>
                <w:rFonts w:asciiTheme="minorHAnsi" w:eastAsia="Calibri" w:hAnsiTheme="minorHAnsi" w:cstheme="minorHAnsi"/>
                <w:sz w:val="22"/>
              </w:rPr>
              <w:t>De Koning kan de nadere bepalingen van de verplichting bedoeld in het derde lid vastleggen en kan de ondernemingen die over het chassisnummer beschikken, verplichten om dat door te geven aan de operatoren.</w:t>
            </w:r>
          </w:p>
        </w:tc>
      </w:tr>
      <w:tr w:rsidR="004000A8" w:rsidRPr="00A80C6F" w14:paraId="7403F373" w14:textId="77777777" w:rsidTr="0025113D">
        <w:tc>
          <w:tcPr>
            <w:tcW w:w="4508" w:type="dxa"/>
          </w:tcPr>
          <w:p w14:paraId="137F92FE" w14:textId="77777777" w:rsidR="004000A8" w:rsidRPr="00045A81" w:rsidRDefault="004000A8" w:rsidP="004000A8">
            <w:pPr>
              <w:jc w:val="both"/>
              <w:rPr>
                <w:rFonts w:asciiTheme="minorHAnsi" w:hAnsiTheme="minorHAnsi" w:cstheme="minorHAnsi"/>
                <w:sz w:val="22"/>
              </w:rPr>
            </w:pPr>
          </w:p>
        </w:tc>
        <w:tc>
          <w:tcPr>
            <w:tcW w:w="4508" w:type="dxa"/>
          </w:tcPr>
          <w:p w14:paraId="2036DE89" w14:textId="77777777" w:rsidR="004000A8" w:rsidRPr="00A80C6F" w:rsidRDefault="004000A8" w:rsidP="004000A8">
            <w:pPr>
              <w:jc w:val="both"/>
              <w:rPr>
                <w:rFonts w:asciiTheme="minorHAnsi" w:hAnsiTheme="minorHAnsi" w:cstheme="minorHAnsi"/>
                <w:sz w:val="22"/>
              </w:rPr>
            </w:pPr>
          </w:p>
        </w:tc>
      </w:tr>
      <w:tr w:rsidR="004000A8" w:rsidRPr="00A80C6F" w14:paraId="5E99DAF9" w14:textId="77777777" w:rsidTr="0025113D">
        <w:tc>
          <w:tcPr>
            <w:tcW w:w="4508" w:type="dxa"/>
          </w:tcPr>
          <w:p w14:paraId="569F8022" w14:textId="4CF39674" w:rsidR="004000A8" w:rsidRPr="00CB6730" w:rsidRDefault="004000A8" w:rsidP="004000A8">
            <w:pPr>
              <w:jc w:val="both"/>
              <w:rPr>
                <w:rFonts w:asciiTheme="minorHAnsi" w:hAnsiTheme="minorHAnsi" w:cstheme="minorHAnsi"/>
                <w:sz w:val="22"/>
                <w:lang w:val="fr-BE"/>
              </w:rPr>
            </w:pPr>
            <w:r w:rsidRPr="00223DEB">
              <w:rPr>
                <w:rFonts w:asciiTheme="minorHAnsi" w:hAnsiTheme="minorHAnsi" w:cstheme="minorHAnsi"/>
                <w:b/>
                <w:bCs/>
                <w:color w:val="000000"/>
                <w:sz w:val="22"/>
                <w:lang w:val="fr-BE"/>
              </w:rPr>
              <w:t>§ 11</w:t>
            </w:r>
            <w:r w:rsidRPr="00CB6730">
              <w:rPr>
                <w:rFonts w:asciiTheme="minorHAnsi" w:hAnsiTheme="minorHAnsi" w:cstheme="minorHAnsi"/>
                <w:b/>
                <w:bCs/>
                <w:color w:val="000000"/>
                <w:sz w:val="22"/>
                <w:lang w:val="fr-BE"/>
              </w:rPr>
              <w:t>.</w:t>
            </w:r>
            <w:r w:rsidRPr="00CB6730">
              <w:rPr>
                <w:rFonts w:asciiTheme="minorHAnsi" w:hAnsiTheme="minorHAnsi" w:cstheme="minorHAnsi"/>
                <w:color w:val="000000"/>
                <w:sz w:val="22"/>
                <w:lang w:val="fr-BE"/>
              </w:rPr>
              <w:t xml:space="preserve"> Si un opérateur ne respecte pas les mesures qui lui sont imposées par le présent article ou par le Roi, il lui est interdit de fournir le service pour lequel les mesures en question n'ont pas été prises.</w:t>
            </w:r>
            <w:r w:rsidRPr="00CB6730">
              <w:rPr>
                <w:rFonts w:asciiTheme="minorHAnsi" w:hAnsiTheme="minorHAnsi" w:cstheme="minorHAnsi"/>
                <w:color w:val="000000"/>
                <w:sz w:val="22"/>
                <w:lang w:val="fr-BE"/>
              </w:rPr>
              <w:br/>
            </w:r>
          </w:p>
        </w:tc>
        <w:tc>
          <w:tcPr>
            <w:tcW w:w="4508" w:type="dxa"/>
          </w:tcPr>
          <w:p w14:paraId="40036DD8" w14:textId="5686A8D1" w:rsidR="004000A8" w:rsidRPr="00CB6730" w:rsidRDefault="004000A8" w:rsidP="004000A8">
            <w:pPr>
              <w:jc w:val="both"/>
              <w:rPr>
                <w:rFonts w:asciiTheme="minorHAnsi" w:hAnsiTheme="minorHAnsi" w:cstheme="minorHAnsi"/>
                <w:sz w:val="22"/>
              </w:rPr>
            </w:pPr>
            <w:r w:rsidRPr="00223DEB">
              <w:rPr>
                <w:rFonts w:asciiTheme="minorHAnsi" w:hAnsiTheme="minorHAnsi" w:cstheme="minorHAnsi"/>
                <w:b/>
                <w:bCs/>
                <w:color w:val="000000"/>
                <w:sz w:val="22"/>
              </w:rPr>
              <w:t>§ 11.</w:t>
            </w:r>
            <w:r w:rsidRPr="00CB6730">
              <w:rPr>
                <w:rFonts w:asciiTheme="minorHAnsi" w:hAnsiTheme="minorHAnsi" w:cstheme="minorHAnsi"/>
                <w:color w:val="000000"/>
                <w:sz w:val="22"/>
              </w:rPr>
              <w:t xml:space="preserve"> Indien een operator  niet voldoet aan de hem door dit artikel of door de Koning opgelegde</w:t>
            </w:r>
            <w:r>
              <w:rPr>
                <w:rFonts w:asciiTheme="minorHAnsi" w:hAnsiTheme="minorHAnsi" w:cstheme="minorHAnsi"/>
                <w:color w:val="000000"/>
                <w:sz w:val="22"/>
              </w:rPr>
              <w:t xml:space="preserve"> </w:t>
            </w:r>
            <w:r w:rsidRPr="00CB6730">
              <w:rPr>
                <w:rFonts w:asciiTheme="minorHAnsi" w:hAnsiTheme="minorHAnsi" w:cstheme="minorHAnsi"/>
                <w:color w:val="000000"/>
                <w:sz w:val="22"/>
              </w:rPr>
              <w:t>maatregelen, is het hem verboden de dienst, waarvoor de betrokken maatregelen niet genomen zijn, aan te bieden.</w:t>
            </w:r>
            <w:r w:rsidRPr="00CB6730">
              <w:rPr>
                <w:rFonts w:asciiTheme="minorHAnsi" w:hAnsiTheme="minorHAnsi" w:cstheme="minorHAnsi"/>
                <w:color w:val="000000"/>
                <w:sz w:val="22"/>
              </w:rPr>
              <w:br/>
              <w:t>  </w:t>
            </w:r>
          </w:p>
        </w:tc>
      </w:tr>
      <w:tr w:rsidR="004000A8" w:rsidRPr="00A80C6F" w14:paraId="3C45744D" w14:textId="77777777" w:rsidTr="0025113D">
        <w:tc>
          <w:tcPr>
            <w:tcW w:w="4508" w:type="dxa"/>
          </w:tcPr>
          <w:p w14:paraId="4F7264B0" w14:textId="77777777" w:rsidR="004000A8" w:rsidRPr="00CB6730" w:rsidRDefault="004000A8" w:rsidP="004000A8">
            <w:pPr>
              <w:jc w:val="both"/>
              <w:rPr>
                <w:rFonts w:asciiTheme="minorHAnsi" w:hAnsiTheme="minorHAnsi" w:cstheme="minorHAnsi"/>
                <w:sz w:val="22"/>
              </w:rPr>
            </w:pPr>
          </w:p>
        </w:tc>
        <w:tc>
          <w:tcPr>
            <w:tcW w:w="4508" w:type="dxa"/>
          </w:tcPr>
          <w:p w14:paraId="728D92CB" w14:textId="77777777" w:rsidR="004000A8" w:rsidRPr="00CB6730" w:rsidRDefault="004000A8" w:rsidP="004000A8">
            <w:pPr>
              <w:jc w:val="both"/>
              <w:rPr>
                <w:rFonts w:asciiTheme="minorHAnsi" w:hAnsiTheme="minorHAnsi" w:cstheme="minorHAnsi"/>
                <w:sz w:val="22"/>
              </w:rPr>
            </w:pPr>
          </w:p>
        </w:tc>
      </w:tr>
      <w:tr w:rsidR="004000A8" w:rsidRPr="00A80C6F" w14:paraId="08AEE6C8" w14:textId="77777777" w:rsidTr="0025113D">
        <w:tc>
          <w:tcPr>
            <w:tcW w:w="4508" w:type="dxa"/>
          </w:tcPr>
          <w:p w14:paraId="4F8B7FDE" w14:textId="22C5C383"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sz w:val="22"/>
                <w:lang w:val="fr-BE"/>
              </w:rPr>
              <w:t xml:space="preserve">Les opérateurs déconnectent les </w:t>
            </w:r>
            <w:r w:rsidRPr="00223DEB">
              <w:rPr>
                <w:rFonts w:asciiTheme="minorHAnsi" w:hAnsiTheme="minorHAnsi" w:cstheme="minorHAnsi"/>
                <w:color w:val="000000"/>
                <w:sz w:val="22"/>
                <w:lang w:val="fr-BE"/>
              </w:rPr>
              <w:t xml:space="preserve">abonnés qui ne respectent pas les mesures qui leur sont imposées par </w:t>
            </w:r>
            <w:r w:rsidRPr="00223DEB">
              <w:rPr>
                <w:rFonts w:asciiTheme="minorHAnsi" w:hAnsiTheme="minorHAnsi" w:cstheme="minorHAnsi"/>
                <w:sz w:val="22"/>
                <w:lang w:val="fr-FR"/>
              </w:rPr>
              <w:t xml:space="preserve">le présent article ou par </w:t>
            </w:r>
            <w:r w:rsidRPr="00223DEB">
              <w:rPr>
                <w:rFonts w:asciiTheme="minorHAnsi" w:hAnsiTheme="minorHAnsi" w:cstheme="minorHAnsi"/>
                <w:color w:val="000000"/>
                <w:sz w:val="22"/>
                <w:lang w:val="fr-BE"/>
              </w:rPr>
              <w:t>le Roi, des réseaux et services auxquels les mesures imposées s'appliquent. Ces abonnés ne sont en aucune manière indemnisés pour la déconnexion.</w:t>
            </w:r>
          </w:p>
        </w:tc>
        <w:tc>
          <w:tcPr>
            <w:tcW w:w="4508" w:type="dxa"/>
          </w:tcPr>
          <w:p w14:paraId="35B555F2" w14:textId="31D86463" w:rsidR="004000A8" w:rsidRPr="00223DEB" w:rsidRDefault="004000A8" w:rsidP="004000A8">
            <w:pPr>
              <w:jc w:val="both"/>
              <w:rPr>
                <w:rFonts w:asciiTheme="minorHAnsi" w:hAnsiTheme="minorHAnsi" w:cstheme="minorHAnsi"/>
                <w:sz w:val="22"/>
              </w:rPr>
            </w:pPr>
            <w:r w:rsidRPr="00223DEB">
              <w:rPr>
                <w:rFonts w:asciiTheme="minorHAnsi" w:hAnsiTheme="minorHAnsi" w:cstheme="minorHAnsi"/>
                <w:color w:val="000000"/>
                <w:sz w:val="22"/>
              </w:rPr>
              <w:t xml:space="preserve">De operatoren sluiten de abonnees die niet voldoen aan de hen </w:t>
            </w:r>
            <w:r w:rsidRPr="00223DEB">
              <w:rPr>
                <w:rFonts w:asciiTheme="minorHAnsi" w:hAnsiTheme="minorHAnsi" w:cstheme="minorHAnsi"/>
                <w:sz w:val="22"/>
              </w:rPr>
              <w:t xml:space="preserve">door dit artikel of </w:t>
            </w:r>
            <w:r w:rsidRPr="00223DEB">
              <w:rPr>
                <w:rFonts w:asciiTheme="minorHAnsi" w:hAnsiTheme="minorHAnsi" w:cstheme="minorHAnsi"/>
                <w:color w:val="000000"/>
                <w:sz w:val="22"/>
              </w:rPr>
              <w:t>door de Koning opgelegde maatregelen af van de netwerken en diensten waarop de opgelegde maatregelen van toepassing zijn. Die abonnees worden op geen enkele wijze vergoed voor de afsluiting.</w:t>
            </w:r>
          </w:p>
        </w:tc>
      </w:tr>
      <w:tr w:rsidR="004000A8" w:rsidRPr="00A80C6F" w14:paraId="1E4DBC7D" w14:textId="77777777" w:rsidTr="0025113D">
        <w:tc>
          <w:tcPr>
            <w:tcW w:w="4508" w:type="dxa"/>
          </w:tcPr>
          <w:p w14:paraId="38D82D2C" w14:textId="77777777" w:rsidR="004000A8" w:rsidRPr="00CB6730" w:rsidRDefault="004000A8" w:rsidP="004000A8">
            <w:pPr>
              <w:jc w:val="both"/>
              <w:rPr>
                <w:rFonts w:asciiTheme="minorHAnsi" w:hAnsiTheme="minorHAnsi" w:cstheme="minorHAnsi"/>
                <w:sz w:val="22"/>
              </w:rPr>
            </w:pPr>
          </w:p>
        </w:tc>
        <w:tc>
          <w:tcPr>
            <w:tcW w:w="4508" w:type="dxa"/>
          </w:tcPr>
          <w:p w14:paraId="5849B265" w14:textId="77777777" w:rsidR="004000A8" w:rsidRPr="00CB6730" w:rsidRDefault="004000A8" w:rsidP="004000A8">
            <w:pPr>
              <w:jc w:val="both"/>
              <w:rPr>
                <w:rFonts w:asciiTheme="minorHAnsi" w:hAnsiTheme="minorHAnsi" w:cstheme="minorHAnsi"/>
                <w:sz w:val="22"/>
              </w:rPr>
            </w:pPr>
          </w:p>
        </w:tc>
      </w:tr>
      <w:tr w:rsidR="004000A8" w:rsidRPr="00A80C6F" w14:paraId="003B87AC" w14:textId="77777777" w:rsidTr="0025113D">
        <w:tc>
          <w:tcPr>
            <w:tcW w:w="4508" w:type="dxa"/>
          </w:tcPr>
          <w:p w14:paraId="2744BB30" w14:textId="4428CCCA" w:rsidR="004000A8" w:rsidRPr="00CB6730" w:rsidRDefault="004000A8" w:rsidP="004000A8">
            <w:pPr>
              <w:jc w:val="both"/>
              <w:rPr>
                <w:rFonts w:asciiTheme="minorHAnsi" w:hAnsiTheme="minorHAnsi" w:cstheme="minorHAnsi"/>
                <w:sz w:val="22"/>
                <w:lang w:val="fr-BE"/>
              </w:rPr>
            </w:pPr>
            <w:r w:rsidRPr="00CB6730">
              <w:rPr>
                <w:rFonts w:asciiTheme="minorHAnsi" w:hAnsiTheme="minorHAnsi" w:cstheme="minorHAnsi"/>
                <w:color w:val="000000" w:themeColor="text1"/>
                <w:sz w:val="22"/>
                <w:lang w:val="fr-FR"/>
              </w:rPr>
              <w:t xml:space="preserve">L’arrêté royal visé dans le présent article est </w:t>
            </w:r>
            <w:r w:rsidRPr="00CB6730">
              <w:rPr>
                <w:rFonts w:asciiTheme="minorHAnsi" w:hAnsiTheme="minorHAnsi" w:cstheme="minorHAnsi"/>
                <w:sz w:val="22"/>
                <w:lang w:val="fr-FR"/>
              </w:rPr>
              <w:t>proposé par le ministre de la Justice, le ministre de l’Intérieur, le ministre de la Défense et le ministre, fait l’objet d’un avis de l’Autorité de protection des données et de l’Institut et est délibéré en Conseil des ministres.</w:t>
            </w:r>
          </w:p>
        </w:tc>
        <w:tc>
          <w:tcPr>
            <w:tcW w:w="4508" w:type="dxa"/>
          </w:tcPr>
          <w:p w14:paraId="12CDE79F" w14:textId="6C4541BB" w:rsidR="004000A8" w:rsidRPr="00CB6730" w:rsidRDefault="004000A8" w:rsidP="004000A8">
            <w:pPr>
              <w:jc w:val="both"/>
              <w:rPr>
                <w:rFonts w:asciiTheme="minorHAnsi" w:hAnsiTheme="minorHAnsi" w:cstheme="minorHAnsi"/>
                <w:sz w:val="22"/>
              </w:rPr>
            </w:pPr>
            <w:r w:rsidRPr="00CB6730">
              <w:rPr>
                <w:rFonts w:asciiTheme="minorHAnsi" w:hAnsiTheme="minorHAnsi" w:cstheme="minorHAnsi"/>
                <w:sz w:val="22"/>
              </w:rPr>
              <w:t>Het koninklijk besluit bedoeld in dit artikel wordt voorgesteld door de minister van Justitie, de minister van Binnenlandse Zaken, de minister van Defensie en de minister, maakt het voorwerp uit van een advies van de Gegevensbeschermingsautoriteit en van het Instituut en daarover wordt beraadslaagd in de Ministerraad.</w:t>
            </w:r>
          </w:p>
        </w:tc>
      </w:tr>
      <w:tr w:rsidR="004000A8" w:rsidRPr="00A80C6F" w14:paraId="7C1EC728" w14:textId="77777777" w:rsidTr="0025113D">
        <w:tc>
          <w:tcPr>
            <w:tcW w:w="4508" w:type="dxa"/>
          </w:tcPr>
          <w:p w14:paraId="06D07AD9" w14:textId="77777777" w:rsidR="004000A8" w:rsidRPr="00045A81" w:rsidRDefault="004000A8" w:rsidP="004000A8">
            <w:pPr>
              <w:jc w:val="both"/>
              <w:rPr>
                <w:rFonts w:asciiTheme="minorHAnsi" w:hAnsiTheme="minorHAnsi" w:cstheme="minorHAnsi"/>
                <w:sz w:val="22"/>
              </w:rPr>
            </w:pPr>
          </w:p>
        </w:tc>
        <w:tc>
          <w:tcPr>
            <w:tcW w:w="4508" w:type="dxa"/>
          </w:tcPr>
          <w:p w14:paraId="07059481" w14:textId="77777777" w:rsidR="004000A8" w:rsidRPr="00A80C6F" w:rsidRDefault="004000A8" w:rsidP="004000A8">
            <w:pPr>
              <w:jc w:val="both"/>
              <w:rPr>
                <w:rFonts w:asciiTheme="minorHAnsi" w:hAnsiTheme="minorHAnsi" w:cstheme="minorHAnsi"/>
                <w:sz w:val="22"/>
              </w:rPr>
            </w:pPr>
          </w:p>
        </w:tc>
      </w:tr>
      <w:tr w:rsidR="004000A8" w:rsidRPr="00A80C6F" w14:paraId="59634425" w14:textId="77777777" w:rsidTr="0025113D">
        <w:tc>
          <w:tcPr>
            <w:tcW w:w="4508" w:type="dxa"/>
          </w:tcPr>
          <w:p w14:paraId="4FCD5B95" w14:textId="5CD3BA9A" w:rsidR="004000A8" w:rsidRPr="00484876" w:rsidRDefault="004000A8" w:rsidP="004000A8">
            <w:pPr>
              <w:jc w:val="center"/>
              <w:rPr>
                <w:rFonts w:asciiTheme="minorHAnsi" w:hAnsiTheme="minorHAnsi" w:cstheme="minorHAnsi"/>
                <w:b/>
                <w:bCs/>
                <w:sz w:val="22"/>
              </w:rPr>
            </w:pPr>
            <w:bookmarkStart w:id="10" w:name="_Toc94800252"/>
            <w:r w:rsidRPr="00484876">
              <w:rPr>
                <w:rFonts w:asciiTheme="minorHAnsi" w:eastAsia="Times New Roman" w:hAnsiTheme="minorHAnsi" w:cstheme="minorHAnsi"/>
                <w:b/>
                <w:bCs/>
                <w:sz w:val="22"/>
                <w:lang w:eastAsia="fr-FR"/>
              </w:rPr>
              <w:t>JUSTIFICATION</w:t>
            </w:r>
            <w:bookmarkEnd w:id="10"/>
          </w:p>
        </w:tc>
        <w:tc>
          <w:tcPr>
            <w:tcW w:w="4508" w:type="dxa"/>
          </w:tcPr>
          <w:p w14:paraId="143F3F12" w14:textId="41AA9AC2" w:rsidR="004000A8" w:rsidRPr="00484876" w:rsidRDefault="004000A8" w:rsidP="004000A8">
            <w:pPr>
              <w:jc w:val="center"/>
              <w:rPr>
                <w:rFonts w:asciiTheme="minorHAnsi" w:hAnsiTheme="minorHAnsi" w:cstheme="minorHAnsi"/>
                <w:b/>
                <w:bCs/>
                <w:sz w:val="22"/>
              </w:rPr>
            </w:pPr>
            <w:bookmarkStart w:id="11" w:name="_Toc94800253"/>
            <w:r w:rsidRPr="00484876">
              <w:rPr>
                <w:rFonts w:asciiTheme="minorHAnsi" w:hAnsiTheme="minorHAnsi" w:cstheme="minorHAnsi"/>
                <w:b/>
                <w:bCs/>
                <w:sz w:val="22"/>
                <w:lang w:eastAsia="fr-FR"/>
              </w:rPr>
              <w:t>VERANTWOORDING</w:t>
            </w:r>
            <w:bookmarkEnd w:id="11"/>
          </w:p>
        </w:tc>
      </w:tr>
      <w:tr w:rsidR="004000A8" w:rsidRPr="00A80C6F" w14:paraId="2E146B80" w14:textId="77777777" w:rsidTr="0025113D">
        <w:tc>
          <w:tcPr>
            <w:tcW w:w="4508" w:type="dxa"/>
          </w:tcPr>
          <w:p w14:paraId="503A1888" w14:textId="77777777" w:rsidR="004000A8" w:rsidRPr="00484876" w:rsidRDefault="004000A8" w:rsidP="004000A8">
            <w:pPr>
              <w:jc w:val="both"/>
              <w:rPr>
                <w:rFonts w:asciiTheme="minorHAnsi" w:hAnsiTheme="minorHAnsi" w:cstheme="minorHAnsi"/>
                <w:sz w:val="22"/>
              </w:rPr>
            </w:pPr>
          </w:p>
        </w:tc>
        <w:tc>
          <w:tcPr>
            <w:tcW w:w="4508" w:type="dxa"/>
          </w:tcPr>
          <w:p w14:paraId="5FCBF21F" w14:textId="77777777" w:rsidR="004000A8" w:rsidRPr="00484876" w:rsidRDefault="004000A8" w:rsidP="004000A8">
            <w:pPr>
              <w:jc w:val="both"/>
              <w:rPr>
                <w:rFonts w:asciiTheme="minorHAnsi" w:hAnsiTheme="minorHAnsi" w:cstheme="minorHAnsi"/>
                <w:sz w:val="22"/>
              </w:rPr>
            </w:pPr>
          </w:p>
        </w:tc>
      </w:tr>
      <w:tr w:rsidR="004000A8" w:rsidRPr="00A80C6F" w14:paraId="70A79F98" w14:textId="77777777" w:rsidTr="0025113D">
        <w:tc>
          <w:tcPr>
            <w:tcW w:w="4508" w:type="dxa"/>
          </w:tcPr>
          <w:p w14:paraId="606CD7FA" w14:textId="48FFE522" w:rsidR="004000A8" w:rsidRPr="00484876" w:rsidRDefault="004000A8" w:rsidP="004000A8">
            <w:pPr>
              <w:jc w:val="both"/>
              <w:rPr>
                <w:rFonts w:asciiTheme="minorHAnsi" w:hAnsiTheme="minorHAnsi" w:cstheme="minorHAnsi"/>
                <w:b/>
                <w:bCs/>
                <w:sz w:val="22"/>
                <w:u w:val="single"/>
                <w:lang w:val="fr-BE"/>
              </w:rPr>
            </w:pPr>
            <w:bookmarkStart w:id="12" w:name="_Toc90638322"/>
            <w:bookmarkStart w:id="13" w:name="_Toc94800254"/>
            <w:r w:rsidRPr="00484876">
              <w:rPr>
                <w:rFonts w:asciiTheme="minorHAnsi" w:hAnsiTheme="minorHAnsi" w:cstheme="minorHAnsi"/>
                <w:b/>
                <w:bCs/>
                <w:sz w:val="22"/>
                <w:u w:val="single"/>
                <w:lang w:val="fr-BE"/>
              </w:rPr>
              <w:t>Adaptation de l’article 127 de la loi télécom à la suite de l’arrêt n°158/2021 du 18 novembre 2021 de la Cour constitutionnelle</w:t>
            </w:r>
            <w:bookmarkEnd w:id="12"/>
            <w:bookmarkEnd w:id="13"/>
          </w:p>
        </w:tc>
        <w:tc>
          <w:tcPr>
            <w:tcW w:w="4508" w:type="dxa"/>
          </w:tcPr>
          <w:p w14:paraId="4AA680CA" w14:textId="1C062F55" w:rsidR="004000A8" w:rsidRPr="00484876" w:rsidRDefault="004000A8" w:rsidP="004000A8">
            <w:pPr>
              <w:jc w:val="both"/>
              <w:rPr>
                <w:rFonts w:asciiTheme="minorHAnsi" w:hAnsiTheme="minorHAnsi" w:cstheme="minorHAnsi"/>
                <w:b/>
                <w:bCs/>
                <w:sz w:val="22"/>
                <w:u w:val="single"/>
              </w:rPr>
            </w:pPr>
            <w:bookmarkStart w:id="14" w:name="_Toc94800255"/>
            <w:r w:rsidRPr="00484876">
              <w:rPr>
                <w:rFonts w:asciiTheme="minorHAnsi" w:hAnsiTheme="minorHAnsi" w:cstheme="minorHAnsi"/>
                <w:b/>
                <w:bCs/>
                <w:sz w:val="22"/>
                <w:u w:val="single"/>
              </w:rPr>
              <w:t>Aanpassing van artikel 127 van de telecomwet naar aanleiding van arrest nr. 158/2021 van 18 november 2021 van het Grondwettelijk Hof</w:t>
            </w:r>
            <w:bookmarkEnd w:id="14"/>
          </w:p>
        </w:tc>
      </w:tr>
      <w:tr w:rsidR="004000A8" w:rsidRPr="00A80C6F" w14:paraId="76535098" w14:textId="77777777" w:rsidTr="0025113D">
        <w:tc>
          <w:tcPr>
            <w:tcW w:w="4508" w:type="dxa"/>
          </w:tcPr>
          <w:p w14:paraId="69A27EBB" w14:textId="77777777" w:rsidR="004000A8" w:rsidRPr="00484876" w:rsidRDefault="004000A8" w:rsidP="004000A8">
            <w:pPr>
              <w:jc w:val="both"/>
              <w:rPr>
                <w:rFonts w:asciiTheme="minorHAnsi" w:hAnsiTheme="minorHAnsi" w:cstheme="minorHAnsi"/>
                <w:sz w:val="22"/>
              </w:rPr>
            </w:pPr>
          </w:p>
        </w:tc>
        <w:tc>
          <w:tcPr>
            <w:tcW w:w="4508" w:type="dxa"/>
          </w:tcPr>
          <w:p w14:paraId="19E4B729" w14:textId="77777777" w:rsidR="004000A8" w:rsidRPr="00484876" w:rsidRDefault="004000A8" w:rsidP="004000A8">
            <w:pPr>
              <w:jc w:val="both"/>
              <w:rPr>
                <w:rFonts w:asciiTheme="minorHAnsi" w:hAnsiTheme="minorHAnsi" w:cstheme="minorHAnsi"/>
                <w:sz w:val="22"/>
              </w:rPr>
            </w:pPr>
          </w:p>
        </w:tc>
      </w:tr>
      <w:tr w:rsidR="004000A8" w:rsidRPr="00A80C6F" w14:paraId="70385CE5" w14:textId="77777777" w:rsidTr="0025113D">
        <w:tc>
          <w:tcPr>
            <w:tcW w:w="4508" w:type="dxa"/>
          </w:tcPr>
          <w:p w14:paraId="7547D9F7" w14:textId="34528B86" w:rsidR="004000A8" w:rsidRPr="0091738A" w:rsidRDefault="004000A8" w:rsidP="004000A8">
            <w:pPr>
              <w:jc w:val="both"/>
              <w:rPr>
                <w:rFonts w:asciiTheme="minorHAnsi" w:hAnsiTheme="minorHAnsi" w:cstheme="minorHAnsi"/>
                <w:sz w:val="22"/>
                <w:u w:val="single"/>
              </w:rPr>
            </w:pPr>
            <w:proofErr w:type="spellStart"/>
            <w:r w:rsidRPr="0091738A">
              <w:rPr>
                <w:rFonts w:asciiTheme="minorHAnsi" w:hAnsiTheme="minorHAnsi" w:cstheme="minorHAnsi"/>
                <w:sz w:val="22"/>
                <w:u w:val="single"/>
              </w:rPr>
              <w:t>Introduction</w:t>
            </w:r>
            <w:proofErr w:type="spellEnd"/>
          </w:p>
        </w:tc>
        <w:tc>
          <w:tcPr>
            <w:tcW w:w="4508" w:type="dxa"/>
          </w:tcPr>
          <w:p w14:paraId="6081D795" w14:textId="5DBF5DA2" w:rsidR="004000A8" w:rsidRPr="0091738A" w:rsidRDefault="004000A8" w:rsidP="004000A8">
            <w:pPr>
              <w:jc w:val="both"/>
              <w:rPr>
                <w:rFonts w:asciiTheme="minorHAnsi" w:hAnsiTheme="minorHAnsi" w:cstheme="minorHAnsi"/>
                <w:sz w:val="22"/>
                <w:u w:val="single"/>
              </w:rPr>
            </w:pPr>
            <w:r w:rsidRPr="0091738A">
              <w:rPr>
                <w:rFonts w:asciiTheme="minorHAnsi" w:hAnsiTheme="minorHAnsi" w:cstheme="minorHAnsi"/>
                <w:sz w:val="22"/>
                <w:u w:val="single"/>
              </w:rPr>
              <w:t>Inleiding</w:t>
            </w:r>
          </w:p>
        </w:tc>
      </w:tr>
      <w:tr w:rsidR="004000A8" w:rsidRPr="00A80C6F" w14:paraId="6981C327" w14:textId="77777777" w:rsidTr="0025113D">
        <w:tc>
          <w:tcPr>
            <w:tcW w:w="4508" w:type="dxa"/>
          </w:tcPr>
          <w:p w14:paraId="1F47DB46" w14:textId="77777777" w:rsidR="004000A8" w:rsidRPr="00484876" w:rsidRDefault="004000A8" w:rsidP="004000A8">
            <w:pPr>
              <w:jc w:val="both"/>
              <w:rPr>
                <w:rFonts w:asciiTheme="minorHAnsi" w:hAnsiTheme="minorHAnsi" w:cstheme="minorHAnsi"/>
                <w:sz w:val="22"/>
              </w:rPr>
            </w:pPr>
          </w:p>
        </w:tc>
        <w:tc>
          <w:tcPr>
            <w:tcW w:w="4508" w:type="dxa"/>
          </w:tcPr>
          <w:p w14:paraId="22B3DF14" w14:textId="77777777" w:rsidR="004000A8" w:rsidRPr="00484876" w:rsidRDefault="004000A8" w:rsidP="004000A8">
            <w:pPr>
              <w:jc w:val="both"/>
              <w:rPr>
                <w:rFonts w:asciiTheme="minorHAnsi" w:hAnsiTheme="minorHAnsi" w:cstheme="minorHAnsi"/>
                <w:sz w:val="22"/>
              </w:rPr>
            </w:pPr>
          </w:p>
        </w:tc>
      </w:tr>
      <w:tr w:rsidR="004000A8" w:rsidRPr="00A80C6F" w14:paraId="31FBBE62" w14:textId="77777777" w:rsidTr="0025113D">
        <w:tc>
          <w:tcPr>
            <w:tcW w:w="4508" w:type="dxa"/>
          </w:tcPr>
          <w:p w14:paraId="3D50C15E" w14:textId="1A792843" w:rsidR="004000A8" w:rsidRPr="00484876" w:rsidRDefault="004000A8" w:rsidP="004000A8">
            <w:pPr>
              <w:jc w:val="both"/>
              <w:rPr>
                <w:rFonts w:asciiTheme="minorHAnsi" w:hAnsiTheme="minorHAnsi" w:cstheme="minorHAnsi"/>
                <w:sz w:val="22"/>
                <w:lang w:val="fr-BE"/>
              </w:rPr>
            </w:pPr>
            <w:r w:rsidRPr="00484876">
              <w:rPr>
                <w:rFonts w:asciiTheme="minorHAnsi" w:hAnsiTheme="minorHAnsi" w:cstheme="minorHAnsi"/>
                <w:sz w:val="22"/>
                <w:lang w:val="fr-BE"/>
              </w:rPr>
              <w:t xml:space="preserve">Le présent amendement a pour objectif de réparer la loi télécom à la suite </w:t>
            </w:r>
            <w:r>
              <w:rPr>
                <w:rFonts w:asciiTheme="minorHAnsi" w:hAnsiTheme="minorHAnsi" w:cstheme="minorHAnsi"/>
                <w:sz w:val="22"/>
                <w:lang w:val="fr-BE"/>
              </w:rPr>
              <w:t>de</w:t>
            </w:r>
            <w:r w:rsidRPr="00484876">
              <w:rPr>
                <w:rFonts w:asciiTheme="minorHAnsi" w:hAnsiTheme="minorHAnsi" w:cstheme="minorHAnsi"/>
                <w:sz w:val="22"/>
                <w:lang w:val="fr-BE"/>
              </w:rPr>
              <w:t xml:space="preserve"> l’arrêt n° 158/2021 du 18 novembre 2021 de la Cour constitutionnelle. Par cet arrêt, la Cour constitutionnelle :    </w:t>
            </w:r>
          </w:p>
        </w:tc>
        <w:tc>
          <w:tcPr>
            <w:tcW w:w="4508" w:type="dxa"/>
          </w:tcPr>
          <w:p w14:paraId="5E16F682" w14:textId="4E5B1514" w:rsidR="004000A8" w:rsidRPr="00484876" w:rsidRDefault="004000A8" w:rsidP="004000A8">
            <w:pPr>
              <w:jc w:val="both"/>
              <w:rPr>
                <w:rFonts w:asciiTheme="minorHAnsi" w:hAnsiTheme="minorHAnsi" w:cstheme="minorHAnsi"/>
                <w:sz w:val="22"/>
              </w:rPr>
            </w:pPr>
            <w:r w:rsidRPr="00484876">
              <w:rPr>
                <w:rFonts w:asciiTheme="minorHAnsi" w:hAnsiTheme="minorHAnsi" w:cstheme="minorHAnsi"/>
                <w:sz w:val="22"/>
              </w:rPr>
              <w:t xml:space="preserve">Dit amendement heeft tot doel de telecomwet te repareren naar aanleiding van arrest nr. 158/2021 van 18 november 2021 van het Grondwettelijk Hof. Met dat arrest doet het Grondwettelijk Hof het volgende. Het:   </w:t>
            </w:r>
          </w:p>
        </w:tc>
      </w:tr>
      <w:tr w:rsidR="004000A8" w:rsidRPr="00A80C6F" w14:paraId="308D8628" w14:textId="77777777" w:rsidTr="0025113D">
        <w:tc>
          <w:tcPr>
            <w:tcW w:w="4508" w:type="dxa"/>
          </w:tcPr>
          <w:p w14:paraId="3DA84C9B" w14:textId="77777777" w:rsidR="004000A8" w:rsidRPr="00484876" w:rsidRDefault="004000A8" w:rsidP="004000A8">
            <w:pPr>
              <w:jc w:val="both"/>
              <w:rPr>
                <w:rFonts w:asciiTheme="minorHAnsi" w:hAnsiTheme="minorHAnsi" w:cstheme="minorHAnsi"/>
                <w:sz w:val="22"/>
              </w:rPr>
            </w:pPr>
          </w:p>
        </w:tc>
        <w:tc>
          <w:tcPr>
            <w:tcW w:w="4508" w:type="dxa"/>
          </w:tcPr>
          <w:p w14:paraId="7C8FB7DD" w14:textId="77777777" w:rsidR="004000A8" w:rsidRPr="00484876" w:rsidRDefault="004000A8" w:rsidP="004000A8">
            <w:pPr>
              <w:jc w:val="both"/>
              <w:rPr>
                <w:rFonts w:asciiTheme="minorHAnsi" w:hAnsiTheme="minorHAnsi" w:cstheme="minorHAnsi"/>
                <w:sz w:val="22"/>
              </w:rPr>
            </w:pPr>
          </w:p>
        </w:tc>
      </w:tr>
      <w:tr w:rsidR="004000A8" w:rsidRPr="007D08D1" w14:paraId="765C51DA" w14:textId="77777777" w:rsidTr="0025113D">
        <w:tc>
          <w:tcPr>
            <w:tcW w:w="4508" w:type="dxa"/>
          </w:tcPr>
          <w:p w14:paraId="20B3D1A8" w14:textId="2160C372" w:rsidR="004000A8" w:rsidRPr="00484876" w:rsidRDefault="004000A8" w:rsidP="004000A8">
            <w:pPr>
              <w:jc w:val="both"/>
              <w:rPr>
                <w:rFonts w:asciiTheme="minorHAnsi" w:hAnsiTheme="minorHAnsi" w:cstheme="minorHAnsi"/>
                <w:sz w:val="22"/>
                <w:lang w:val="fr-BE"/>
              </w:rPr>
            </w:pPr>
            <w:r w:rsidRPr="00484876">
              <w:rPr>
                <w:rFonts w:asciiTheme="minorHAnsi" w:hAnsiTheme="minorHAnsi" w:cstheme="minorHAnsi"/>
                <w:sz w:val="22"/>
                <w:lang w:val="fr-BE"/>
              </w:rPr>
              <w:lastRenderedPageBreak/>
              <w:t>« - annule l’article 2 de la loi du 1</w:t>
            </w:r>
            <w:r w:rsidRPr="00484876">
              <w:rPr>
                <w:rFonts w:asciiTheme="minorHAnsi" w:hAnsiTheme="minorHAnsi" w:cstheme="minorHAnsi"/>
                <w:sz w:val="22"/>
                <w:vertAlign w:val="superscript"/>
                <w:lang w:val="fr-BE"/>
              </w:rPr>
              <w:t>er</w:t>
            </w:r>
            <w:r w:rsidRPr="00484876">
              <w:rPr>
                <w:rFonts w:asciiTheme="minorHAnsi" w:hAnsiTheme="minorHAnsi" w:cstheme="minorHAnsi"/>
                <w:sz w:val="22"/>
                <w:lang w:val="fr-BE"/>
              </w:rPr>
              <w:t xml:space="preserve">  septembre 2016 « portant modification de l’article 127 de la loi du 13 juin 2005 relative aux communications électroniques et de l’article 16/2 de la loi du 30 novembre 1998 organique des services de renseignement et de sécurité », uniquement en ce qu’il ne détermine pas les données d’identification qui sont collectées et traitées et les documents d’identification qui entrent en considération</w:t>
            </w:r>
            <w:r>
              <w:rPr>
                <w:rFonts w:asciiTheme="minorHAnsi" w:hAnsiTheme="minorHAnsi" w:cstheme="minorHAnsi"/>
                <w:sz w:val="22"/>
                <w:lang w:val="fr-BE"/>
              </w:rPr>
              <w:t xml:space="preserve"> </w:t>
            </w:r>
            <w:r w:rsidRPr="00484876">
              <w:rPr>
                <w:rFonts w:asciiTheme="minorHAnsi" w:hAnsiTheme="minorHAnsi" w:cstheme="minorHAnsi"/>
                <w:sz w:val="22"/>
                <w:lang w:val="fr-BE"/>
              </w:rPr>
              <w:t xml:space="preserve">; </w:t>
            </w:r>
          </w:p>
        </w:tc>
        <w:tc>
          <w:tcPr>
            <w:tcW w:w="4508" w:type="dxa"/>
          </w:tcPr>
          <w:p w14:paraId="2D7ED91F" w14:textId="1836A24A" w:rsidR="004000A8" w:rsidRPr="00484876" w:rsidRDefault="004000A8" w:rsidP="004000A8">
            <w:pPr>
              <w:jc w:val="both"/>
              <w:rPr>
                <w:rFonts w:asciiTheme="minorHAnsi" w:hAnsiTheme="minorHAnsi" w:cstheme="minorHAnsi"/>
                <w:sz w:val="22"/>
              </w:rPr>
            </w:pPr>
            <w:r w:rsidRPr="00484876">
              <w:rPr>
                <w:rFonts w:asciiTheme="minorHAnsi" w:hAnsiTheme="minorHAnsi" w:cstheme="minorHAnsi"/>
                <w:sz w:val="22"/>
              </w:rPr>
              <w:t xml:space="preserve">“- vernietigt artikel 2 van de wet van 1 september 2016 « tot wijziging van artikel 127 van de wet van 13 juni 2005 betreffende de elektronische communicatie en van artikel 16/2 van de wet van 30 november 1998 houdende regeling van de inlichtingen- en veiligheidsdienst », zij het slechts in zoverre het niet bepaalt welke identificatiegegevens worden verzameld en verwerkt en welke identificatiedocumenten in aanmerking komen; </w:t>
            </w:r>
          </w:p>
        </w:tc>
      </w:tr>
      <w:tr w:rsidR="004000A8" w:rsidRPr="007D08D1" w14:paraId="064911F6" w14:textId="77777777" w:rsidTr="0025113D">
        <w:tc>
          <w:tcPr>
            <w:tcW w:w="4508" w:type="dxa"/>
          </w:tcPr>
          <w:p w14:paraId="6E2BCA06" w14:textId="77777777" w:rsidR="004000A8" w:rsidRPr="00484876" w:rsidRDefault="004000A8" w:rsidP="004000A8">
            <w:pPr>
              <w:jc w:val="both"/>
              <w:rPr>
                <w:rFonts w:asciiTheme="minorHAnsi" w:hAnsiTheme="minorHAnsi" w:cstheme="minorHAnsi"/>
                <w:sz w:val="22"/>
              </w:rPr>
            </w:pPr>
          </w:p>
        </w:tc>
        <w:tc>
          <w:tcPr>
            <w:tcW w:w="4508" w:type="dxa"/>
          </w:tcPr>
          <w:p w14:paraId="20F230DB" w14:textId="77777777" w:rsidR="004000A8" w:rsidRPr="00484876" w:rsidRDefault="004000A8" w:rsidP="004000A8">
            <w:pPr>
              <w:jc w:val="both"/>
              <w:rPr>
                <w:rFonts w:asciiTheme="minorHAnsi" w:hAnsiTheme="minorHAnsi" w:cstheme="minorHAnsi"/>
                <w:sz w:val="22"/>
              </w:rPr>
            </w:pPr>
          </w:p>
        </w:tc>
      </w:tr>
      <w:tr w:rsidR="004000A8" w:rsidRPr="007D08D1" w14:paraId="42284C39" w14:textId="77777777" w:rsidTr="0025113D">
        <w:tc>
          <w:tcPr>
            <w:tcW w:w="4508" w:type="dxa"/>
          </w:tcPr>
          <w:p w14:paraId="5084FB0B" w14:textId="5E9E818B" w:rsidR="004000A8" w:rsidRPr="00484876" w:rsidRDefault="004000A8" w:rsidP="004000A8">
            <w:pPr>
              <w:jc w:val="both"/>
              <w:rPr>
                <w:rFonts w:asciiTheme="minorHAnsi" w:hAnsiTheme="minorHAnsi" w:cstheme="minorHAnsi"/>
                <w:sz w:val="22"/>
                <w:lang w:val="fr-BE"/>
              </w:rPr>
            </w:pPr>
            <w:r w:rsidRPr="00484876">
              <w:rPr>
                <w:rFonts w:asciiTheme="minorHAnsi" w:hAnsiTheme="minorHAnsi" w:cstheme="minorHAnsi"/>
                <w:sz w:val="22"/>
                <w:lang w:val="fr-BE"/>
              </w:rPr>
              <w:t>- maintient les effets de la disposition annulée jusqu’à l’entrée en vigueur d’une norme législative qui énumère ces données d’identification et ces documents d’identification et au plus tard jusqu’au 31 décembre 2022 inclus</w:t>
            </w:r>
            <w:r>
              <w:rPr>
                <w:rFonts w:asciiTheme="minorHAnsi" w:hAnsiTheme="minorHAnsi" w:cstheme="minorHAnsi"/>
                <w:sz w:val="22"/>
                <w:lang w:val="fr-BE"/>
              </w:rPr>
              <w:t xml:space="preserve"> </w:t>
            </w:r>
            <w:r w:rsidRPr="00484876">
              <w:rPr>
                <w:rFonts w:asciiTheme="minorHAnsi" w:hAnsiTheme="minorHAnsi" w:cstheme="minorHAnsi"/>
                <w:sz w:val="22"/>
                <w:lang w:val="fr-BE"/>
              </w:rPr>
              <w:t xml:space="preserve">; </w:t>
            </w:r>
          </w:p>
        </w:tc>
        <w:tc>
          <w:tcPr>
            <w:tcW w:w="4508" w:type="dxa"/>
          </w:tcPr>
          <w:p w14:paraId="189FB67B" w14:textId="02FCBB5E" w:rsidR="004000A8" w:rsidRPr="00484876" w:rsidRDefault="004000A8" w:rsidP="004000A8">
            <w:pPr>
              <w:jc w:val="both"/>
              <w:rPr>
                <w:rFonts w:asciiTheme="minorHAnsi" w:hAnsiTheme="minorHAnsi" w:cstheme="minorHAnsi"/>
                <w:sz w:val="22"/>
              </w:rPr>
            </w:pPr>
            <w:r w:rsidRPr="00484876">
              <w:rPr>
                <w:rFonts w:asciiTheme="minorHAnsi" w:hAnsiTheme="minorHAnsi" w:cstheme="minorHAnsi"/>
                <w:sz w:val="22"/>
              </w:rPr>
              <w:t xml:space="preserve">- handhaaft de gevolgen van de vernietigde bepaling tot de inwerkingtreding van een wetskrachtige norm waarin die identificatiegegevens en identificatiedocumenten worden opgesomd en uiterlijk tot en met 31 december 2022; </w:t>
            </w:r>
          </w:p>
        </w:tc>
      </w:tr>
      <w:tr w:rsidR="004000A8" w:rsidRPr="007D08D1" w14:paraId="38EB8AE6" w14:textId="77777777" w:rsidTr="0025113D">
        <w:tc>
          <w:tcPr>
            <w:tcW w:w="4508" w:type="dxa"/>
          </w:tcPr>
          <w:p w14:paraId="73DFF50B" w14:textId="77777777" w:rsidR="004000A8" w:rsidRPr="00484876" w:rsidRDefault="004000A8" w:rsidP="004000A8">
            <w:pPr>
              <w:jc w:val="both"/>
              <w:rPr>
                <w:rFonts w:asciiTheme="minorHAnsi" w:hAnsiTheme="minorHAnsi" w:cstheme="minorHAnsi"/>
                <w:sz w:val="22"/>
              </w:rPr>
            </w:pPr>
          </w:p>
        </w:tc>
        <w:tc>
          <w:tcPr>
            <w:tcW w:w="4508" w:type="dxa"/>
          </w:tcPr>
          <w:p w14:paraId="71C8A193" w14:textId="77777777" w:rsidR="004000A8" w:rsidRPr="00484876" w:rsidRDefault="004000A8" w:rsidP="004000A8">
            <w:pPr>
              <w:jc w:val="both"/>
              <w:rPr>
                <w:rFonts w:asciiTheme="minorHAnsi" w:hAnsiTheme="minorHAnsi" w:cstheme="minorHAnsi"/>
                <w:sz w:val="22"/>
              </w:rPr>
            </w:pPr>
          </w:p>
        </w:tc>
      </w:tr>
      <w:tr w:rsidR="004000A8" w:rsidRPr="007D08D1" w14:paraId="49505803" w14:textId="77777777" w:rsidTr="0025113D">
        <w:tc>
          <w:tcPr>
            <w:tcW w:w="4508" w:type="dxa"/>
          </w:tcPr>
          <w:p w14:paraId="0571A58E" w14:textId="3B4FCF23" w:rsidR="004000A8" w:rsidRPr="00484876" w:rsidRDefault="004000A8" w:rsidP="004000A8">
            <w:pPr>
              <w:jc w:val="both"/>
              <w:rPr>
                <w:rFonts w:asciiTheme="minorHAnsi" w:hAnsiTheme="minorHAnsi" w:cstheme="minorHAnsi"/>
                <w:sz w:val="22"/>
                <w:lang w:val="fr-BE"/>
              </w:rPr>
            </w:pPr>
            <w:r w:rsidRPr="00484876">
              <w:rPr>
                <w:rFonts w:asciiTheme="minorHAnsi" w:hAnsiTheme="minorHAnsi" w:cstheme="minorHAnsi"/>
                <w:sz w:val="22"/>
                <w:lang w:val="fr-BE"/>
              </w:rPr>
              <w:t>- rejette le recours pour le surplus, sous réserve des interprétations mentionnées en B.8.7.3, B.16.6, B.16.8.5, B.16.8.7, B.26.2, B.26.6 et B.30.4. » (dispositif de l’arrêt).</w:t>
            </w:r>
          </w:p>
        </w:tc>
        <w:tc>
          <w:tcPr>
            <w:tcW w:w="4508" w:type="dxa"/>
          </w:tcPr>
          <w:p w14:paraId="73E8E970" w14:textId="197697F2" w:rsidR="004000A8" w:rsidRPr="00484876" w:rsidRDefault="004000A8" w:rsidP="004000A8">
            <w:pPr>
              <w:jc w:val="both"/>
              <w:rPr>
                <w:rFonts w:asciiTheme="minorHAnsi" w:hAnsiTheme="minorHAnsi" w:cstheme="minorHAnsi"/>
                <w:sz w:val="22"/>
                <w:lang w:val="fr-BE"/>
              </w:rPr>
            </w:pPr>
            <w:r w:rsidRPr="00484876">
              <w:rPr>
                <w:rFonts w:asciiTheme="minorHAnsi" w:hAnsiTheme="minorHAnsi" w:cstheme="minorHAnsi"/>
                <w:sz w:val="22"/>
              </w:rPr>
              <w:t>- verwerpt het beroep voor het overige, onder voorbehoud van de in B.8.7.3, B.16.6, B.16.8.5, B.16.8.7, B.26.2, B.26.6 en B.30.4 vermelde interpretaties.” (dictum van het arrest).</w:t>
            </w:r>
          </w:p>
        </w:tc>
      </w:tr>
      <w:tr w:rsidR="004000A8" w:rsidRPr="007D08D1" w14:paraId="547C87A4" w14:textId="77777777" w:rsidTr="0025113D">
        <w:tc>
          <w:tcPr>
            <w:tcW w:w="4508" w:type="dxa"/>
          </w:tcPr>
          <w:p w14:paraId="08C06FBD" w14:textId="77777777" w:rsidR="004000A8" w:rsidRPr="00484876" w:rsidRDefault="004000A8" w:rsidP="004000A8">
            <w:pPr>
              <w:jc w:val="both"/>
              <w:rPr>
                <w:rFonts w:asciiTheme="minorHAnsi" w:hAnsiTheme="minorHAnsi" w:cstheme="minorHAnsi"/>
                <w:sz w:val="22"/>
                <w:lang w:val="fr-BE"/>
              </w:rPr>
            </w:pPr>
          </w:p>
        </w:tc>
        <w:tc>
          <w:tcPr>
            <w:tcW w:w="4508" w:type="dxa"/>
          </w:tcPr>
          <w:p w14:paraId="598B6A5E" w14:textId="77777777" w:rsidR="004000A8" w:rsidRPr="00484876" w:rsidRDefault="004000A8" w:rsidP="004000A8">
            <w:pPr>
              <w:jc w:val="both"/>
              <w:rPr>
                <w:rFonts w:asciiTheme="minorHAnsi" w:hAnsiTheme="minorHAnsi" w:cstheme="minorHAnsi"/>
                <w:sz w:val="22"/>
                <w:lang w:val="fr-BE"/>
              </w:rPr>
            </w:pPr>
          </w:p>
        </w:tc>
      </w:tr>
      <w:tr w:rsidR="004000A8" w:rsidRPr="00A80C6F" w14:paraId="4903518D" w14:textId="77777777" w:rsidTr="0025113D">
        <w:tc>
          <w:tcPr>
            <w:tcW w:w="4508" w:type="dxa"/>
          </w:tcPr>
          <w:p w14:paraId="21C37152" w14:textId="443D1D21" w:rsidR="004000A8" w:rsidRPr="00484876" w:rsidRDefault="004000A8" w:rsidP="004000A8">
            <w:pPr>
              <w:jc w:val="both"/>
              <w:rPr>
                <w:rFonts w:asciiTheme="minorHAnsi" w:hAnsiTheme="minorHAnsi" w:cstheme="minorHAnsi"/>
                <w:sz w:val="22"/>
                <w:u w:val="single"/>
                <w:lang w:val="fr-BE"/>
              </w:rPr>
            </w:pPr>
            <w:r w:rsidRPr="00484876">
              <w:rPr>
                <w:rFonts w:asciiTheme="minorHAnsi" w:hAnsiTheme="minorHAnsi" w:cstheme="minorHAnsi"/>
                <w:sz w:val="22"/>
                <w:u w:val="single"/>
                <w:lang w:val="fr-BE"/>
              </w:rPr>
              <w:t>Les avis rendus par le Conseil d’Etat et l’Autorité de protection des données sur l’avant-projet de loi qui est devenu la loi du 1</w:t>
            </w:r>
            <w:r w:rsidRPr="00484876">
              <w:rPr>
                <w:rFonts w:asciiTheme="minorHAnsi" w:hAnsiTheme="minorHAnsi" w:cstheme="minorHAnsi"/>
                <w:sz w:val="22"/>
                <w:u w:val="single"/>
                <w:vertAlign w:val="superscript"/>
                <w:lang w:val="fr-BE"/>
              </w:rPr>
              <w:t>er</w:t>
            </w:r>
            <w:r w:rsidRPr="00484876">
              <w:rPr>
                <w:rFonts w:asciiTheme="minorHAnsi" w:hAnsiTheme="minorHAnsi" w:cstheme="minorHAnsi"/>
                <w:sz w:val="22"/>
                <w:u w:val="single"/>
                <w:lang w:val="fr-BE"/>
              </w:rPr>
              <w:t xml:space="preserve"> septembre 2016 et sur l’avant-projet de loi « conservation des données »</w:t>
            </w:r>
          </w:p>
        </w:tc>
        <w:tc>
          <w:tcPr>
            <w:tcW w:w="4508" w:type="dxa"/>
          </w:tcPr>
          <w:p w14:paraId="61DF27B6" w14:textId="77936336" w:rsidR="004000A8" w:rsidRPr="00484876" w:rsidRDefault="004000A8" w:rsidP="004000A8">
            <w:pPr>
              <w:jc w:val="both"/>
              <w:rPr>
                <w:rFonts w:asciiTheme="minorHAnsi" w:hAnsiTheme="minorHAnsi" w:cstheme="minorHAnsi"/>
                <w:sz w:val="22"/>
                <w:u w:val="single"/>
              </w:rPr>
            </w:pPr>
            <w:r w:rsidRPr="00484876">
              <w:rPr>
                <w:rFonts w:asciiTheme="minorHAnsi" w:hAnsiTheme="minorHAnsi" w:cstheme="minorHAnsi"/>
                <w:sz w:val="22"/>
                <w:u w:val="single"/>
              </w:rPr>
              <w:t>De adviezen die zijn verstrekt door de Raad van State en door de Gegevensbeschermingsautoriteit over het voorontwerp van wet dat de wet van 1 september 2016 is geworden en over het voorontwerp van wet “gegevensbewaring”</w:t>
            </w:r>
          </w:p>
        </w:tc>
      </w:tr>
      <w:tr w:rsidR="004000A8" w:rsidRPr="00A80C6F" w14:paraId="4BC79C0B" w14:textId="77777777" w:rsidTr="0025113D">
        <w:tc>
          <w:tcPr>
            <w:tcW w:w="4508" w:type="dxa"/>
          </w:tcPr>
          <w:p w14:paraId="56828399" w14:textId="77777777" w:rsidR="004000A8" w:rsidRPr="00136EDB" w:rsidRDefault="004000A8" w:rsidP="004000A8">
            <w:pPr>
              <w:jc w:val="both"/>
              <w:rPr>
                <w:rFonts w:asciiTheme="minorHAnsi" w:hAnsiTheme="minorHAnsi" w:cstheme="minorHAnsi"/>
                <w:sz w:val="22"/>
              </w:rPr>
            </w:pPr>
          </w:p>
        </w:tc>
        <w:tc>
          <w:tcPr>
            <w:tcW w:w="4508" w:type="dxa"/>
          </w:tcPr>
          <w:p w14:paraId="67FF64B7" w14:textId="77777777" w:rsidR="004000A8" w:rsidRPr="00484876" w:rsidRDefault="004000A8" w:rsidP="004000A8">
            <w:pPr>
              <w:jc w:val="both"/>
              <w:rPr>
                <w:rFonts w:asciiTheme="minorHAnsi" w:hAnsiTheme="minorHAnsi" w:cstheme="minorHAnsi"/>
                <w:sz w:val="22"/>
              </w:rPr>
            </w:pPr>
          </w:p>
        </w:tc>
      </w:tr>
      <w:tr w:rsidR="004000A8" w:rsidRPr="00A80C6F" w14:paraId="3BF7AC3B" w14:textId="77777777" w:rsidTr="0025113D">
        <w:tc>
          <w:tcPr>
            <w:tcW w:w="4508" w:type="dxa"/>
          </w:tcPr>
          <w:p w14:paraId="1F5C5F4C" w14:textId="6C5201DB" w:rsidR="004000A8" w:rsidRPr="00484876" w:rsidRDefault="004000A8" w:rsidP="004000A8">
            <w:pPr>
              <w:jc w:val="both"/>
              <w:rPr>
                <w:rFonts w:asciiTheme="minorHAnsi" w:hAnsiTheme="minorHAnsi" w:cstheme="minorHAnsi"/>
                <w:sz w:val="22"/>
                <w:lang w:val="fr-BE"/>
              </w:rPr>
            </w:pPr>
            <w:r w:rsidRPr="00484876">
              <w:rPr>
                <w:rFonts w:asciiTheme="minorHAnsi" w:hAnsiTheme="minorHAnsi" w:cstheme="minorHAnsi"/>
                <w:sz w:val="22"/>
                <w:lang w:val="fr-BE"/>
              </w:rPr>
              <w:t>Dans son arrêt précité, la Cour constitutionnelle estime que les avis de la Commission de la protection de la vie privée (actuellement l’Autorité de protection des données) et du Conseil d’Etat qui ont été rendus sur l’avant-projet de loi qui est devenu la  loi du 1</w:t>
            </w:r>
            <w:r w:rsidRPr="00484876">
              <w:rPr>
                <w:rFonts w:asciiTheme="minorHAnsi" w:hAnsiTheme="minorHAnsi" w:cstheme="minorHAnsi"/>
                <w:sz w:val="22"/>
                <w:vertAlign w:val="superscript"/>
                <w:lang w:val="fr-BE"/>
              </w:rPr>
              <w:t>er</w:t>
            </w:r>
            <w:r w:rsidRPr="00484876">
              <w:rPr>
                <w:rFonts w:asciiTheme="minorHAnsi" w:hAnsiTheme="minorHAnsi" w:cstheme="minorHAnsi"/>
                <w:sz w:val="22"/>
                <w:lang w:val="fr-BE"/>
              </w:rPr>
              <w:t xml:space="preserve">  septembre 2016 portant modification de l’article 127 de la loi du 13 juin 2005 relative aux communications électroniques et de l’article 16/2 de la loi du 30 novembre 1998 organique des services de renseignement et de sécurité ci-après la loi du 1</w:t>
            </w:r>
            <w:r w:rsidRPr="00484876">
              <w:rPr>
                <w:rFonts w:asciiTheme="minorHAnsi" w:hAnsiTheme="minorHAnsi" w:cstheme="minorHAnsi"/>
                <w:sz w:val="22"/>
                <w:vertAlign w:val="superscript"/>
                <w:lang w:val="fr-BE"/>
              </w:rPr>
              <w:t>er</w:t>
            </w:r>
            <w:r w:rsidRPr="00484876">
              <w:rPr>
                <w:rFonts w:asciiTheme="minorHAnsi" w:hAnsiTheme="minorHAnsi" w:cstheme="minorHAnsi"/>
                <w:sz w:val="22"/>
                <w:lang w:val="fr-BE"/>
              </w:rPr>
              <w:t xml:space="preserve"> septembre 2016) ont seulement été partiellement suivis, dès lors que cette loi ne reprend pas les données d’identification qui peuvent être collectées et traitées et les documents d’identification qui entrent en considération. </w:t>
            </w:r>
          </w:p>
        </w:tc>
        <w:tc>
          <w:tcPr>
            <w:tcW w:w="4508" w:type="dxa"/>
          </w:tcPr>
          <w:p w14:paraId="35C0AE9E" w14:textId="211E167D" w:rsidR="004000A8" w:rsidRPr="00484876" w:rsidRDefault="004000A8" w:rsidP="004000A8">
            <w:pPr>
              <w:jc w:val="both"/>
              <w:rPr>
                <w:rFonts w:asciiTheme="minorHAnsi" w:hAnsiTheme="minorHAnsi" w:cstheme="minorHAnsi"/>
                <w:sz w:val="22"/>
              </w:rPr>
            </w:pPr>
            <w:r w:rsidRPr="00484876">
              <w:rPr>
                <w:rFonts w:asciiTheme="minorHAnsi" w:hAnsiTheme="minorHAnsi" w:cstheme="minorHAnsi"/>
                <w:sz w:val="22"/>
              </w:rPr>
              <w:t>In zijn voormelde arrest is het Grondwettelijk Hof van oordeel dat de adviezen van de Commissie voor de bescherming van de persoonlijke levenssfeer (tegenwoordig de Gegevensbeschermingsautoriteit) en van de Raad van State die verstrekt zijn over het voorontwerp van wet dat de wet van 1 september 2016 tot wijziging van artikel 127 van de wet van 13 juni 2005 betreffende de elektronische communicatie en van artikel 16/2 van de wet van 30 november 1998 houdende regeling van de inlichtingen- en veiligheidsdienst is geworden (hierna de wet van 1 september 2016) slechts gedeeltelijk zijn gevolgd, omdat deze wet niet bepaalt welke identificatiegegevens verzameld en verwerkt mogen worden en welke identificatiedocumenten in aanmerking komen.</w:t>
            </w:r>
          </w:p>
        </w:tc>
      </w:tr>
      <w:tr w:rsidR="004000A8" w:rsidRPr="00A80C6F" w14:paraId="51660DC4" w14:textId="77777777" w:rsidTr="0025113D">
        <w:tc>
          <w:tcPr>
            <w:tcW w:w="4508" w:type="dxa"/>
          </w:tcPr>
          <w:p w14:paraId="171483DE" w14:textId="77777777" w:rsidR="004000A8" w:rsidRPr="00136EDB" w:rsidRDefault="004000A8" w:rsidP="004000A8">
            <w:pPr>
              <w:jc w:val="both"/>
              <w:rPr>
                <w:rFonts w:asciiTheme="minorHAnsi" w:hAnsiTheme="minorHAnsi" w:cstheme="minorHAnsi"/>
                <w:sz w:val="22"/>
              </w:rPr>
            </w:pPr>
          </w:p>
        </w:tc>
        <w:tc>
          <w:tcPr>
            <w:tcW w:w="4508" w:type="dxa"/>
          </w:tcPr>
          <w:p w14:paraId="0913A322" w14:textId="77777777" w:rsidR="004000A8" w:rsidRPr="00484876" w:rsidRDefault="004000A8" w:rsidP="004000A8">
            <w:pPr>
              <w:jc w:val="both"/>
              <w:rPr>
                <w:rFonts w:asciiTheme="minorHAnsi" w:hAnsiTheme="minorHAnsi" w:cstheme="minorHAnsi"/>
                <w:sz w:val="22"/>
              </w:rPr>
            </w:pPr>
          </w:p>
        </w:tc>
      </w:tr>
      <w:tr w:rsidR="004000A8" w:rsidRPr="00A80C6F" w14:paraId="767777C3" w14:textId="77777777" w:rsidTr="0025113D">
        <w:tc>
          <w:tcPr>
            <w:tcW w:w="4508" w:type="dxa"/>
          </w:tcPr>
          <w:p w14:paraId="27971C31" w14:textId="1A516A7E" w:rsidR="004000A8" w:rsidRPr="00484876" w:rsidRDefault="004000A8" w:rsidP="004000A8">
            <w:pPr>
              <w:jc w:val="both"/>
              <w:rPr>
                <w:rFonts w:asciiTheme="minorHAnsi" w:hAnsiTheme="minorHAnsi" w:cstheme="minorHAnsi"/>
                <w:sz w:val="22"/>
                <w:lang w:val="fr-BE"/>
              </w:rPr>
            </w:pPr>
            <w:r w:rsidRPr="00484876">
              <w:rPr>
                <w:rFonts w:asciiTheme="minorHAnsi" w:hAnsiTheme="minorHAnsi" w:cstheme="minorHAnsi"/>
                <w:sz w:val="22"/>
                <w:lang w:val="fr-BE"/>
              </w:rPr>
              <w:t xml:space="preserve">Cependant, des modifications à l’article 127 de la loi télécom étaient prévues dans le projet de </w:t>
            </w:r>
            <w:r w:rsidRPr="00484876">
              <w:rPr>
                <w:rFonts w:asciiTheme="minorHAnsi" w:hAnsiTheme="minorHAnsi" w:cstheme="minorHAnsi"/>
                <w:sz w:val="22"/>
                <w:lang w:val="fr-BE"/>
              </w:rPr>
              <w:lastRenderedPageBreak/>
              <w:t xml:space="preserve">loi relatif à la collecte et à la conservation des données d’identification et des métadonnées dans le secteur des communications électroniques et à leur fourniture aux autorités (ci-après le projet de loi « conservation des données »). A la suite de l’arrêt du 18 novembre 2021 de la Cour constitutionnelle, ces modifications ont été retirées de cet projet. </w:t>
            </w:r>
          </w:p>
        </w:tc>
        <w:tc>
          <w:tcPr>
            <w:tcW w:w="4508" w:type="dxa"/>
          </w:tcPr>
          <w:p w14:paraId="6B214596" w14:textId="406F1647" w:rsidR="004000A8" w:rsidRPr="00484876" w:rsidRDefault="004000A8" w:rsidP="004000A8">
            <w:pPr>
              <w:jc w:val="both"/>
              <w:rPr>
                <w:rFonts w:asciiTheme="minorHAnsi" w:hAnsiTheme="minorHAnsi" w:cstheme="minorHAnsi"/>
                <w:sz w:val="22"/>
              </w:rPr>
            </w:pPr>
            <w:r w:rsidRPr="00484876">
              <w:rPr>
                <w:rFonts w:asciiTheme="minorHAnsi" w:hAnsiTheme="minorHAnsi" w:cstheme="minorHAnsi"/>
                <w:sz w:val="22"/>
              </w:rPr>
              <w:lastRenderedPageBreak/>
              <w:t xml:space="preserve">In dat wetsontwerp betreffende het verzamelen en het bewaren van de identificatiegegevens en </w:t>
            </w:r>
            <w:r w:rsidRPr="00484876">
              <w:rPr>
                <w:rFonts w:asciiTheme="minorHAnsi" w:hAnsiTheme="minorHAnsi" w:cstheme="minorHAnsi"/>
                <w:sz w:val="22"/>
              </w:rPr>
              <w:lastRenderedPageBreak/>
              <w:t>van metagegevens in de sector van de elektronische communicatie en de verstrekking ervan aan de autoriteiten (hierna het wetsontwerp “gegevensbewaring”) waren evenwel wijzigingen in artikel 127 van de telecomwet vastgesteld. Naar aanleiding van het arrest van 18 november 2021 van het Grondwettelijk Hof zijn die wijzigingen uit dat ontwerp verwijderd.</w:t>
            </w:r>
          </w:p>
        </w:tc>
      </w:tr>
      <w:tr w:rsidR="004000A8" w:rsidRPr="00A80C6F" w14:paraId="2D4A6B9D" w14:textId="77777777" w:rsidTr="0025113D">
        <w:tc>
          <w:tcPr>
            <w:tcW w:w="4508" w:type="dxa"/>
          </w:tcPr>
          <w:p w14:paraId="45A2A758" w14:textId="77777777" w:rsidR="004000A8" w:rsidRPr="00136EDB" w:rsidRDefault="004000A8" w:rsidP="004000A8">
            <w:pPr>
              <w:jc w:val="both"/>
              <w:rPr>
                <w:rFonts w:asciiTheme="minorHAnsi" w:hAnsiTheme="minorHAnsi" w:cstheme="minorHAnsi"/>
                <w:sz w:val="22"/>
              </w:rPr>
            </w:pPr>
          </w:p>
        </w:tc>
        <w:tc>
          <w:tcPr>
            <w:tcW w:w="4508" w:type="dxa"/>
          </w:tcPr>
          <w:p w14:paraId="0BFABDA7" w14:textId="77777777" w:rsidR="004000A8" w:rsidRPr="00484876" w:rsidRDefault="004000A8" w:rsidP="004000A8">
            <w:pPr>
              <w:jc w:val="both"/>
              <w:rPr>
                <w:rFonts w:asciiTheme="minorHAnsi" w:hAnsiTheme="minorHAnsi" w:cstheme="minorHAnsi"/>
                <w:sz w:val="22"/>
              </w:rPr>
            </w:pPr>
          </w:p>
        </w:tc>
      </w:tr>
      <w:tr w:rsidR="004000A8" w:rsidRPr="00A80C6F" w14:paraId="0859F9E8" w14:textId="77777777" w:rsidTr="0025113D">
        <w:tc>
          <w:tcPr>
            <w:tcW w:w="4508" w:type="dxa"/>
          </w:tcPr>
          <w:p w14:paraId="00B6659B" w14:textId="77777777" w:rsidR="004000A8" w:rsidRPr="00484876" w:rsidRDefault="004000A8" w:rsidP="004000A8">
            <w:pPr>
              <w:jc w:val="both"/>
              <w:rPr>
                <w:rFonts w:asciiTheme="minorHAnsi" w:hAnsiTheme="minorHAnsi" w:cstheme="minorHAnsi"/>
                <w:spacing w:val="-1"/>
                <w:sz w:val="22"/>
                <w:lang w:val="fr-FR"/>
              </w:rPr>
            </w:pPr>
            <w:r w:rsidRPr="00484876">
              <w:rPr>
                <w:rFonts w:asciiTheme="minorHAnsi" w:hAnsiTheme="minorHAnsi" w:cstheme="minorHAnsi"/>
                <w:sz w:val="22"/>
                <w:lang w:val="fr-BE"/>
              </w:rPr>
              <w:t xml:space="preserve">Dans le point 105 de son avis n°108/2021 du 28 juin 2021 sur l’avant-projet de loi « conservation des données », l’Autorité de protection des données a indiqué ce qui suit : </w:t>
            </w:r>
          </w:p>
          <w:p w14:paraId="603A5FCF" w14:textId="59998448" w:rsidR="004000A8" w:rsidRPr="00136EDB" w:rsidRDefault="004000A8" w:rsidP="004000A8">
            <w:pPr>
              <w:jc w:val="both"/>
              <w:rPr>
                <w:rFonts w:asciiTheme="minorHAnsi" w:hAnsiTheme="minorHAnsi" w:cstheme="minorHAnsi"/>
                <w:sz w:val="22"/>
                <w:lang w:val="fr-BE"/>
              </w:rPr>
            </w:pPr>
          </w:p>
        </w:tc>
        <w:tc>
          <w:tcPr>
            <w:tcW w:w="4508" w:type="dxa"/>
          </w:tcPr>
          <w:p w14:paraId="3A7A7EA9" w14:textId="01DC96A7" w:rsidR="004000A8" w:rsidRPr="0091738A" w:rsidRDefault="004000A8" w:rsidP="004000A8">
            <w:pPr>
              <w:jc w:val="both"/>
              <w:rPr>
                <w:rFonts w:asciiTheme="minorHAnsi" w:hAnsiTheme="minorHAnsi" w:cstheme="minorHAnsi"/>
                <w:spacing w:val="-1"/>
                <w:sz w:val="22"/>
              </w:rPr>
            </w:pPr>
            <w:r w:rsidRPr="00484876">
              <w:rPr>
                <w:rFonts w:asciiTheme="minorHAnsi" w:hAnsiTheme="minorHAnsi" w:cstheme="minorHAnsi"/>
                <w:sz w:val="22"/>
              </w:rPr>
              <w:t xml:space="preserve">In punt 105 van haar advies nr. 108/2021 van 28 juni 2021 over het voorontwerp van de wet “gegevensbewaring” heeft de Gegevensbeschermingsautoriteit het volgende aangegeven: </w:t>
            </w:r>
          </w:p>
        </w:tc>
      </w:tr>
      <w:tr w:rsidR="004000A8" w:rsidRPr="00A80C6F" w14:paraId="510A401B" w14:textId="77777777" w:rsidTr="0025113D">
        <w:tc>
          <w:tcPr>
            <w:tcW w:w="4508" w:type="dxa"/>
          </w:tcPr>
          <w:p w14:paraId="4427AC7F" w14:textId="77777777" w:rsidR="004000A8" w:rsidRPr="00136EDB" w:rsidRDefault="004000A8" w:rsidP="004000A8">
            <w:pPr>
              <w:jc w:val="both"/>
              <w:rPr>
                <w:rFonts w:asciiTheme="minorHAnsi" w:hAnsiTheme="minorHAnsi" w:cstheme="minorHAnsi"/>
                <w:sz w:val="22"/>
              </w:rPr>
            </w:pPr>
          </w:p>
        </w:tc>
        <w:tc>
          <w:tcPr>
            <w:tcW w:w="4508" w:type="dxa"/>
          </w:tcPr>
          <w:p w14:paraId="41115582" w14:textId="77777777" w:rsidR="004000A8" w:rsidRPr="00484876" w:rsidRDefault="004000A8" w:rsidP="004000A8">
            <w:pPr>
              <w:jc w:val="both"/>
              <w:rPr>
                <w:rFonts w:asciiTheme="minorHAnsi" w:hAnsiTheme="minorHAnsi" w:cstheme="minorHAnsi"/>
                <w:sz w:val="22"/>
              </w:rPr>
            </w:pPr>
          </w:p>
        </w:tc>
      </w:tr>
      <w:tr w:rsidR="004000A8" w:rsidRPr="00A80C6F" w14:paraId="295272B0" w14:textId="77777777" w:rsidTr="0025113D">
        <w:tc>
          <w:tcPr>
            <w:tcW w:w="4508" w:type="dxa"/>
          </w:tcPr>
          <w:p w14:paraId="3E447A3C" w14:textId="71749479" w:rsidR="004000A8" w:rsidRPr="00484876" w:rsidRDefault="004000A8" w:rsidP="004000A8">
            <w:pPr>
              <w:jc w:val="both"/>
              <w:rPr>
                <w:rFonts w:asciiTheme="minorHAnsi" w:hAnsiTheme="minorHAnsi" w:cstheme="minorHAnsi"/>
                <w:sz w:val="22"/>
                <w:lang w:val="fr-BE"/>
              </w:rPr>
            </w:pPr>
            <w:r w:rsidRPr="00484876">
              <w:rPr>
                <w:rFonts w:asciiTheme="minorHAnsi" w:hAnsiTheme="minorHAnsi" w:cstheme="minorHAnsi"/>
                <w:sz w:val="22"/>
                <w:lang w:val="fr-BE"/>
              </w:rPr>
              <w:t xml:space="preserve">« Ensuite, le nouvel article 127 § 3 de la loi télécom habilite le Roi, mais de manière facultative, à déterminer les données et documents d’identification à collecter et à conserver par l’opérateur. L’exigence de prévisibilité requiert que ces données et documents soient déterminés. Soit le législateur procède lui-même à cette détermination, soit il délègue au Roi le soin d’y procéder, mais cette habilitation doit alors présenter un caractère obligatoire. </w:t>
            </w:r>
            <w:proofErr w:type="spellStart"/>
            <w:r w:rsidRPr="00484876">
              <w:rPr>
                <w:rFonts w:asciiTheme="minorHAnsi" w:hAnsiTheme="minorHAnsi" w:cstheme="minorHAnsi"/>
                <w:sz w:val="22"/>
              </w:rPr>
              <w:t>L’avant-projet</w:t>
            </w:r>
            <w:proofErr w:type="spellEnd"/>
            <w:r w:rsidRPr="00484876">
              <w:rPr>
                <w:rFonts w:asciiTheme="minorHAnsi" w:hAnsiTheme="minorHAnsi" w:cstheme="minorHAnsi"/>
                <w:sz w:val="22"/>
              </w:rPr>
              <w:t xml:space="preserve"> de </w:t>
            </w:r>
            <w:proofErr w:type="spellStart"/>
            <w:r w:rsidRPr="00484876">
              <w:rPr>
                <w:rFonts w:asciiTheme="minorHAnsi" w:hAnsiTheme="minorHAnsi" w:cstheme="minorHAnsi"/>
                <w:sz w:val="22"/>
              </w:rPr>
              <w:t>loi</w:t>
            </w:r>
            <w:proofErr w:type="spellEnd"/>
            <w:r w:rsidRPr="00484876">
              <w:rPr>
                <w:rFonts w:asciiTheme="minorHAnsi" w:hAnsiTheme="minorHAnsi" w:cstheme="minorHAnsi"/>
                <w:sz w:val="22"/>
              </w:rPr>
              <w:t xml:space="preserve"> sera </w:t>
            </w:r>
            <w:proofErr w:type="spellStart"/>
            <w:r w:rsidRPr="00484876">
              <w:rPr>
                <w:rFonts w:asciiTheme="minorHAnsi" w:hAnsiTheme="minorHAnsi" w:cstheme="minorHAnsi"/>
                <w:sz w:val="22"/>
              </w:rPr>
              <w:t>revu</w:t>
            </w:r>
            <w:proofErr w:type="spellEnd"/>
            <w:r w:rsidRPr="00484876">
              <w:rPr>
                <w:rFonts w:asciiTheme="minorHAnsi" w:hAnsiTheme="minorHAnsi" w:cstheme="minorHAnsi"/>
                <w:sz w:val="22"/>
              </w:rPr>
              <w:t xml:space="preserve"> en </w:t>
            </w:r>
            <w:proofErr w:type="spellStart"/>
            <w:r w:rsidRPr="00484876">
              <w:rPr>
                <w:rFonts w:asciiTheme="minorHAnsi" w:hAnsiTheme="minorHAnsi" w:cstheme="minorHAnsi"/>
                <w:sz w:val="22"/>
              </w:rPr>
              <w:t>ce</w:t>
            </w:r>
            <w:proofErr w:type="spellEnd"/>
            <w:r w:rsidRPr="00484876">
              <w:rPr>
                <w:rFonts w:asciiTheme="minorHAnsi" w:hAnsiTheme="minorHAnsi" w:cstheme="minorHAnsi"/>
                <w:sz w:val="22"/>
              </w:rPr>
              <w:t xml:space="preserve"> sens. »</w:t>
            </w:r>
          </w:p>
        </w:tc>
        <w:tc>
          <w:tcPr>
            <w:tcW w:w="4508" w:type="dxa"/>
          </w:tcPr>
          <w:p w14:paraId="64123399" w14:textId="47CADE6E" w:rsidR="004000A8" w:rsidRPr="00484876" w:rsidRDefault="004000A8" w:rsidP="004000A8">
            <w:pPr>
              <w:jc w:val="both"/>
              <w:rPr>
                <w:rFonts w:asciiTheme="minorHAnsi" w:hAnsiTheme="minorHAnsi" w:cstheme="minorHAnsi"/>
                <w:sz w:val="22"/>
              </w:rPr>
            </w:pPr>
            <w:r w:rsidRPr="00484876">
              <w:rPr>
                <w:rFonts w:asciiTheme="minorHAnsi" w:hAnsiTheme="minorHAnsi" w:cstheme="minorHAnsi"/>
                <w:sz w:val="22"/>
              </w:rPr>
              <w:t>“Ten tweede machtigt het nieuwe artikel 127 § 3 van de telecomwet de Koning, echter louter facultatief, om de door de operator te verzamelen en te bewaren identificatiegegevens en -documenten te bepalen. Volgens de eis van voorzienbaarheid echter moeten deze gegevens en documenten nader worden bepaald. Ze kunnen worden bepaald door de wetgever zelf of door de Koning, maar in dat laatste geval moet de machtiging verplicht zijn. Het voorontwerp van wet moet in die zin worden aangepast.”</w:t>
            </w:r>
          </w:p>
        </w:tc>
      </w:tr>
      <w:tr w:rsidR="004000A8" w:rsidRPr="00A80C6F" w14:paraId="2AE45DB5" w14:textId="77777777" w:rsidTr="0025113D">
        <w:tc>
          <w:tcPr>
            <w:tcW w:w="4508" w:type="dxa"/>
          </w:tcPr>
          <w:p w14:paraId="6158C5D9" w14:textId="77777777" w:rsidR="004000A8" w:rsidRPr="00484876" w:rsidRDefault="004000A8" w:rsidP="004000A8">
            <w:pPr>
              <w:jc w:val="both"/>
              <w:rPr>
                <w:rFonts w:asciiTheme="minorHAnsi" w:hAnsiTheme="minorHAnsi" w:cstheme="minorHAnsi"/>
                <w:sz w:val="22"/>
              </w:rPr>
            </w:pPr>
          </w:p>
        </w:tc>
        <w:tc>
          <w:tcPr>
            <w:tcW w:w="4508" w:type="dxa"/>
          </w:tcPr>
          <w:p w14:paraId="25AAF777" w14:textId="77777777" w:rsidR="004000A8" w:rsidRPr="00484876" w:rsidRDefault="004000A8" w:rsidP="004000A8">
            <w:pPr>
              <w:jc w:val="both"/>
              <w:rPr>
                <w:rFonts w:asciiTheme="minorHAnsi" w:hAnsiTheme="minorHAnsi" w:cstheme="minorHAnsi"/>
                <w:sz w:val="22"/>
              </w:rPr>
            </w:pPr>
          </w:p>
        </w:tc>
      </w:tr>
      <w:tr w:rsidR="004000A8" w:rsidRPr="00A80C6F" w14:paraId="35F1BDF8" w14:textId="77777777" w:rsidTr="0025113D">
        <w:tc>
          <w:tcPr>
            <w:tcW w:w="4508" w:type="dxa"/>
          </w:tcPr>
          <w:p w14:paraId="7ED4EAF5" w14:textId="0FDD99C2" w:rsidR="004000A8" w:rsidRPr="00484876" w:rsidRDefault="004000A8" w:rsidP="004000A8">
            <w:pPr>
              <w:jc w:val="both"/>
              <w:rPr>
                <w:rFonts w:asciiTheme="minorHAnsi" w:hAnsiTheme="minorHAnsi" w:cstheme="minorHAnsi"/>
                <w:sz w:val="22"/>
                <w:lang w:val="fr-BE"/>
              </w:rPr>
            </w:pPr>
            <w:r w:rsidRPr="00484876">
              <w:rPr>
                <w:rFonts w:asciiTheme="minorHAnsi" w:hAnsiTheme="minorHAnsi" w:cstheme="minorHAnsi"/>
                <w:sz w:val="22"/>
                <w:lang w:val="fr-FR"/>
              </w:rPr>
              <w:t xml:space="preserve">Il en ressort que selon l’Autorité de protection des données, la loi ne doit pas obligatoirement déterminer les données d’identification et les copies </w:t>
            </w:r>
            <w:r>
              <w:rPr>
                <w:rFonts w:asciiTheme="minorHAnsi" w:hAnsiTheme="minorHAnsi" w:cstheme="minorHAnsi"/>
                <w:sz w:val="22"/>
                <w:lang w:val="fr-FR"/>
              </w:rPr>
              <w:t>du</w:t>
            </w:r>
            <w:r w:rsidRPr="00484876">
              <w:rPr>
                <w:rFonts w:asciiTheme="minorHAnsi" w:hAnsiTheme="minorHAnsi" w:cstheme="minorHAnsi"/>
                <w:sz w:val="22"/>
                <w:lang w:val="fr-FR"/>
              </w:rPr>
              <w:t xml:space="preserve"> </w:t>
            </w:r>
            <w:r>
              <w:rPr>
                <w:rFonts w:asciiTheme="minorHAnsi" w:hAnsiTheme="minorHAnsi" w:cstheme="minorHAnsi"/>
                <w:sz w:val="22"/>
                <w:lang w:val="fr-FR"/>
              </w:rPr>
              <w:t>document d’identification</w:t>
            </w:r>
            <w:r w:rsidRPr="00484876">
              <w:rPr>
                <w:rFonts w:asciiTheme="minorHAnsi" w:hAnsiTheme="minorHAnsi" w:cstheme="minorHAnsi"/>
                <w:sz w:val="22"/>
                <w:lang w:val="fr-FR"/>
              </w:rPr>
              <w:t xml:space="preserve"> à collecter et à conserver par l’opérateur, étant donné que cela peut être fait par arrêté royal. </w:t>
            </w:r>
          </w:p>
        </w:tc>
        <w:tc>
          <w:tcPr>
            <w:tcW w:w="4508" w:type="dxa"/>
          </w:tcPr>
          <w:p w14:paraId="4946A341" w14:textId="5264A88A" w:rsidR="004000A8" w:rsidRPr="00484876" w:rsidRDefault="004000A8" w:rsidP="004000A8">
            <w:pPr>
              <w:jc w:val="both"/>
              <w:rPr>
                <w:rFonts w:asciiTheme="minorHAnsi" w:hAnsiTheme="minorHAnsi" w:cstheme="minorHAnsi"/>
                <w:sz w:val="22"/>
              </w:rPr>
            </w:pPr>
            <w:r w:rsidRPr="00484876">
              <w:rPr>
                <w:rFonts w:asciiTheme="minorHAnsi" w:hAnsiTheme="minorHAnsi" w:cstheme="minorHAnsi"/>
                <w:sz w:val="22"/>
              </w:rPr>
              <w:t xml:space="preserve">Daaruit vloeit voort dat volgens de Gegevensbeschermingsautoriteit, de wet niet verplicht de identificatiegegevens en de </w:t>
            </w:r>
            <w:proofErr w:type="spellStart"/>
            <w:r w:rsidRPr="00484876">
              <w:rPr>
                <w:rFonts w:asciiTheme="minorHAnsi" w:hAnsiTheme="minorHAnsi" w:cstheme="minorHAnsi"/>
                <w:sz w:val="22"/>
              </w:rPr>
              <w:t>kopies</w:t>
            </w:r>
            <w:proofErr w:type="spellEnd"/>
            <w:r w:rsidRPr="00484876">
              <w:rPr>
                <w:rFonts w:asciiTheme="minorHAnsi" w:hAnsiTheme="minorHAnsi" w:cstheme="minorHAnsi"/>
                <w:sz w:val="22"/>
              </w:rPr>
              <w:t xml:space="preserve"> van identificatiedocumenten die door de operator verzameld en bewaard moeten worden, moet bepalen, aangezien dat via koninklijk besluit kan gebeuren.</w:t>
            </w:r>
          </w:p>
        </w:tc>
      </w:tr>
      <w:tr w:rsidR="004000A8" w:rsidRPr="00A80C6F" w14:paraId="523616D7" w14:textId="77777777" w:rsidTr="0025113D">
        <w:tc>
          <w:tcPr>
            <w:tcW w:w="4508" w:type="dxa"/>
          </w:tcPr>
          <w:p w14:paraId="7A6DD9D7" w14:textId="77777777" w:rsidR="004000A8" w:rsidRPr="00136EDB" w:rsidRDefault="004000A8" w:rsidP="004000A8">
            <w:pPr>
              <w:jc w:val="both"/>
              <w:rPr>
                <w:rFonts w:asciiTheme="minorHAnsi" w:hAnsiTheme="minorHAnsi" w:cstheme="minorHAnsi"/>
                <w:sz w:val="22"/>
              </w:rPr>
            </w:pPr>
          </w:p>
        </w:tc>
        <w:tc>
          <w:tcPr>
            <w:tcW w:w="4508" w:type="dxa"/>
          </w:tcPr>
          <w:p w14:paraId="634B1373" w14:textId="77777777" w:rsidR="004000A8" w:rsidRPr="00484876" w:rsidRDefault="004000A8" w:rsidP="004000A8">
            <w:pPr>
              <w:jc w:val="both"/>
              <w:rPr>
                <w:rFonts w:asciiTheme="minorHAnsi" w:hAnsiTheme="minorHAnsi" w:cstheme="minorHAnsi"/>
                <w:sz w:val="22"/>
              </w:rPr>
            </w:pPr>
          </w:p>
        </w:tc>
      </w:tr>
      <w:tr w:rsidR="004000A8" w:rsidRPr="00A80C6F" w14:paraId="1137F743" w14:textId="77777777" w:rsidTr="0025113D">
        <w:tc>
          <w:tcPr>
            <w:tcW w:w="4508" w:type="dxa"/>
          </w:tcPr>
          <w:p w14:paraId="1611A644" w14:textId="6B5B7684" w:rsidR="004000A8" w:rsidRPr="00484876" w:rsidRDefault="004000A8" w:rsidP="004000A8">
            <w:pPr>
              <w:jc w:val="both"/>
              <w:rPr>
                <w:rFonts w:asciiTheme="minorHAnsi" w:hAnsiTheme="minorHAnsi" w:cstheme="minorHAnsi"/>
                <w:sz w:val="22"/>
                <w:lang w:val="fr-BE"/>
              </w:rPr>
            </w:pPr>
            <w:bookmarkStart w:id="15" w:name="_Hlk88560776"/>
            <w:r w:rsidRPr="00484876">
              <w:rPr>
                <w:rFonts w:asciiTheme="minorHAnsi" w:hAnsiTheme="minorHAnsi" w:cstheme="minorHAnsi"/>
                <w:sz w:val="22"/>
                <w:lang w:val="fr-FR"/>
              </w:rPr>
              <w:t xml:space="preserve">Dans son avis </w:t>
            </w:r>
            <w:r w:rsidRPr="00484876">
              <w:rPr>
                <w:rFonts w:asciiTheme="minorHAnsi" w:hAnsiTheme="minorHAnsi" w:cstheme="minorHAnsi"/>
                <w:sz w:val="22"/>
                <w:lang w:val="fr-BE"/>
              </w:rPr>
              <w:t>n</w:t>
            </w:r>
            <w:r w:rsidRPr="00484876">
              <w:rPr>
                <w:rFonts w:asciiTheme="minorHAnsi" w:hAnsiTheme="minorHAnsi" w:cstheme="minorHAnsi"/>
                <w:sz w:val="22"/>
                <w:lang w:val="fr-FR"/>
              </w:rPr>
              <w:t>°69.381/4 du 28</w:t>
            </w:r>
            <w:r w:rsidRPr="00484876">
              <w:rPr>
                <w:rFonts w:asciiTheme="minorHAnsi" w:hAnsiTheme="minorHAnsi" w:cstheme="minorHAnsi"/>
                <w:sz w:val="22"/>
                <w:lang w:val="fr-BE"/>
              </w:rPr>
              <w:t xml:space="preserve"> juin 2021 sur ce même avant-projet de loi</w:t>
            </w:r>
            <w:r w:rsidRPr="00484876">
              <w:rPr>
                <w:rFonts w:asciiTheme="minorHAnsi" w:hAnsiTheme="minorHAnsi" w:cstheme="minorHAnsi"/>
                <w:sz w:val="22"/>
                <w:lang w:val="fr-FR"/>
              </w:rPr>
              <w:t>, le Conseil d’Etat a fait des remarques sur les modifications à l’article 127 de la</w:t>
            </w:r>
            <w:r>
              <w:rPr>
                <w:rFonts w:asciiTheme="minorHAnsi" w:hAnsiTheme="minorHAnsi" w:cstheme="minorHAnsi"/>
                <w:sz w:val="22"/>
                <w:lang w:val="fr-FR"/>
              </w:rPr>
              <w:t xml:space="preserve"> loi</w:t>
            </w:r>
            <w:r w:rsidRPr="00484876">
              <w:rPr>
                <w:rFonts w:asciiTheme="minorHAnsi" w:hAnsiTheme="minorHAnsi" w:cstheme="minorHAnsi"/>
                <w:sz w:val="22"/>
                <w:lang w:val="fr-FR"/>
              </w:rPr>
              <w:t xml:space="preserve"> télécom mais n’a pas </w:t>
            </w:r>
            <w:r w:rsidRPr="00484876">
              <w:rPr>
                <w:rFonts w:asciiTheme="minorHAnsi" w:hAnsiTheme="minorHAnsi" w:cstheme="minorHAnsi"/>
                <w:sz w:val="22"/>
                <w:lang w:val="fr-BE"/>
              </w:rPr>
              <w:t>fait de remarque sur l’article 127, § 3, alinéa 1</w:t>
            </w:r>
            <w:r w:rsidRPr="00484876">
              <w:rPr>
                <w:rFonts w:asciiTheme="minorHAnsi" w:hAnsiTheme="minorHAnsi" w:cstheme="minorHAnsi"/>
                <w:sz w:val="22"/>
                <w:vertAlign w:val="superscript"/>
                <w:lang w:val="fr-BE"/>
              </w:rPr>
              <w:t>er</w:t>
            </w:r>
            <w:r w:rsidRPr="00484876">
              <w:rPr>
                <w:rFonts w:asciiTheme="minorHAnsi" w:hAnsiTheme="minorHAnsi" w:cstheme="minorHAnsi"/>
                <w:sz w:val="22"/>
                <w:lang w:val="fr-BE"/>
              </w:rPr>
              <w:t>,  3°, en projet, qui permettait au Roi de « </w:t>
            </w:r>
            <w:r w:rsidRPr="00484876">
              <w:rPr>
                <w:rFonts w:asciiTheme="minorHAnsi" w:hAnsiTheme="minorHAnsi" w:cstheme="minorHAnsi"/>
                <w:sz w:val="22"/>
                <w:lang w:val="fr-FR"/>
              </w:rPr>
              <w:t>déterminer les données et documents d’identification à collecter et à conserver par l’opérateur ».</w:t>
            </w:r>
            <w:bookmarkEnd w:id="15"/>
          </w:p>
        </w:tc>
        <w:tc>
          <w:tcPr>
            <w:tcW w:w="4508" w:type="dxa"/>
          </w:tcPr>
          <w:p w14:paraId="3E244A02" w14:textId="4B73FE5E" w:rsidR="004000A8" w:rsidRPr="00484876" w:rsidRDefault="004000A8" w:rsidP="004000A8">
            <w:pPr>
              <w:jc w:val="both"/>
              <w:rPr>
                <w:rFonts w:asciiTheme="minorHAnsi" w:hAnsiTheme="minorHAnsi" w:cstheme="minorHAnsi"/>
                <w:sz w:val="22"/>
              </w:rPr>
            </w:pPr>
            <w:r w:rsidRPr="00484876">
              <w:rPr>
                <w:rFonts w:asciiTheme="minorHAnsi" w:hAnsiTheme="minorHAnsi" w:cstheme="minorHAnsi"/>
                <w:sz w:val="22"/>
              </w:rPr>
              <w:t>In zijn advies nr. 69.381/4 van 28 juni 2021 over datzelfde voorontwerp van wet heeft de Raad van State opmerkingen gemaakt over de wijzigingen in artikel 127 van de telecomwet, maar heeft hij geen opmerking gemaakt over het ontworpen artikel 127, § 3, eerste lid, 3°, dat de Koning in staat zou stellen om “de door de operator te verzamelen en bewaren identificatiegegevens en -documenten [te] bepalen”.</w:t>
            </w:r>
          </w:p>
        </w:tc>
      </w:tr>
      <w:tr w:rsidR="004000A8" w:rsidRPr="00A80C6F" w14:paraId="6E1A34F1" w14:textId="77777777" w:rsidTr="0025113D">
        <w:tc>
          <w:tcPr>
            <w:tcW w:w="4508" w:type="dxa"/>
          </w:tcPr>
          <w:p w14:paraId="3F2641A8" w14:textId="77777777" w:rsidR="004000A8" w:rsidRPr="00136EDB" w:rsidRDefault="004000A8" w:rsidP="004000A8">
            <w:pPr>
              <w:jc w:val="both"/>
              <w:rPr>
                <w:rFonts w:asciiTheme="minorHAnsi" w:hAnsiTheme="minorHAnsi" w:cstheme="minorHAnsi"/>
                <w:sz w:val="22"/>
              </w:rPr>
            </w:pPr>
          </w:p>
        </w:tc>
        <w:tc>
          <w:tcPr>
            <w:tcW w:w="4508" w:type="dxa"/>
          </w:tcPr>
          <w:p w14:paraId="39B19E7F" w14:textId="77777777" w:rsidR="004000A8" w:rsidRPr="00484876" w:rsidRDefault="004000A8" w:rsidP="004000A8">
            <w:pPr>
              <w:jc w:val="both"/>
              <w:rPr>
                <w:rFonts w:asciiTheme="minorHAnsi" w:hAnsiTheme="minorHAnsi" w:cstheme="minorHAnsi"/>
                <w:sz w:val="22"/>
              </w:rPr>
            </w:pPr>
          </w:p>
        </w:tc>
      </w:tr>
      <w:tr w:rsidR="004000A8" w:rsidRPr="00A80C6F" w14:paraId="549D4F98" w14:textId="77777777" w:rsidTr="0025113D">
        <w:tc>
          <w:tcPr>
            <w:tcW w:w="4508" w:type="dxa"/>
          </w:tcPr>
          <w:p w14:paraId="2B157239" w14:textId="3BF23949" w:rsidR="004000A8" w:rsidRPr="00484876" w:rsidRDefault="004000A8" w:rsidP="004000A8">
            <w:pPr>
              <w:jc w:val="both"/>
              <w:rPr>
                <w:rFonts w:asciiTheme="minorHAnsi" w:hAnsiTheme="minorHAnsi" w:cstheme="minorHAnsi"/>
                <w:sz w:val="22"/>
                <w:u w:val="single"/>
                <w:lang w:val="fr-BE"/>
              </w:rPr>
            </w:pPr>
            <w:r w:rsidRPr="00484876">
              <w:rPr>
                <w:rFonts w:asciiTheme="minorHAnsi" w:hAnsiTheme="minorHAnsi" w:cstheme="minorHAnsi"/>
                <w:sz w:val="22"/>
                <w:u w:val="single"/>
                <w:lang w:val="fr-BE"/>
              </w:rPr>
              <w:t xml:space="preserve">L’exigence de fixer dans la loi les éléments essentiels du traitement de données et les </w:t>
            </w:r>
            <w:r w:rsidRPr="00484876">
              <w:rPr>
                <w:rFonts w:asciiTheme="minorHAnsi" w:hAnsiTheme="minorHAnsi" w:cstheme="minorHAnsi"/>
                <w:sz w:val="22"/>
                <w:u w:val="single"/>
                <w:lang w:val="fr-BE"/>
              </w:rPr>
              <w:lastRenderedPageBreak/>
              <w:t>motifs qui peuvent justifier que certaines règles  se trouvent dans un arrêté royal</w:t>
            </w:r>
          </w:p>
        </w:tc>
        <w:tc>
          <w:tcPr>
            <w:tcW w:w="4508" w:type="dxa"/>
          </w:tcPr>
          <w:p w14:paraId="70CBC6FA" w14:textId="568C76E4" w:rsidR="004000A8" w:rsidRPr="00484876" w:rsidRDefault="004000A8" w:rsidP="004000A8">
            <w:pPr>
              <w:jc w:val="both"/>
              <w:rPr>
                <w:rFonts w:asciiTheme="minorHAnsi" w:hAnsiTheme="minorHAnsi" w:cstheme="minorHAnsi"/>
                <w:sz w:val="22"/>
                <w:u w:val="single"/>
              </w:rPr>
            </w:pPr>
            <w:r w:rsidRPr="00484876">
              <w:rPr>
                <w:rFonts w:asciiTheme="minorHAnsi" w:hAnsiTheme="minorHAnsi" w:cstheme="minorHAnsi"/>
                <w:sz w:val="22"/>
                <w:u w:val="single"/>
              </w:rPr>
              <w:lastRenderedPageBreak/>
              <w:t xml:space="preserve">De eis om in de wet de essentiële elementen van de gegevensverwerking vast te stellen en de redenen die kunnen rechtvaardigen waarom </w:t>
            </w:r>
            <w:r w:rsidRPr="00484876">
              <w:rPr>
                <w:rFonts w:asciiTheme="minorHAnsi" w:hAnsiTheme="minorHAnsi" w:cstheme="minorHAnsi"/>
                <w:sz w:val="22"/>
                <w:u w:val="single"/>
              </w:rPr>
              <w:lastRenderedPageBreak/>
              <w:t>sommige regels zich in een koninklijk besluit bevinden</w:t>
            </w:r>
          </w:p>
        </w:tc>
      </w:tr>
      <w:tr w:rsidR="004000A8" w:rsidRPr="00A80C6F" w14:paraId="1CE0229B" w14:textId="77777777" w:rsidTr="0025113D">
        <w:tc>
          <w:tcPr>
            <w:tcW w:w="4508" w:type="dxa"/>
          </w:tcPr>
          <w:p w14:paraId="333A195A" w14:textId="77777777" w:rsidR="004000A8" w:rsidRPr="00136EDB" w:rsidRDefault="004000A8" w:rsidP="004000A8">
            <w:pPr>
              <w:jc w:val="both"/>
              <w:rPr>
                <w:rFonts w:asciiTheme="minorHAnsi" w:hAnsiTheme="minorHAnsi" w:cstheme="minorHAnsi"/>
                <w:sz w:val="22"/>
                <w:u w:val="single"/>
              </w:rPr>
            </w:pPr>
          </w:p>
        </w:tc>
        <w:tc>
          <w:tcPr>
            <w:tcW w:w="4508" w:type="dxa"/>
          </w:tcPr>
          <w:p w14:paraId="56EB531B" w14:textId="77777777" w:rsidR="004000A8" w:rsidRPr="00484876" w:rsidRDefault="004000A8" w:rsidP="004000A8">
            <w:pPr>
              <w:jc w:val="both"/>
              <w:rPr>
                <w:rFonts w:asciiTheme="minorHAnsi" w:hAnsiTheme="minorHAnsi" w:cstheme="minorHAnsi"/>
                <w:sz w:val="22"/>
                <w:u w:val="single"/>
              </w:rPr>
            </w:pPr>
          </w:p>
        </w:tc>
      </w:tr>
      <w:tr w:rsidR="004000A8" w:rsidRPr="00484876" w14:paraId="3DF02646" w14:textId="77777777" w:rsidTr="0025113D">
        <w:tc>
          <w:tcPr>
            <w:tcW w:w="4508" w:type="dxa"/>
          </w:tcPr>
          <w:p w14:paraId="6B98F640" w14:textId="46A460E3" w:rsidR="004000A8" w:rsidRPr="00470B40" w:rsidRDefault="004000A8" w:rsidP="004000A8">
            <w:pPr>
              <w:jc w:val="both"/>
              <w:rPr>
                <w:rFonts w:asciiTheme="minorHAnsi" w:hAnsiTheme="minorHAnsi" w:cstheme="minorHAnsi"/>
                <w:sz w:val="22"/>
                <w:lang w:val="fr-BE"/>
              </w:rPr>
            </w:pPr>
            <w:r w:rsidRPr="00484876">
              <w:rPr>
                <w:rFonts w:asciiTheme="minorHAnsi" w:hAnsiTheme="minorHAnsi" w:cstheme="minorHAnsi"/>
                <w:sz w:val="22"/>
                <w:lang w:val="fr-BE"/>
              </w:rPr>
              <w:t xml:space="preserve">Dans l’arrêt du 18 novembre 2021, la Cour constitutionnelle rappelle ce qui suit : </w:t>
            </w:r>
          </w:p>
        </w:tc>
        <w:tc>
          <w:tcPr>
            <w:tcW w:w="4508" w:type="dxa"/>
          </w:tcPr>
          <w:p w14:paraId="662BEB56" w14:textId="2B25C174" w:rsidR="004000A8" w:rsidRPr="00470B40" w:rsidRDefault="004000A8" w:rsidP="004000A8">
            <w:pPr>
              <w:jc w:val="both"/>
              <w:rPr>
                <w:rFonts w:asciiTheme="minorHAnsi" w:hAnsiTheme="minorHAnsi" w:cstheme="minorHAnsi"/>
                <w:sz w:val="22"/>
              </w:rPr>
            </w:pPr>
            <w:r w:rsidRPr="00484876">
              <w:rPr>
                <w:rFonts w:asciiTheme="minorHAnsi" w:hAnsiTheme="minorHAnsi" w:cstheme="minorHAnsi"/>
                <w:sz w:val="22"/>
              </w:rPr>
              <w:t xml:space="preserve">In het arrest van 18 november 2021 herinnert het Grondwettelijk Hof aan het volgende: </w:t>
            </w:r>
          </w:p>
        </w:tc>
      </w:tr>
      <w:tr w:rsidR="004000A8" w:rsidRPr="00484876" w14:paraId="6ADEEBB8" w14:textId="77777777" w:rsidTr="0025113D">
        <w:tc>
          <w:tcPr>
            <w:tcW w:w="4508" w:type="dxa"/>
          </w:tcPr>
          <w:p w14:paraId="03A7CB97" w14:textId="77777777" w:rsidR="004000A8" w:rsidRPr="00484876" w:rsidRDefault="004000A8" w:rsidP="004000A8">
            <w:pPr>
              <w:jc w:val="both"/>
              <w:rPr>
                <w:rFonts w:asciiTheme="minorHAnsi" w:hAnsiTheme="minorHAnsi" w:cstheme="minorHAnsi"/>
                <w:sz w:val="22"/>
                <w:u w:val="single"/>
              </w:rPr>
            </w:pPr>
          </w:p>
        </w:tc>
        <w:tc>
          <w:tcPr>
            <w:tcW w:w="4508" w:type="dxa"/>
          </w:tcPr>
          <w:p w14:paraId="573A1906" w14:textId="77777777" w:rsidR="004000A8" w:rsidRPr="00484876" w:rsidRDefault="004000A8" w:rsidP="004000A8">
            <w:pPr>
              <w:jc w:val="both"/>
              <w:rPr>
                <w:rFonts w:asciiTheme="minorHAnsi" w:hAnsiTheme="minorHAnsi" w:cstheme="minorHAnsi"/>
                <w:sz w:val="22"/>
                <w:u w:val="single"/>
              </w:rPr>
            </w:pPr>
          </w:p>
        </w:tc>
      </w:tr>
      <w:tr w:rsidR="004000A8" w:rsidRPr="00484876" w14:paraId="4257A78C" w14:textId="77777777" w:rsidTr="0025113D">
        <w:tc>
          <w:tcPr>
            <w:tcW w:w="4508" w:type="dxa"/>
          </w:tcPr>
          <w:p w14:paraId="22B0B178" w14:textId="4698D010" w:rsidR="004000A8" w:rsidRPr="00470B40" w:rsidRDefault="004000A8" w:rsidP="004000A8">
            <w:pPr>
              <w:pStyle w:val="Lijstalinea"/>
              <w:numPr>
                <w:ilvl w:val="0"/>
                <w:numId w:val="1"/>
              </w:numPr>
              <w:spacing w:before="0"/>
              <w:rPr>
                <w:rFonts w:asciiTheme="minorHAnsi" w:hAnsiTheme="minorHAnsi" w:cstheme="minorHAnsi"/>
                <w:lang w:val="fr-BE"/>
              </w:rPr>
            </w:pPr>
            <w:r w:rsidRPr="00484876">
              <w:rPr>
                <w:rFonts w:asciiTheme="minorHAnsi" w:hAnsiTheme="minorHAnsi" w:cstheme="minorHAnsi"/>
                <w:lang w:val="fr-BE"/>
              </w:rPr>
              <w:t>« B.6. En réservant au législateur compétent le pouvoir de fixer dans quels cas et à quelles conditions il peut être porté atteinte au droit au respect de la vie privée, l’article 22 de la Constitution garantit à tout justiciable qu’aucune ingérence dans l’exercice de ce droit ne peut avoir lieu qu’en vertu de règles adoptées par une assemblée délibérante, démocratiquement élue.</w:t>
            </w:r>
          </w:p>
        </w:tc>
        <w:tc>
          <w:tcPr>
            <w:tcW w:w="4508" w:type="dxa"/>
          </w:tcPr>
          <w:p w14:paraId="6F950116" w14:textId="47F803ED" w:rsidR="004000A8" w:rsidRPr="00484876" w:rsidRDefault="004000A8" w:rsidP="004000A8">
            <w:pPr>
              <w:jc w:val="both"/>
              <w:rPr>
                <w:rFonts w:asciiTheme="minorHAnsi" w:hAnsiTheme="minorHAnsi" w:cstheme="minorHAnsi"/>
                <w:sz w:val="22"/>
                <w:u w:val="single"/>
              </w:rPr>
            </w:pPr>
            <w:r w:rsidRPr="00484876">
              <w:rPr>
                <w:rFonts w:asciiTheme="minorHAnsi" w:hAnsiTheme="minorHAnsi" w:cstheme="minorHAnsi"/>
                <w:sz w:val="22"/>
              </w:rPr>
              <w:t>“B.6. Doordat artikel 22 van de Grondwet aan de bevoegde wetgever de bevoegdheid voorbehoudt om vast te stellen in welke gevallen en onder welke voorwaarden afbreuk kan worden gedaan aan het recht op eerbiediging van het privéleven, waarborgt het aan elke burger dat geen enkele inmenging in dat recht kan plaatsvinden dan krachtens regels die zijn aangenomen door een democratisch verkozen beraadslagende vergadering</w:t>
            </w:r>
          </w:p>
        </w:tc>
      </w:tr>
      <w:tr w:rsidR="004000A8" w:rsidRPr="00484876" w14:paraId="289767B9" w14:textId="77777777" w:rsidTr="0025113D">
        <w:tc>
          <w:tcPr>
            <w:tcW w:w="4508" w:type="dxa"/>
          </w:tcPr>
          <w:p w14:paraId="10001F02" w14:textId="77777777" w:rsidR="004000A8" w:rsidRPr="00484876" w:rsidRDefault="004000A8" w:rsidP="004000A8">
            <w:pPr>
              <w:jc w:val="both"/>
              <w:rPr>
                <w:rFonts w:asciiTheme="minorHAnsi" w:hAnsiTheme="minorHAnsi" w:cstheme="minorHAnsi"/>
                <w:sz w:val="22"/>
                <w:u w:val="single"/>
              </w:rPr>
            </w:pPr>
          </w:p>
        </w:tc>
        <w:tc>
          <w:tcPr>
            <w:tcW w:w="4508" w:type="dxa"/>
          </w:tcPr>
          <w:p w14:paraId="6FB25C9A" w14:textId="77777777" w:rsidR="004000A8" w:rsidRPr="00484876" w:rsidRDefault="004000A8" w:rsidP="004000A8">
            <w:pPr>
              <w:jc w:val="both"/>
              <w:rPr>
                <w:rFonts w:asciiTheme="minorHAnsi" w:hAnsiTheme="minorHAnsi" w:cstheme="minorHAnsi"/>
                <w:sz w:val="22"/>
                <w:u w:val="single"/>
              </w:rPr>
            </w:pPr>
          </w:p>
        </w:tc>
      </w:tr>
      <w:tr w:rsidR="004000A8" w:rsidRPr="00484876" w14:paraId="52C9DE28" w14:textId="77777777" w:rsidTr="0025113D">
        <w:tc>
          <w:tcPr>
            <w:tcW w:w="4508" w:type="dxa"/>
          </w:tcPr>
          <w:p w14:paraId="671FD259" w14:textId="77777777" w:rsidR="004000A8" w:rsidRPr="00484876" w:rsidRDefault="004000A8" w:rsidP="004000A8">
            <w:pPr>
              <w:pStyle w:val="Lijstalinea"/>
              <w:spacing w:before="0"/>
              <w:rPr>
                <w:rFonts w:asciiTheme="minorHAnsi" w:hAnsiTheme="minorHAnsi" w:cstheme="minorHAnsi"/>
                <w:lang w:val="fr-BE"/>
              </w:rPr>
            </w:pPr>
            <w:r w:rsidRPr="00484876">
              <w:rPr>
                <w:rFonts w:asciiTheme="minorHAnsi" w:hAnsiTheme="minorHAnsi" w:cstheme="minorHAnsi"/>
                <w:lang w:val="fr-BE"/>
              </w:rPr>
              <w:t xml:space="preserve">Une délégation au pouvoir exécutif n’est toutefois pas contraire au principe de la légalité, pour autant que l’habilitation soit définie de manière suffisamment précise et qu’elle porte sur l’exécution de mesures dont les éléments essentiels ont été fixés préalablement par le législateur. » ; </w:t>
            </w:r>
          </w:p>
          <w:p w14:paraId="1899224F" w14:textId="77777777" w:rsidR="004000A8" w:rsidRPr="00484876" w:rsidRDefault="004000A8" w:rsidP="004000A8">
            <w:pPr>
              <w:jc w:val="both"/>
              <w:rPr>
                <w:rFonts w:asciiTheme="minorHAnsi" w:hAnsiTheme="minorHAnsi" w:cstheme="minorHAnsi"/>
                <w:sz w:val="22"/>
                <w:u w:val="single"/>
                <w:lang w:val="fr-BE"/>
              </w:rPr>
            </w:pPr>
          </w:p>
        </w:tc>
        <w:tc>
          <w:tcPr>
            <w:tcW w:w="4508" w:type="dxa"/>
          </w:tcPr>
          <w:p w14:paraId="45C5DD5C" w14:textId="54391C75" w:rsidR="004000A8" w:rsidRPr="00470B40" w:rsidRDefault="004000A8" w:rsidP="004000A8">
            <w:pPr>
              <w:pStyle w:val="Lijstalinea"/>
              <w:numPr>
                <w:ilvl w:val="0"/>
                <w:numId w:val="1"/>
              </w:numPr>
              <w:spacing w:before="0"/>
              <w:rPr>
                <w:rFonts w:asciiTheme="minorHAnsi" w:hAnsiTheme="minorHAnsi" w:cstheme="minorHAnsi"/>
                <w:lang w:val="nl-BE"/>
              </w:rPr>
            </w:pPr>
            <w:r w:rsidRPr="00484876">
              <w:rPr>
                <w:rFonts w:asciiTheme="minorHAnsi" w:hAnsiTheme="minorHAnsi" w:cstheme="minorHAnsi"/>
                <w:lang w:val="nl-BE"/>
              </w:rPr>
              <w:t xml:space="preserve">Een delegatie aan de uitvoerende macht is evenwel niet in strijd met het wettigheidsbeginsel voor zover de machtiging voldoende nauwkeurig is omschreven en betrekking heeft op de tenuitvoerlegging van maatregelen waarvan de essentiële elementen voorafgaandelijk door de wetgever zijn vastgesteld.”; </w:t>
            </w:r>
          </w:p>
        </w:tc>
      </w:tr>
      <w:tr w:rsidR="004000A8" w:rsidRPr="00484876" w14:paraId="28CC65BD" w14:textId="77777777" w:rsidTr="0025113D">
        <w:tc>
          <w:tcPr>
            <w:tcW w:w="4508" w:type="dxa"/>
          </w:tcPr>
          <w:p w14:paraId="229FD136" w14:textId="77777777" w:rsidR="004000A8" w:rsidRPr="00484876" w:rsidRDefault="004000A8" w:rsidP="004000A8">
            <w:pPr>
              <w:jc w:val="both"/>
              <w:rPr>
                <w:rFonts w:asciiTheme="minorHAnsi" w:hAnsiTheme="minorHAnsi" w:cstheme="minorHAnsi"/>
                <w:sz w:val="22"/>
                <w:u w:val="single"/>
              </w:rPr>
            </w:pPr>
          </w:p>
        </w:tc>
        <w:tc>
          <w:tcPr>
            <w:tcW w:w="4508" w:type="dxa"/>
          </w:tcPr>
          <w:p w14:paraId="6829DB3B" w14:textId="77777777" w:rsidR="004000A8" w:rsidRPr="00484876" w:rsidRDefault="004000A8" w:rsidP="004000A8">
            <w:pPr>
              <w:jc w:val="both"/>
              <w:rPr>
                <w:rFonts w:asciiTheme="minorHAnsi" w:hAnsiTheme="minorHAnsi" w:cstheme="minorHAnsi"/>
                <w:sz w:val="22"/>
                <w:u w:val="single"/>
              </w:rPr>
            </w:pPr>
          </w:p>
        </w:tc>
      </w:tr>
      <w:tr w:rsidR="004000A8" w:rsidRPr="00470B40" w14:paraId="4CDCC4C5" w14:textId="77777777" w:rsidTr="0025113D">
        <w:tc>
          <w:tcPr>
            <w:tcW w:w="4508" w:type="dxa"/>
          </w:tcPr>
          <w:p w14:paraId="19D5DD82" w14:textId="3B61A0C7" w:rsidR="004000A8" w:rsidRPr="00470B40" w:rsidRDefault="004000A8" w:rsidP="004000A8">
            <w:pPr>
              <w:pStyle w:val="Lijstalinea"/>
              <w:numPr>
                <w:ilvl w:val="0"/>
                <w:numId w:val="1"/>
              </w:numPr>
              <w:spacing w:before="0"/>
              <w:rPr>
                <w:rFonts w:asciiTheme="minorHAnsi" w:hAnsiTheme="minorHAnsi" w:cstheme="minorHAnsi"/>
                <w:u w:val="single"/>
                <w:lang w:val="fr-BE"/>
              </w:rPr>
            </w:pPr>
            <w:r w:rsidRPr="00470B40">
              <w:rPr>
                <w:rFonts w:asciiTheme="minorHAnsi" w:hAnsiTheme="minorHAnsi" w:cstheme="minorHAnsi"/>
                <w:lang w:val="fr-BE"/>
              </w:rPr>
              <w:t>« B.8.4.2. […] la délégation d’éléments essentiels d’une matière réservée par le Constituant au pouvoir législatif n’est possible que si le respect de la procédure parlementaire ne permet pas au législateur de réaliser un objectif d’intérêt général et à condition qu’il détermine explicitement et sans équivoque l’objet de cette habilitation et que les mesures prises par le Roi soient examinées par le pouvoir législatif, en vue de leur confirmation, dans un délai relativement court, fixé dans la loi d’habilitation. »</w:t>
            </w:r>
          </w:p>
        </w:tc>
        <w:tc>
          <w:tcPr>
            <w:tcW w:w="4508" w:type="dxa"/>
          </w:tcPr>
          <w:p w14:paraId="3C9F7874" w14:textId="32253C48" w:rsidR="004000A8" w:rsidRPr="00470B40" w:rsidRDefault="004000A8" w:rsidP="004000A8">
            <w:pPr>
              <w:jc w:val="both"/>
              <w:rPr>
                <w:rFonts w:asciiTheme="minorHAnsi" w:hAnsiTheme="minorHAnsi" w:cstheme="minorHAnsi"/>
                <w:sz w:val="22"/>
                <w:u w:val="single"/>
              </w:rPr>
            </w:pPr>
            <w:r w:rsidRPr="00484876">
              <w:rPr>
                <w:rFonts w:asciiTheme="minorHAnsi" w:hAnsiTheme="minorHAnsi" w:cstheme="minorHAnsi"/>
                <w:sz w:val="22"/>
              </w:rPr>
              <w:t>“B.8.4.2. […] Een delegatie van essentiële elementen van een door de Grondwetgever aan de formele wetgever voorbehouden aangelegenheid is immers slechts mogelijk indien de inachtneming van de parlementaire procedure de wetgever niet in staat zou stellen een doelstelling van algemeen belang te verwezenlijken, en op voorwaarde dat hij het onderwerp van die machtiging uitdrukkelijk en ondubbelzinnig vaststelt en dat de door de Koning genomen maatregelen door de wetgevende macht worden onderzocht met het oog op hun bekrachtiging binnen een relatief korte termijn, vastgesteld in de machtigingswet.”</w:t>
            </w:r>
          </w:p>
        </w:tc>
      </w:tr>
      <w:tr w:rsidR="004000A8" w:rsidRPr="00470B40" w14:paraId="17FB7A5F" w14:textId="77777777" w:rsidTr="0025113D">
        <w:tc>
          <w:tcPr>
            <w:tcW w:w="4508" w:type="dxa"/>
          </w:tcPr>
          <w:p w14:paraId="3A76DE57" w14:textId="77777777" w:rsidR="004000A8" w:rsidRPr="00470B40" w:rsidRDefault="004000A8" w:rsidP="004000A8">
            <w:pPr>
              <w:jc w:val="both"/>
              <w:rPr>
                <w:rFonts w:asciiTheme="minorHAnsi" w:hAnsiTheme="minorHAnsi" w:cstheme="minorHAnsi"/>
                <w:sz w:val="22"/>
                <w:u w:val="single"/>
              </w:rPr>
            </w:pPr>
          </w:p>
        </w:tc>
        <w:tc>
          <w:tcPr>
            <w:tcW w:w="4508" w:type="dxa"/>
          </w:tcPr>
          <w:p w14:paraId="7D3C93B5" w14:textId="77777777" w:rsidR="004000A8" w:rsidRPr="00470B40" w:rsidRDefault="004000A8" w:rsidP="004000A8">
            <w:pPr>
              <w:jc w:val="both"/>
              <w:rPr>
                <w:rFonts w:asciiTheme="minorHAnsi" w:hAnsiTheme="minorHAnsi" w:cstheme="minorHAnsi"/>
                <w:sz w:val="22"/>
                <w:u w:val="single"/>
              </w:rPr>
            </w:pPr>
          </w:p>
        </w:tc>
      </w:tr>
      <w:tr w:rsidR="004000A8" w:rsidRPr="00A80C6F" w14:paraId="5C9C5C90" w14:textId="77777777" w:rsidTr="0025113D">
        <w:tc>
          <w:tcPr>
            <w:tcW w:w="4508" w:type="dxa"/>
          </w:tcPr>
          <w:p w14:paraId="57D4E744" w14:textId="3E62B6D5" w:rsidR="004000A8" w:rsidRPr="00484876" w:rsidRDefault="004000A8" w:rsidP="004000A8">
            <w:pPr>
              <w:jc w:val="both"/>
              <w:rPr>
                <w:rFonts w:asciiTheme="minorHAnsi" w:hAnsiTheme="minorHAnsi" w:cstheme="minorHAnsi"/>
                <w:sz w:val="22"/>
                <w:lang w:val="fr-BE"/>
              </w:rPr>
            </w:pPr>
            <w:r>
              <w:rPr>
                <w:rFonts w:asciiTheme="minorHAnsi" w:hAnsiTheme="minorHAnsi" w:cstheme="minorHAnsi"/>
                <w:sz w:val="22"/>
                <w:lang w:val="fr-BE"/>
              </w:rPr>
              <w:t>La Cour</w:t>
            </w:r>
            <w:r w:rsidRPr="00484876">
              <w:rPr>
                <w:rFonts w:asciiTheme="minorHAnsi" w:hAnsiTheme="minorHAnsi" w:cstheme="minorHAnsi"/>
                <w:sz w:val="22"/>
                <w:lang w:val="fr-BE"/>
              </w:rPr>
              <w:t xml:space="preserve"> estime que la loi du 1</w:t>
            </w:r>
            <w:r w:rsidRPr="00484876">
              <w:rPr>
                <w:rFonts w:asciiTheme="minorHAnsi" w:hAnsiTheme="minorHAnsi" w:cstheme="minorHAnsi"/>
                <w:sz w:val="22"/>
                <w:vertAlign w:val="superscript"/>
                <w:lang w:val="fr-BE"/>
              </w:rPr>
              <w:t>er</w:t>
            </w:r>
            <w:r w:rsidRPr="00484876">
              <w:rPr>
                <w:rFonts w:asciiTheme="minorHAnsi" w:hAnsiTheme="minorHAnsi" w:cstheme="minorHAnsi"/>
                <w:sz w:val="22"/>
                <w:lang w:val="fr-BE"/>
              </w:rPr>
              <w:t xml:space="preserve"> septembre 2016 ne répond pas à ces exigences, dès lors qu’elle considère que les données d’identification qui sont collectées et traitées et les documents d’identification qui entrent en considération constituent des « éléments essentiels d’un traitement de données à caractère personnel »  (point B.8.4.2. de l’arrêt), qui doivent dès lors </w:t>
            </w:r>
            <w:r w:rsidRPr="00484876">
              <w:rPr>
                <w:rFonts w:asciiTheme="minorHAnsi" w:hAnsiTheme="minorHAnsi" w:cstheme="minorHAnsi"/>
                <w:sz w:val="22"/>
                <w:lang w:val="fr-BE"/>
              </w:rPr>
              <w:lastRenderedPageBreak/>
              <w:t>être déterminés dans la loi, ce qui n’est pas le cas pour ce qui concerne la loi du 1</w:t>
            </w:r>
            <w:r w:rsidRPr="00484876">
              <w:rPr>
                <w:rFonts w:asciiTheme="minorHAnsi" w:hAnsiTheme="minorHAnsi" w:cstheme="minorHAnsi"/>
                <w:sz w:val="22"/>
                <w:vertAlign w:val="superscript"/>
                <w:lang w:val="fr-BE"/>
              </w:rPr>
              <w:t>er</w:t>
            </w:r>
            <w:r w:rsidRPr="00484876">
              <w:rPr>
                <w:rFonts w:asciiTheme="minorHAnsi" w:hAnsiTheme="minorHAnsi" w:cstheme="minorHAnsi"/>
                <w:sz w:val="22"/>
                <w:lang w:val="fr-BE"/>
              </w:rPr>
              <w:t xml:space="preserve"> septembre 2016. </w:t>
            </w:r>
          </w:p>
        </w:tc>
        <w:tc>
          <w:tcPr>
            <w:tcW w:w="4508" w:type="dxa"/>
          </w:tcPr>
          <w:p w14:paraId="1DB8FBB0" w14:textId="62BE7B00" w:rsidR="004000A8" w:rsidRPr="00484876" w:rsidRDefault="004000A8" w:rsidP="004000A8">
            <w:pPr>
              <w:jc w:val="both"/>
              <w:rPr>
                <w:rFonts w:asciiTheme="minorHAnsi" w:hAnsiTheme="minorHAnsi" w:cstheme="minorHAnsi"/>
                <w:sz w:val="22"/>
              </w:rPr>
            </w:pPr>
            <w:r w:rsidRPr="00484876">
              <w:rPr>
                <w:rFonts w:asciiTheme="minorHAnsi" w:hAnsiTheme="minorHAnsi" w:cstheme="minorHAnsi"/>
                <w:sz w:val="22"/>
              </w:rPr>
              <w:lastRenderedPageBreak/>
              <w:t xml:space="preserve">Het hof is van oordeel dat de wet van 1 september 2016 niet aan die eisen voldoet, omdat het ervan uitgaat dat de identificatiegegevens die worden verzameld en verwerkt en de identificatiedocumenten die in aanmerking komen, “essentiële elementen van een verwerking van persoonsgegevens” vormen (punt B.8.4.2. van het arrest), die daarom in de </w:t>
            </w:r>
            <w:r w:rsidRPr="00484876">
              <w:rPr>
                <w:rFonts w:asciiTheme="minorHAnsi" w:hAnsiTheme="minorHAnsi" w:cstheme="minorHAnsi"/>
                <w:sz w:val="22"/>
              </w:rPr>
              <w:lastRenderedPageBreak/>
              <w:t>wet moeten worden bepaald, hetgeen niet het geval is wat de wet van 1 september 2016 betreft.</w:t>
            </w:r>
          </w:p>
        </w:tc>
      </w:tr>
      <w:tr w:rsidR="004000A8" w:rsidRPr="00A80C6F" w14:paraId="6D84AE95" w14:textId="77777777" w:rsidTr="0025113D">
        <w:tc>
          <w:tcPr>
            <w:tcW w:w="4508" w:type="dxa"/>
          </w:tcPr>
          <w:p w14:paraId="7597E10B" w14:textId="77777777" w:rsidR="004000A8" w:rsidRPr="00045A81" w:rsidRDefault="004000A8" w:rsidP="004000A8">
            <w:pPr>
              <w:jc w:val="both"/>
              <w:rPr>
                <w:rFonts w:asciiTheme="minorHAnsi" w:hAnsiTheme="minorHAnsi" w:cstheme="minorHAnsi"/>
                <w:sz w:val="22"/>
              </w:rPr>
            </w:pPr>
          </w:p>
        </w:tc>
        <w:tc>
          <w:tcPr>
            <w:tcW w:w="4508" w:type="dxa"/>
          </w:tcPr>
          <w:p w14:paraId="5EA14FF1" w14:textId="77777777" w:rsidR="004000A8" w:rsidRPr="00A80C6F" w:rsidRDefault="004000A8" w:rsidP="004000A8">
            <w:pPr>
              <w:jc w:val="both"/>
              <w:rPr>
                <w:rFonts w:asciiTheme="minorHAnsi" w:hAnsiTheme="minorHAnsi" w:cstheme="minorHAnsi"/>
                <w:sz w:val="22"/>
              </w:rPr>
            </w:pPr>
          </w:p>
        </w:tc>
      </w:tr>
      <w:tr w:rsidR="004000A8" w:rsidRPr="00A80C6F" w14:paraId="6442B5DD" w14:textId="77777777" w:rsidTr="0025113D">
        <w:tc>
          <w:tcPr>
            <w:tcW w:w="4508" w:type="dxa"/>
          </w:tcPr>
          <w:p w14:paraId="0CD29DEF" w14:textId="4DBF4A85" w:rsidR="004000A8" w:rsidRPr="00A836EA"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BE"/>
              </w:rPr>
              <w:t xml:space="preserve">Cependant, dans son avis n°68.936/AG du 7 avril 2021 sur un avant-projet de loi </w:t>
            </w:r>
            <w:r>
              <w:rPr>
                <w:rFonts w:asciiTheme="minorHAnsi" w:hAnsiTheme="minorHAnsi" w:cstheme="minorHAnsi"/>
                <w:sz w:val="22"/>
                <w:lang w:val="fr-BE"/>
              </w:rPr>
              <w:t>« </w:t>
            </w:r>
            <w:r w:rsidRPr="00A80C6F">
              <w:rPr>
                <w:rFonts w:asciiTheme="minorHAnsi" w:hAnsiTheme="minorHAnsi" w:cstheme="minorHAnsi"/>
                <w:sz w:val="22"/>
                <w:lang w:val="fr-BE"/>
              </w:rPr>
              <w:t>relative aux mesures de police administrative lors d’une situation d’urgence épidémique</w:t>
            </w:r>
            <w:r>
              <w:rPr>
                <w:rFonts w:asciiTheme="minorHAnsi" w:hAnsiTheme="minorHAnsi" w:cstheme="minorHAnsi"/>
                <w:sz w:val="22"/>
                <w:lang w:val="fr-BE"/>
              </w:rPr>
              <w:t> »</w:t>
            </w:r>
            <w:r w:rsidRPr="00A80C6F">
              <w:rPr>
                <w:rFonts w:asciiTheme="minorHAnsi" w:hAnsiTheme="minorHAnsi" w:cstheme="minorHAnsi"/>
                <w:sz w:val="22"/>
                <w:lang w:val="fr-BE"/>
              </w:rPr>
              <w:t xml:space="preserve">, le Conseil d’Etat a considéré ce qui suit : </w:t>
            </w:r>
          </w:p>
        </w:tc>
        <w:tc>
          <w:tcPr>
            <w:tcW w:w="4508" w:type="dxa"/>
          </w:tcPr>
          <w:p w14:paraId="07019F23" w14:textId="3ACA6971"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z w:val="22"/>
              </w:rPr>
              <w:t xml:space="preserve">In zijn advies nr. 68.936/AG van 7 april 2021 over een voorontwerp van wet “betreffende de maatregelen van bestuurlijke politie tijdens een epidemische noodsituatie” heeft de Raad van State evenwel het volgende geoordeeld: </w:t>
            </w:r>
          </w:p>
        </w:tc>
      </w:tr>
      <w:tr w:rsidR="004000A8" w:rsidRPr="00A80C6F" w14:paraId="78EB1FAB" w14:textId="77777777" w:rsidTr="0025113D">
        <w:tc>
          <w:tcPr>
            <w:tcW w:w="4508" w:type="dxa"/>
          </w:tcPr>
          <w:p w14:paraId="4953E4F5" w14:textId="77777777" w:rsidR="004000A8" w:rsidRPr="00867C3E" w:rsidRDefault="004000A8" w:rsidP="004000A8">
            <w:pPr>
              <w:rPr>
                <w:rFonts w:asciiTheme="minorHAnsi" w:hAnsiTheme="minorHAnsi" w:cstheme="minorHAnsi"/>
                <w:sz w:val="22"/>
              </w:rPr>
            </w:pPr>
          </w:p>
        </w:tc>
        <w:tc>
          <w:tcPr>
            <w:tcW w:w="4508" w:type="dxa"/>
          </w:tcPr>
          <w:p w14:paraId="328379F9" w14:textId="77777777" w:rsidR="004000A8" w:rsidRPr="00A80C6F" w:rsidRDefault="004000A8" w:rsidP="004000A8">
            <w:pPr>
              <w:rPr>
                <w:rFonts w:asciiTheme="minorHAnsi" w:hAnsiTheme="minorHAnsi" w:cstheme="minorHAnsi"/>
                <w:sz w:val="22"/>
              </w:rPr>
            </w:pPr>
          </w:p>
        </w:tc>
      </w:tr>
      <w:tr w:rsidR="004000A8" w:rsidRPr="00A836EA" w14:paraId="1E6AC06A" w14:textId="77777777" w:rsidTr="0025113D">
        <w:tc>
          <w:tcPr>
            <w:tcW w:w="4508" w:type="dxa"/>
          </w:tcPr>
          <w:p w14:paraId="42C051B1" w14:textId="77777777" w:rsidR="004000A8" w:rsidRPr="00A80C6F" w:rsidRDefault="004000A8" w:rsidP="004000A8">
            <w:pPr>
              <w:ind w:left="720"/>
              <w:jc w:val="both"/>
              <w:rPr>
                <w:rFonts w:asciiTheme="minorHAnsi" w:hAnsiTheme="minorHAnsi" w:cstheme="minorHAnsi"/>
                <w:sz w:val="22"/>
                <w:lang w:val="fr-BE"/>
              </w:rPr>
            </w:pPr>
            <w:r w:rsidRPr="00A80C6F">
              <w:rPr>
                <w:rFonts w:asciiTheme="minorHAnsi" w:hAnsiTheme="minorHAnsi" w:cstheme="minorHAnsi"/>
                <w:sz w:val="22"/>
                <w:lang w:val="fr-BE"/>
              </w:rPr>
              <w:t>« 101. Conformément à l’article 22 de la Constitution, tout traitement de données à caractère personnel et, plus généralement, toute atteinte au droit à la vie privée, sont soumis au respect d’un principe de légalité formelle.</w:t>
            </w:r>
          </w:p>
          <w:p w14:paraId="2DA2F647" w14:textId="77777777" w:rsidR="004000A8" w:rsidRPr="00A80C6F" w:rsidRDefault="004000A8" w:rsidP="004000A8">
            <w:pPr>
              <w:jc w:val="both"/>
              <w:rPr>
                <w:rFonts w:asciiTheme="minorHAnsi" w:hAnsiTheme="minorHAnsi" w:cstheme="minorHAnsi"/>
                <w:sz w:val="22"/>
                <w:lang w:val="fr-BE"/>
              </w:rPr>
            </w:pPr>
          </w:p>
        </w:tc>
        <w:tc>
          <w:tcPr>
            <w:tcW w:w="4508" w:type="dxa"/>
          </w:tcPr>
          <w:p w14:paraId="5FCEDFC0" w14:textId="42CA34F2" w:rsidR="004000A8" w:rsidRPr="00A836EA" w:rsidRDefault="004000A8" w:rsidP="004000A8">
            <w:pPr>
              <w:ind w:left="720"/>
              <w:jc w:val="both"/>
              <w:rPr>
                <w:rFonts w:asciiTheme="minorHAnsi" w:hAnsiTheme="minorHAnsi" w:cstheme="minorHAnsi"/>
                <w:sz w:val="22"/>
              </w:rPr>
            </w:pPr>
            <w:r w:rsidRPr="00A80C6F">
              <w:rPr>
                <w:rFonts w:asciiTheme="minorHAnsi" w:hAnsiTheme="minorHAnsi" w:cstheme="minorHAnsi"/>
                <w:sz w:val="22"/>
              </w:rPr>
              <w:t>“101. Krachtens artikel 22 van de Grondwet geldt voor elke verwerking van persoonsgegevens en, meer in het algemeen, voor elke schending van het recht op het privéleven, dat het formeel legaliteitsbeginsel dient te worden nageleefd.</w:t>
            </w:r>
          </w:p>
        </w:tc>
      </w:tr>
      <w:tr w:rsidR="004000A8" w:rsidRPr="00A836EA" w14:paraId="68E2EBEF" w14:textId="77777777" w:rsidTr="0025113D">
        <w:tc>
          <w:tcPr>
            <w:tcW w:w="4508" w:type="dxa"/>
          </w:tcPr>
          <w:p w14:paraId="44394D4E" w14:textId="77777777" w:rsidR="004000A8" w:rsidRPr="00A836EA" w:rsidRDefault="004000A8" w:rsidP="004000A8">
            <w:pPr>
              <w:jc w:val="both"/>
              <w:rPr>
                <w:rFonts w:asciiTheme="minorHAnsi" w:hAnsiTheme="minorHAnsi" w:cstheme="minorHAnsi"/>
                <w:sz w:val="22"/>
              </w:rPr>
            </w:pPr>
          </w:p>
        </w:tc>
        <w:tc>
          <w:tcPr>
            <w:tcW w:w="4508" w:type="dxa"/>
          </w:tcPr>
          <w:p w14:paraId="65578053" w14:textId="77777777" w:rsidR="004000A8" w:rsidRPr="00A836EA" w:rsidRDefault="004000A8" w:rsidP="004000A8">
            <w:pPr>
              <w:jc w:val="both"/>
              <w:rPr>
                <w:rFonts w:asciiTheme="minorHAnsi" w:hAnsiTheme="minorHAnsi" w:cstheme="minorHAnsi"/>
                <w:sz w:val="22"/>
              </w:rPr>
            </w:pPr>
          </w:p>
        </w:tc>
      </w:tr>
      <w:tr w:rsidR="004000A8" w:rsidRPr="00A836EA" w14:paraId="0FA39AE0" w14:textId="77777777" w:rsidTr="0025113D">
        <w:tc>
          <w:tcPr>
            <w:tcW w:w="4508" w:type="dxa"/>
          </w:tcPr>
          <w:p w14:paraId="760DA046" w14:textId="73060D24" w:rsidR="004000A8" w:rsidRPr="00ED2262" w:rsidRDefault="004000A8" w:rsidP="004000A8">
            <w:pPr>
              <w:ind w:left="720"/>
              <w:jc w:val="both"/>
              <w:rPr>
                <w:rFonts w:asciiTheme="minorHAnsi" w:hAnsiTheme="minorHAnsi" w:cstheme="minorHAnsi"/>
                <w:sz w:val="22"/>
                <w:lang w:val="fr-BE"/>
              </w:rPr>
            </w:pPr>
            <w:r w:rsidRPr="00A80C6F">
              <w:rPr>
                <w:rFonts w:asciiTheme="minorHAnsi" w:hAnsiTheme="minorHAnsi" w:cstheme="minorHAnsi"/>
                <w:sz w:val="22"/>
                <w:lang w:val="fr-BE"/>
              </w:rPr>
              <w:t>En réservant au législateur compétent le pouvoir de fixer dans quels cas et à quelles conditions il peut être porté atteinte au droit au respect de la vie privée, l’article 22 de la Constitution garantit à tout citoyen qu’aucune ingérence dans l’exercice de ce droit ne peut avoir lieu qu’en vertu de règles adoptées par une assemblée délibérante, démocratiquement élue. Une délégation à un autre pouvoir n’est toutefois pas contraire au principe de légalité, pour autant que l’habilitation soit définie de manière suffisamment précise et porte sur l’exécution de mesures dont les « éléments essentiels</w:t>
            </w:r>
            <w:r>
              <w:rPr>
                <w:rFonts w:asciiTheme="minorHAnsi" w:hAnsiTheme="minorHAnsi" w:cstheme="minorHAnsi"/>
                <w:sz w:val="22"/>
                <w:lang w:val="fr-BE"/>
              </w:rPr>
              <w:t> »</w:t>
            </w:r>
            <w:r w:rsidRPr="00A80C6F">
              <w:rPr>
                <w:rFonts w:asciiTheme="minorHAnsi" w:hAnsiTheme="minorHAnsi" w:cstheme="minorHAnsi"/>
                <w:sz w:val="22"/>
                <w:lang w:val="fr-BE"/>
              </w:rPr>
              <w:t xml:space="preserve"> </w:t>
            </w:r>
            <w:r>
              <w:rPr>
                <w:rFonts w:asciiTheme="minorHAnsi" w:hAnsiTheme="minorHAnsi" w:cstheme="minorHAnsi"/>
                <w:sz w:val="22"/>
                <w:lang w:val="fr-BE"/>
              </w:rPr>
              <w:t> </w:t>
            </w:r>
            <w:r w:rsidRPr="00A80C6F">
              <w:rPr>
                <w:rFonts w:asciiTheme="minorHAnsi" w:hAnsiTheme="minorHAnsi" w:cstheme="minorHAnsi"/>
                <w:sz w:val="22"/>
                <w:lang w:val="fr-BE"/>
              </w:rPr>
              <w:t>sont fixés préalablement par le législateur. Par conséquent, les</w:t>
            </w:r>
            <w:r>
              <w:rPr>
                <w:rFonts w:asciiTheme="minorHAnsi" w:hAnsiTheme="minorHAnsi" w:cstheme="minorHAnsi"/>
                <w:sz w:val="22"/>
                <w:lang w:val="fr-BE"/>
              </w:rPr>
              <w:t xml:space="preserve"> </w:t>
            </w:r>
            <w:r w:rsidRPr="00A80C6F">
              <w:rPr>
                <w:rFonts w:asciiTheme="minorHAnsi" w:hAnsiTheme="minorHAnsi" w:cstheme="minorHAnsi"/>
                <w:sz w:val="22"/>
                <w:lang w:val="fr-BE"/>
              </w:rPr>
              <w:t xml:space="preserve">« </w:t>
            </w:r>
            <w:r>
              <w:rPr>
                <w:rFonts w:asciiTheme="minorHAnsi" w:hAnsiTheme="minorHAnsi" w:cstheme="minorHAnsi"/>
                <w:sz w:val="22"/>
                <w:lang w:val="fr-BE"/>
              </w:rPr>
              <w:t> </w:t>
            </w:r>
            <w:r w:rsidRPr="00A80C6F">
              <w:rPr>
                <w:rFonts w:asciiTheme="minorHAnsi" w:hAnsiTheme="minorHAnsi" w:cstheme="minorHAnsi"/>
                <w:sz w:val="22"/>
                <w:lang w:val="fr-BE"/>
              </w:rPr>
              <w:t xml:space="preserve">éléments essentiels » des traitements de données à caractère personnel doivent être fixés dans la loi elle-même. À cet égard, la section de législation considère que, quelle que soit la matière concernée, constituent, en principe, des « éléments essentiels » les éléments suivants: 1°) </w:t>
            </w:r>
            <w:r w:rsidRPr="008C1238">
              <w:rPr>
                <w:rFonts w:asciiTheme="minorHAnsi" w:hAnsiTheme="minorHAnsi" w:cstheme="minorHAnsi"/>
                <w:sz w:val="22"/>
                <w:u w:val="single"/>
                <w:lang w:val="fr-BE"/>
              </w:rPr>
              <w:t>les catégories de données traitées</w:t>
            </w:r>
            <w:r w:rsidRPr="00A80C6F">
              <w:rPr>
                <w:rFonts w:asciiTheme="minorHAnsi" w:hAnsiTheme="minorHAnsi" w:cstheme="minorHAnsi"/>
                <w:sz w:val="22"/>
                <w:lang w:val="fr-BE"/>
              </w:rPr>
              <w:t xml:space="preserve"> ; 2°) les catégories de personnes concernées ; 3°) la finalité poursuivie par le traitement ; 4°) les catégories de personnes ayant accès aux données traitées ; et 5°) le délai maximal de conservation des données. » (c’est nous qui soulignons)</w:t>
            </w:r>
          </w:p>
        </w:tc>
        <w:tc>
          <w:tcPr>
            <w:tcW w:w="4508" w:type="dxa"/>
          </w:tcPr>
          <w:p w14:paraId="03CAA188" w14:textId="32151FDE" w:rsidR="004000A8" w:rsidRPr="00ED2262" w:rsidRDefault="004000A8" w:rsidP="004000A8">
            <w:pPr>
              <w:ind w:left="720"/>
              <w:jc w:val="both"/>
              <w:rPr>
                <w:rFonts w:asciiTheme="minorHAnsi" w:hAnsiTheme="minorHAnsi" w:cstheme="minorHAnsi"/>
                <w:sz w:val="22"/>
                <w:lang w:val="fr-BE"/>
              </w:rPr>
            </w:pPr>
            <w:r w:rsidRPr="00136EDB">
              <w:rPr>
                <w:rFonts w:asciiTheme="minorHAnsi" w:hAnsiTheme="minorHAnsi" w:cstheme="minorHAnsi"/>
                <w:sz w:val="22"/>
              </w:rPr>
              <w:t xml:space="preserve">Doordat artikel 22 van de Grondwet aan de bevoegde wetgever de bevoegdheid voorbehoudt om vast te stellen in welke gevallen en onder welke voorwaarden afbreuk kan worden gedaan aan het recht op eerbiediging van het privéleven, waarborgt het aan elke burger dat geen enkele inmenging in dat recht kan plaatsvinden dan krachtens regels die zijn aangenomen door een democratisch verkozen beraadslagende vergadering. Een delegatie aan een andere macht is evenwel niet in strijd met het wettelijkheidsbeginsel voor zover de machtiging voldoende nauwkeurig is omschreven en betrekking heeft op de tenuitvoerlegging van maatregelen waarvan de “essentiële elementen” voorafgaandelijk door de wetgever vastgesteld zijn. Bijgevolg moeten de “essentiële elementen” van de verwerking van persoonsgegevens in de wet zelf worden vastgelegd. In dat verband is de afdeling Wetgeving van oordeel dat ongeacht de aard van de betrokken aangelegenheid, de volgende elementen in beginsel “essentiële elementen” uitmaken : 1°) </w:t>
            </w:r>
            <w:r w:rsidRPr="00136EDB">
              <w:rPr>
                <w:rFonts w:asciiTheme="minorHAnsi" w:hAnsiTheme="minorHAnsi" w:cstheme="minorHAnsi"/>
                <w:sz w:val="22"/>
                <w:u w:val="single"/>
              </w:rPr>
              <w:t>de categorie van verwerkte gegevens</w:t>
            </w:r>
            <w:r w:rsidRPr="00136EDB">
              <w:rPr>
                <w:rFonts w:asciiTheme="minorHAnsi" w:hAnsiTheme="minorHAnsi" w:cstheme="minorHAnsi"/>
                <w:sz w:val="22"/>
              </w:rPr>
              <w:t xml:space="preserve">; 2°) de categorie van betrokken personen; 3°) de met de verwerking nagestreefde doelstelling; 4°) de categorie van </w:t>
            </w:r>
            <w:r w:rsidRPr="00136EDB">
              <w:rPr>
                <w:rFonts w:asciiTheme="minorHAnsi" w:hAnsiTheme="minorHAnsi" w:cstheme="minorHAnsi"/>
                <w:sz w:val="22"/>
              </w:rPr>
              <w:lastRenderedPageBreak/>
              <w:t xml:space="preserve">personen die toegang hebben tot de verwerkte gegevens; en 5°) de maximumtermijn voor het bewaren van de gegevens.” </w:t>
            </w:r>
            <w:r w:rsidRPr="00A80C6F">
              <w:rPr>
                <w:rFonts w:asciiTheme="minorHAnsi" w:hAnsiTheme="minorHAnsi" w:cstheme="minorHAnsi"/>
                <w:sz w:val="22"/>
                <w:lang w:val="fr-BE"/>
              </w:rPr>
              <w:t>(</w:t>
            </w:r>
            <w:proofErr w:type="spellStart"/>
            <w:r w:rsidRPr="00A80C6F">
              <w:rPr>
                <w:rFonts w:asciiTheme="minorHAnsi" w:hAnsiTheme="minorHAnsi" w:cstheme="minorHAnsi"/>
                <w:sz w:val="22"/>
                <w:lang w:val="fr-BE"/>
              </w:rPr>
              <w:t>wij</w:t>
            </w:r>
            <w:proofErr w:type="spellEnd"/>
            <w:r w:rsidRPr="00A80C6F">
              <w:rPr>
                <w:rFonts w:asciiTheme="minorHAnsi" w:hAnsiTheme="minorHAnsi" w:cstheme="minorHAnsi"/>
                <w:sz w:val="22"/>
                <w:lang w:val="fr-BE"/>
              </w:rPr>
              <w:t xml:space="preserve"> </w:t>
            </w:r>
            <w:proofErr w:type="spellStart"/>
            <w:r w:rsidRPr="00A80C6F">
              <w:rPr>
                <w:rFonts w:asciiTheme="minorHAnsi" w:hAnsiTheme="minorHAnsi" w:cstheme="minorHAnsi"/>
                <w:sz w:val="22"/>
                <w:lang w:val="fr-BE"/>
              </w:rPr>
              <w:t>onderlijnen</w:t>
            </w:r>
            <w:proofErr w:type="spellEnd"/>
            <w:r w:rsidRPr="00A80C6F">
              <w:rPr>
                <w:rFonts w:asciiTheme="minorHAnsi" w:hAnsiTheme="minorHAnsi" w:cstheme="minorHAnsi"/>
                <w:sz w:val="22"/>
                <w:lang w:val="fr-BE"/>
              </w:rPr>
              <w:t>)</w:t>
            </w:r>
          </w:p>
        </w:tc>
      </w:tr>
      <w:tr w:rsidR="004000A8" w:rsidRPr="00A836EA" w14:paraId="44ACF8A2" w14:textId="77777777" w:rsidTr="0025113D">
        <w:tc>
          <w:tcPr>
            <w:tcW w:w="4508" w:type="dxa"/>
          </w:tcPr>
          <w:p w14:paraId="2F8DDE79" w14:textId="77777777" w:rsidR="004000A8" w:rsidRPr="00A836EA" w:rsidRDefault="004000A8" w:rsidP="004000A8">
            <w:pPr>
              <w:jc w:val="both"/>
              <w:rPr>
                <w:rFonts w:asciiTheme="minorHAnsi" w:hAnsiTheme="minorHAnsi" w:cstheme="minorHAnsi"/>
                <w:sz w:val="22"/>
              </w:rPr>
            </w:pPr>
          </w:p>
        </w:tc>
        <w:tc>
          <w:tcPr>
            <w:tcW w:w="4508" w:type="dxa"/>
          </w:tcPr>
          <w:p w14:paraId="709CA684" w14:textId="77777777" w:rsidR="004000A8" w:rsidRPr="00A836EA" w:rsidRDefault="004000A8" w:rsidP="004000A8">
            <w:pPr>
              <w:jc w:val="both"/>
              <w:rPr>
                <w:rFonts w:asciiTheme="minorHAnsi" w:hAnsiTheme="minorHAnsi" w:cstheme="minorHAnsi"/>
                <w:sz w:val="22"/>
              </w:rPr>
            </w:pPr>
          </w:p>
        </w:tc>
      </w:tr>
      <w:tr w:rsidR="004000A8" w:rsidRPr="00A836EA" w14:paraId="1CE7CB62" w14:textId="77777777" w:rsidTr="0025113D">
        <w:tc>
          <w:tcPr>
            <w:tcW w:w="4508" w:type="dxa"/>
          </w:tcPr>
          <w:p w14:paraId="30A54F5E" w14:textId="449AAF63" w:rsidR="004000A8" w:rsidRPr="00ED2262"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BE"/>
              </w:rPr>
              <w:t xml:space="preserve">Il en ressort que le Conseil d’Etat n’exige pas que la loi fasse une liste des données traitées mais seulement qu’elle reprenne les catégories de données traitées. </w:t>
            </w:r>
          </w:p>
        </w:tc>
        <w:tc>
          <w:tcPr>
            <w:tcW w:w="4508" w:type="dxa"/>
          </w:tcPr>
          <w:p w14:paraId="50E283D1" w14:textId="7D4749FE" w:rsidR="004000A8" w:rsidRPr="00A836EA" w:rsidRDefault="004000A8" w:rsidP="004000A8">
            <w:pPr>
              <w:jc w:val="both"/>
              <w:rPr>
                <w:rFonts w:asciiTheme="minorHAnsi" w:hAnsiTheme="minorHAnsi" w:cstheme="minorHAnsi"/>
                <w:sz w:val="22"/>
              </w:rPr>
            </w:pPr>
            <w:r w:rsidRPr="00A80C6F">
              <w:rPr>
                <w:rFonts w:asciiTheme="minorHAnsi" w:hAnsiTheme="minorHAnsi" w:cstheme="minorHAnsi"/>
                <w:sz w:val="22"/>
              </w:rPr>
              <w:t>Daaruit blijkt dat de Raad van State niet eist dat de wet een lijst van de verwerkte gegevens opstelt, maar enkel dat daarin de categorieën van verwerkte gegevens moeten worden vermeld.</w:t>
            </w:r>
          </w:p>
        </w:tc>
      </w:tr>
      <w:tr w:rsidR="004000A8" w:rsidRPr="00A836EA" w14:paraId="76BD6714" w14:textId="77777777" w:rsidTr="0025113D">
        <w:tc>
          <w:tcPr>
            <w:tcW w:w="4508" w:type="dxa"/>
          </w:tcPr>
          <w:p w14:paraId="5C6F7209" w14:textId="77777777" w:rsidR="004000A8" w:rsidRPr="00A836EA" w:rsidRDefault="004000A8" w:rsidP="004000A8">
            <w:pPr>
              <w:jc w:val="both"/>
              <w:rPr>
                <w:rFonts w:asciiTheme="minorHAnsi" w:hAnsiTheme="minorHAnsi" w:cstheme="minorHAnsi"/>
                <w:sz w:val="22"/>
              </w:rPr>
            </w:pPr>
          </w:p>
        </w:tc>
        <w:tc>
          <w:tcPr>
            <w:tcW w:w="4508" w:type="dxa"/>
          </w:tcPr>
          <w:p w14:paraId="3A76B2FD" w14:textId="77777777" w:rsidR="004000A8" w:rsidRPr="00A836EA" w:rsidRDefault="004000A8" w:rsidP="004000A8">
            <w:pPr>
              <w:jc w:val="both"/>
              <w:rPr>
                <w:rFonts w:asciiTheme="minorHAnsi" w:hAnsiTheme="minorHAnsi" w:cstheme="minorHAnsi"/>
                <w:sz w:val="22"/>
              </w:rPr>
            </w:pPr>
          </w:p>
        </w:tc>
      </w:tr>
      <w:tr w:rsidR="004000A8" w:rsidRPr="00ED2262" w14:paraId="43640EE3" w14:textId="77777777" w:rsidTr="0025113D">
        <w:tc>
          <w:tcPr>
            <w:tcW w:w="4508" w:type="dxa"/>
          </w:tcPr>
          <w:p w14:paraId="02DA74B2" w14:textId="77777777" w:rsidR="004000A8" w:rsidRPr="00A80C6F"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BE"/>
              </w:rPr>
              <w:t>Dans son arrêt précité, la Cour constitutionnelle rappelle que la loi du 1</w:t>
            </w:r>
            <w:r w:rsidRPr="00A80C6F">
              <w:rPr>
                <w:rFonts w:asciiTheme="minorHAnsi" w:hAnsiTheme="minorHAnsi" w:cstheme="minorHAnsi"/>
                <w:sz w:val="22"/>
                <w:vertAlign w:val="superscript"/>
                <w:lang w:val="fr-BE"/>
              </w:rPr>
              <w:t>er</w:t>
            </w:r>
            <w:r w:rsidRPr="00A80C6F">
              <w:rPr>
                <w:rFonts w:asciiTheme="minorHAnsi" w:hAnsiTheme="minorHAnsi" w:cstheme="minorHAnsi"/>
                <w:sz w:val="22"/>
                <w:lang w:val="fr-BE"/>
              </w:rPr>
              <w:t xml:space="preserve"> septembre 2016 ne fixe pas de liste de données d’identification ou de documents d’identité, à part la carte d’identité électronique belge et le numéro de registre national et que la méthode de travail consistait à permettre au Roi de les déterminer, ce choix étant justifié comme suit dans l’exposé des motifs : </w:t>
            </w:r>
          </w:p>
          <w:p w14:paraId="47E11028" w14:textId="77777777" w:rsidR="004000A8" w:rsidRPr="00ED2262" w:rsidRDefault="004000A8" w:rsidP="004000A8">
            <w:pPr>
              <w:jc w:val="both"/>
              <w:rPr>
                <w:rFonts w:asciiTheme="minorHAnsi" w:hAnsiTheme="minorHAnsi" w:cstheme="minorHAnsi"/>
                <w:sz w:val="22"/>
                <w:lang w:val="fr-BE"/>
              </w:rPr>
            </w:pPr>
          </w:p>
        </w:tc>
        <w:tc>
          <w:tcPr>
            <w:tcW w:w="4508" w:type="dxa"/>
          </w:tcPr>
          <w:p w14:paraId="0CDFEC0B" w14:textId="77777777"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z w:val="22"/>
              </w:rPr>
              <w:t xml:space="preserve">In zijn voormelde arrest herinnert het Grondwettelijk Hof eraan dat de wet van 1 september 2016 geen lijst van identificatiegegevens of -documenten vaststelt, behalve de Belgische elektronische identiteitskaart en het rijksregisternummer, en dat de werkwijze erin bestond om het aan de Koning toe te staan om die te bepalen, waarbij die keuze als volgt in de memorie van toelichting werd gerechtvaardigd: </w:t>
            </w:r>
          </w:p>
          <w:p w14:paraId="20359A10" w14:textId="77777777" w:rsidR="004000A8" w:rsidRPr="00ED2262" w:rsidRDefault="004000A8" w:rsidP="004000A8">
            <w:pPr>
              <w:jc w:val="both"/>
              <w:rPr>
                <w:rFonts w:asciiTheme="minorHAnsi" w:hAnsiTheme="minorHAnsi" w:cstheme="minorHAnsi"/>
                <w:sz w:val="22"/>
              </w:rPr>
            </w:pPr>
          </w:p>
        </w:tc>
      </w:tr>
      <w:tr w:rsidR="004000A8" w:rsidRPr="00ED2262" w14:paraId="6DF938BC" w14:textId="77777777" w:rsidTr="0025113D">
        <w:tc>
          <w:tcPr>
            <w:tcW w:w="4508" w:type="dxa"/>
          </w:tcPr>
          <w:p w14:paraId="22EF75E3" w14:textId="77777777" w:rsidR="004000A8" w:rsidRPr="00ED2262" w:rsidRDefault="004000A8" w:rsidP="004000A8">
            <w:pPr>
              <w:jc w:val="both"/>
              <w:rPr>
                <w:rFonts w:asciiTheme="minorHAnsi" w:hAnsiTheme="minorHAnsi" w:cstheme="minorHAnsi"/>
                <w:sz w:val="22"/>
              </w:rPr>
            </w:pPr>
          </w:p>
        </w:tc>
        <w:tc>
          <w:tcPr>
            <w:tcW w:w="4508" w:type="dxa"/>
          </w:tcPr>
          <w:p w14:paraId="578A4155" w14:textId="77777777" w:rsidR="004000A8" w:rsidRPr="00ED2262" w:rsidRDefault="004000A8" w:rsidP="004000A8">
            <w:pPr>
              <w:jc w:val="both"/>
              <w:rPr>
                <w:rFonts w:asciiTheme="minorHAnsi" w:hAnsiTheme="minorHAnsi" w:cstheme="minorHAnsi"/>
                <w:sz w:val="22"/>
              </w:rPr>
            </w:pPr>
          </w:p>
        </w:tc>
      </w:tr>
      <w:tr w:rsidR="004000A8" w:rsidRPr="00ED2262" w14:paraId="294042DA" w14:textId="77777777" w:rsidTr="0025113D">
        <w:tc>
          <w:tcPr>
            <w:tcW w:w="4508" w:type="dxa"/>
          </w:tcPr>
          <w:p w14:paraId="5F56FCBC" w14:textId="487335B0" w:rsidR="004000A8" w:rsidRPr="00ED2262"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BE"/>
              </w:rPr>
              <w:t>« B.8.4.3. Lors des travaux préparatoires, le législateur justifie cette méthode de travail par le caractère technique des données d’identification et des documents d’identification, la nécessité de pouvoir en adapter l’énumération en fonction de nouveaux enseignements et le fait que, dans le cadre de la conservation des données, ces données n’étaient pas non plus énumérées dans l’article 126 de la loi du 13 juin 2005 lui-même annulé par l’arrêt de la Cour n° 57/2021 du 22 avril 2021. </w:t>
            </w:r>
          </w:p>
        </w:tc>
        <w:tc>
          <w:tcPr>
            <w:tcW w:w="4508" w:type="dxa"/>
          </w:tcPr>
          <w:p w14:paraId="7909D1EC" w14:textId="77777777"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z w:val="22"/>
              </w:rPr>
              <w:t xml:space="preserve">“B.8.4.3. In de parlementaire voorbereiding verantwoordt de wetgever die manier van werken door te verwijzen naar de technische aard van de identificatiegegevens en identificatiedocumenten, de noodzaak om de </w:t>
            </w:r>
            <w:proofErr w:type="spellStart"/>
            <w:r w:rsidRPr="00A80C6F">
              <w:rPr>
                <w:rFonts w:asciiTheme="minorHAnsi" w:hAnsiTheme="minorHAnsi" w:cstheme="minorHAnsi"/>
                <w:sz w:val="22"/>
              </w:rPr>
              <w:t>oplijsting</w:t>
            </w:r>
            <w:proofErr w:type="spellEnd"/>
            <w:r w:rsidRPr="00A80C6F">
              <w:rPr>
                <w:rFonts w:asciiTheme="minorHAnsi" w:hAnsiTheme="minorHAnsi" w:cstheme="minorHAnsi"/>
                <w:sz w:val="22"/>
              </w:rPr>
              <w:t xml:space="preserve"> daarvan te kunnen aanpassen in het licht van gewijzigde inzichten, en het feit dat ook in het kader van de dataretentie die gegevens niet in het bij het arrest van het Hof nr. 57/2021 van 22 april 2021 vernietigde artikel 126 van de wet van 13 juni 2005 zelf werden opgesomd. </w:t>
            </w:r>
          </w:p>
          <w:p w14:paraId="272A9FC6" w14:textId="77777777" w:rsidR="004000A8" w:rsidRPr="00ED2262" w:rsidRDefault="004000A8" w:rsidP="004000A8">
            <w:pPr>
              <w:jc w:val="both"/>
              <w:rPr>
                <w:rFonts w:asciiTheme="minorHAnsi" w:hAnsiTheme="minorHAnsi" w:cstheme="minorHAnsi"/>
                <w:sz w:val="22"/>
              </w:rPr>
            </w:pPr>
          </w:p>
        </w:tc>
      </w:tr>
      <w:tr w:rsidR="004000A8" w:rsidRPr="00ED2262" w14:paraId="000F0D1F" w14:textId="77777777" w:rsidTr="0025113D">
        <w:tc>
          <w:tcPr>
            <w:tcW w:w="4508" w:type="dxa"/>
          </w:tcPr>
          <w:p w14:paraId="5F4830FF" w14:textId="77777777" w:rsidR="004000A8" w:rsidRPr="00ED2262" w:rsidRDefault="004000A8" w:rsidP="004000A8">
            <w:pPr>
              <w:jc w:val="both"/>
              <w:rPr>
                <w:rFonts w:asciiTheme="minorHAnsi" w:hAnsiTheme="minorHAnsi" w:cstheme="minorHAnsi"/>
                <w:sz w:val="22"/>
              </w:rPr>
            </w:pPr>
          </w:p>
        </w:tc>
        <w:tc>
          <w:tcPr>
            <w:tcW w:w="4508" w:type="dxa"/>
          </w:tcPr>
          <w:p w14:paraId="6F8C9A79" w14:textId="77777777" w:rsidR="004000A8" w:rsidRPr="00ED2262" w:rsidRDefault="004000A8" w:rsidP="004000A8">
            <w:pPr>
              <w:jc w:val="both"/>
              <w:rPr>
                <w:rFonts w:asciiTheme="minorHAnsi" w:hAnsiTheme="minorHAnsi" w:cstheme="minorHAnsi"/>
                <w:sz w:val="22"/>
              </w:rPr>
            </w:pPr>
          </w:p>
        </w:tc>
      </w:tr>
      <w:tr w:rsidR="004000A8" w:rsidRPr="00A80C6F" w14:paraId="3256EBD4" w14:textId="77777777" w:rsidTr="0025113D">
        <w:tc>
          <w:tcPr>
            <w:tcW w:w="4508" w:type="dxa"/>
          </w:tcPr>
          <w:p w14:paraId="63FE44C3" w14:textId="45B29570" w:rsidR="004000A8" w:rsidRPr="00045A81"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BE"/>
              </w:rPr>
              <w:t xml:space="preserve">Indépendamment du fait que ces arguments ne sauraient expliquer l’absence d’une habilitation explicite et sans équivoque, le caractère technique des données d’identification et des documents d’identification et l’adaptabilité d’une telle énumération ne suffisent pas pour conclure que le fait d’ancrer de tels éléments dans une norme législative ne permettrait pas au législateur de réaliser un objectif d’intérêt général. En effet, même une norme législative peut être modifiée. Le Conseil des ministres ne démontre pas qu’une modification de ces données d’identification peut être urgente au point de ne pas pouvoir suivre le cours normal de la procédure législative. De même, une </w:t>
            </w:r>
            <w:r w:rsidRPr="00A80C6F">
              <w:rPr>
                <w:rFonts w:asciiTheme="minorHAnsi" w:hAnsiTheme="minorHAnsi" w:cstheme="minorHAnsi"/>
                <w:sz w:val="22"/>
                <w:lang w:val="fr-BE"/>
              </w:rPr>
              <w:lastRenderedPageBreak/>
              <w:t>énumération des données d’identification et des documents d’identification n’est pas complexe au point de ne pas pouvoir être inscrite dans une norme législative. Enfin, le législateur ne saurait justifier une violation de la Constitution en renvoyant à une autre disposition législative qui comportait peut-être la même inconstitutionnalité. »</w:t>
            </w:r>
          </w:p>
        </w:tc>
        <w:tc>
          <w:tcPr>
            <w:tcW w:w="4508" w:type="dxa"/>
          </w:tcPr>
          <w:p w14:paraId="2CA0DD4F" w14:textId="1E313019"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z w:val="22"/>
              </w:rPr>
              <w:lastRenderedPageBreak/>
              <w:t xml:space="preserve">Nog afgezien van het feit dat die argumenten de afwezigheid van een uitdrukkelijke en ondubbelzinnige machtiging niet kunnen verklaren, volstaan de technische aard van identificatiegegevens en identificatiedocumenten en de aanpasbaarheid van een dergelijke </w:t>
            </w:r>
            <w:proofErr w:type="spellStart"/>
            <w:r w:rsidRPr="00A80C6F">
              <w:rPr>
                <w:rFonts w:asciiTheme="minorHAnsi" w:hAnsiTheme="minorHAnsi" w:cstheme="minorHAnsi"/>
                <w:sz w:val="22"/>
              </w:rPr>
              <w:t>oplijsting</w:t>
            </w:r>
            <w:proofErr w:type="spellEnd"/>
            <w:r w:rsidRPr="00A80C6F">
              <w:rPr>
                <w:rFonts w:asciiTheme="minorHAnsi" w:hAnsiTheme="minorHAnsi" w:cstheme="minorHAnsi"/>
                <w:sz w:val="22"/>
              </w:rPr>
              <w:t xml:space="preserve"> niet om te besluiten dat een verankering ervan in een wetskrachtige norm de wetgever niet in staat zou stellen een doelstelling van algemeen belang te verwezenlijken. Ook een wetskrachtige norm kan immers worden gewijzigd. De Ministerraad toont niet aan dat een wijziging van die identificatiegegevens zo dringend kan zijn dat het normale verloop van de wetgevende </w:t>
            </w:r>
            <w:r w:rsidRPr="00A80C6F">
              <w:rPr>
                <w:rFonts w:asciiTheme="minorHAnsi" w:hAnsiTheme="minorHAnsi" w:cstheme="minorHAnsi"/>
                <w:sz w:val="22"/>
              </w:rPr>
              <w:lastRenderedPageBreak/>
              <w:t xml:space="preserve">procedure niet kan worden gevolgd. Een </w:t>
            </w:r>
            <w:proofErr w:type="spellStart"/>
            <w:r w:rsidRPr="00A80C6F">
              <w:rPr>
                <w:rFonts w:asciiTheme="minorHAnsi" w:hAnsiTheme="minorHAnsi" w:cstheme="minorHAnsi"/>
                <w:sz w:val="22"/>
              </w:rPr>
              <w:t>oplijsting</w:t>
            </w:r>
            <w:proofErr w:type="spellEnd"/>
            <w:r w:rsidRPr="00A80C6F">
              <w:rPr>
                <w:rFonts w:asciiTheme="minorHAnsi" w:hAnsiTheme="minorHAnsi" w:cstheme="minorHAnsi"/>
                <w:sz w:val="22"/>
              </w:rPr>
              <w:t xml:space="preserve"> van identificatiegegevens en identificatiedocumenten is ook niet dermate complex dat zij niet in een wetskrachtige norm kan worden opgenomen. Tot slot kan de wetgever een schending van de Grondwet niet rechtvaardigen door te verwijzen naar een andere wetsbepaling die mogelijk dezelfde ongrondwettigheid bevatte.”</w:t>
            </w:r>
          </w:p>
        </w:tc>
      </w:tr>
      <w:tr w:rsidR="004000A8" w:rsidRPr="00A80C6F" w14:paraId="1ADED6EA" w14:textId="77777777" w:rsidTr="0025113D">
        <w:tc>
          <w:tcPr>
            <w:tcW w:w="4508" w:type="dxa"/>
          </w:tcPr>
          <w:p w14:paraId="1814ABF6" w14:textId="77777777" w:rsidR="004000A8" w:rsidRPr="00045A81" w:rsidRDefault="004000A8" w:rsidP="004000A8">
            <w:pPr>
              <w:jc w:val="both"/>
              <w:rPr>
                <w:rFonts w:asciiTheme="minorHAnsi" w:hAnsiTheme="minorHAnsi" w:cstheme="minorHAnsi"/>
                <w:sz w:val="22"/>
              </w:rPr>
            </w:pPr>
          </w:p>
        </w:tc>
        <w:tc>
          <w:tcPr>
            <w:tcW w:w="4508" w:type="dxa"/>
          </w:tcPr>
          <w:p w14:paraId="6C15C977" w14:textId="77777777" w:rsidR="004000A8" w:rsidRPr="00A80C6F" w:rsidRDefault="004000A8" w:rsidP="004000A8">
            <w:pPr>
              <w:jc w:val="both"/>
              <w:rPr>
                <w:rFonts w:asciiTheme="minorHAnsi" w:hAnsiTheme="minorHAnsi" w:cstheme="minorHAnsi"/>
                <w:sz w:val="22"/>
              </w:rPr>
            </w:pPr>
          </w:p>
        </w:tc>
      </w:tr>
      <w:tr w:rsidR="004000A8" w:rsidRPr="00A80C6F" w14:paraId="0E049631" w14:textId="77777777" w:rsidTr="0025113D">
        <w:tc>
          <w:tcPr>
            <w:tcW w:w="4508" w:type="dxa"/>
          </w:tcPr>
          <w:p w14:paraId="4BA1EC79" w14:textId="600EDF7C" w:rsidR="004000A8" w:rsidRPr="00ED2262" w:rsidRDefault="004000A8" w:rsidP="004000A8">
            <w:pPr>
              <w:jc w:val="both"/>
              <w:rPr>
                <w:rFonts w:asciiTheme="minorHAnsi" w:hAnsiTheme="minorHAnsi" w:cstheme="minorHAnsi"/>
                <w:sz w:val="22"/>
                <w:u w:val="single"/>
                <w:lang w:val="fr-BE"/>
              </w:rPr>
            </w:pPr>
            <w:bookmarkStart w:id="16" w:name="_Toc90638323"/>
            <w:r w:rsidRPr="00ED2262">
              <w:rPr>
                <w:rFonts w:asciiTheme="minorHAnsi" w:hAnsiTheme="minorHAnsi" w:cstheme="minorHAnsi"/>
                <w:sz w:val="22"/>
                <w:u w:val="single"/>
                <w:lang w:val="fr-BE"/>
              </w:rPr>
              <w:t>Les différents sujets traités par l’article 127 de la loi télécom</w:t>
            </w:r>
            <w:bookmarkEnd w:id="16"/>
            <w:r w:rsidRPr="00ED2262">
              <w:rPr>
                <w:rFonts w:asciiTheme="minorHAnsi" w:hAnsiTheme="minorHAnsi" w:cstheme="minorHAnsi"/>
                <w:sz w:val="22"/>
                <w:u w:val="single"/>
                <w:lang w:val="fr-BE"/>
              </w:rPr>
              <w:t xml:space="preserve"> </w:t>
            </w:r>
          </w:p>
        </w:tc>
        <w:tc>
          <w:tcPr>
            <w:tcW w:w="4508" w:type="dxa"/>
          </w:tcPr>
          <w:p w14:paraId="1DF9AA3D" w14:textId="35A07EED" w:rsidR="004000A8" w:rsidRPr="00ED2262" w:rsidRDefault="004000A8" w:rsidP="004000A8">
            <w:pPr>
              <w:jc w:val="both"/>
              <w:rPr>
                <w:rFonts w:asciiTheme="minorHAnsi" w:hAnsiTheme="minorHAnsi" w:cstheme="minorHAnsi"/>
                <w:sz w:val="22"/>
                <w:u w:val="single"/>
              </w:rPr>
            </w:pPr>
            <w:r w:rsidRPr="00ED2262">
              <w:rPr>
                <w:rFonts w:asciiTheme="minorHAnsi" w:hAnsiTheme="minorHAnsi" w:cstheme="minorHAnsi"/>
                <w:sz w:val="22"/>
                <w:u w:val="single"/>
              </w:rPr>
              <w:t>De verschillende onderwerpen die door artikel 127 van de telecomwet worden behandeld</w:t>
            </w:r>
          </w:p>
        </w:tc>
      </w:tr>
      <w:tr w:rsidR="004000A8" w:rsidRPr="00A80C6F" w14:paraId="1E4E3CF3" w14:textId="77777777" w:rsidTr="0025113D">
        <w:tc>
          <w:tcPr>
            <w:tcW w:w="4508" w:type="dxa"/>
          </w:tcPr>
          <w:p w14:paraId="19A87E64" w14:textId="77777777" w:rsidR="004000A8" w:rsidRPr="00A80C6F" w:rsidRDefault="004000A8" w:rsidP="004000A8">
            <w:pPr>
              <w:jc w:val="both"/>
              <w:rPr>
                <w:rFonts w:asciiTheme="minorHAnsi" w:hAnsiTheme="minorHAnsi" w:cstheme="minorHAnsi"/>
                <w:sz w:val="22"/>
              </w:rPr>
            </w:pPr>
          </w:p>
        </w:tc>
        <w:tc>
          <w:tcPr>
            <w:tcW w:w="4508" w:type="dxa"/>
          </w:tcPr>
          <w:p w14:paraId="700581B7" w14:textId="77777777" w:rsidR="004000A8" w:rsidRPr="00A80C6F" w:rsidRDefault="004000A8" w:rsidP="004000A8">
            <w:pPr>
              <w:jc w:val="both"/>
              <w:rPr>
                <w:rFonts w:asciiTheme="minorHAnsi" w:hAnsiTheme="minorHAnsi" w:cstheme="minorHAnsi"/>
                <w:sz w:val="22"/>
              </w:rPr>
            </w:pPr>
          </w:p>
        </w:tc>
      </w:tr>
      <w:tr w:rsidR="004000A8" w:rsidRPr="00A80C6F" w14:paraId="61EE2A74" w14:textId="77777777" w:rsidTr="0025113D">
        <w:tc>
          <w:tcPr>
            <w:tcW w:w="4508" w:type="dxa"/>
          </w:tcPr>
          <w:p w14:paraId="610299D5" w14:textId="69320CA2" w:rsidR="004000A8" w:rsidRPr="00045A81"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BE"/>
              </w:rPr>
              <w:t xml:space="preserve">Dans le cadre de l’avant-projet de loi « conservation des données », il était prévu de revoir l’article 127 de la loi télécom pour rendre cette loi plus lisible. </w:t>
            </w:r>
          </w:p>
        </w:tc>
        <w:tc>
          <w:tcPr>
            <w:tcW w:w="4508" w:type="dxa"/>
          </w:tcPr>
          <w:p w14:paraId="3BD47DE2" w14:textId="401B8814"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pacing w:val="-3"/>
                <w:sz w:val="22"/>
              </w:rPr>
              <w:t>In het kader van het voorontwerp van wet “gegevensbewaring” was het de bedoeling om artikel 127 van de telecomwet te herzien, teneinde die wet leesbaarder te maken.</w:t>
            </w:r>
          </w:p>
        </w:tc>
      </w:tr>
      <w:tr w:rsidR="004000A8" w:rsidRPr="00A80C6F" w14:paraId="609D194A" w14:textId="77777777" w:rsidTr="0025113D">
        <w:tc>
          <w:tcPr>
            <w:tcW w:w="4508" w:type="dxa"/>
          </w:tcPr>
          <w:p w14:paraId="441B8B70" w14:textId="77777777" w:rsidR="004000A8" w:rsidRPr="00045A81" w:rsidRDefault="004000A8" w:rsidP="004000A8">
            <w:pPr>
              <w:jc w:val="both"/>
              <w:rPr>
                <w:rFonts w:asciiTheme="minorHAnsi" w:hAnsiTheme="minorHAnsi" w:cstheme="minorHAnsi"/>
                <w:sz w:val="22"/>
              </w:rPr>
            </w:pPr>
          </w:p>
        </w:tc>
        <w:tc>
          <w:tcPr>
            <w:tcW w:w="4508" w:type="dxa"/>
          </w:tcPr>
          <w:p w14:paraId="6FC12B0A" w14:textId="77777777" w:rsidR="004000A8" w:rsidRPr="00A80C6F" w:rsidRDefault="004000A8" w:rsidP="004000A8">
            <w:pPr>
              <w:jc w:val="both"/>
              <w:rPr>
                <w:rFonts w:asciiTheme="minorHAnsi" w:hAnsiTheme="minorHAnsi" w:cstheme="minorHAnsi"/>
                <w:spacing w:val="-3"/>
                <w:sz w:val="22"/>
              </w:rPr>
            </w:pPr>
          </w:p>
        </w:tc>
      </w:tr>
      <w:tr w:rsidR="004000A8" w:rsidRPr="00A80C6F" w14:paraId="5F0EF20F" w14:textId="77777777" w:rsidTr="0025113D">
        <w:tc>
          <w:tcPr>
            <w:tcW w:w="4508" w:type="dxa"/>
          </w:tcPr>
          <w:p w14:paraId="08DF9ECD" w14:textId="06DF8319" w:rsidR="004000A8" w:rsidRPr="008C1238" w:rsidRDefault="004000A8" w:rsidP="004000A8">
            <w:pPr>
              <w:jc w:val="both"/>
              <w:rPr>
                <w:rFonts w:asciiTheme="minorHAnsi" w:hAnsiTheme="minorHAnsi" w:cstheme="minorHAnsi"/>
                <w:spacing w:val="-3"/>
                <w:sz w:val="22"/>
                <w:lang w:val="fr-FR"/>
              </w:rPr>
            </w:pPr>
            <w:r w:rsidRPr="00A80C6F">
              <w:rPr>
                <w:rFonts w:asciiTheme="minorHAnsi" w:hAnsiTheme="minorHAnsi" w:cstheme="minorHAnsi"/>
                <w:spacing w:val="-3"/>
                <w:sz w:val="22"/>
                <w:lang w:val="fr-FR"/>
              </w:rPr>
              <w:t xml:space="preserve">En effet, l’ancien article 127 mélangeait différentes matières que sont : </w:t>
            </w:r>
          </w:p>
        </w:tc>
        <w:tc>
          <w:tcPr>
            <w:tcW w:w="4508" w:type="dxa"/>
          </w:tcPr>
          <w:p w14:paraId="05DBDF37" w14:textId="47B5079C"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z w:val="22"/>
              </w:rPr>
              <w:t xml:space="preserve">Het oude artikel 127 vormde immers een mengeling van verschillende materies, namelijk: </w:t>
            </w:r>
          </w:p>
        </w:tc>
      </w:tr>
      <w:tr w:rsidR="004000A8" w:rsidRPr="00A80C6F" w14:paraId="0F3021CF" w14:textId="77777777" w:rsidTr="0025113D">
        <w:tc>
          <w:tcPr>
            <w:tcW w:w="4508" w:type="dxa"/>
          </w:tcPr>
          <w:p w14:paraId="0A3FA63C" w14:textId="77777777" w:rsidR="004000A8" w:rsidRPr="00ED2262" w:rsidRDefault="004000A8" w:rsidP="004000A8">
            <w:pPr>
              <w:jc w:val="both"/>
              <w:rPr>
                <w:rFonts w:asciiTheme="minorHAnsi" w:hAnsiTheme="minorHAnsi" w:cstheme="minorHAnsi"/>
                <w:spacing w:val="-3"/>
                <w:sz w:val="22"/>
              </w:rPr>
            </w:pPr>
          </w:p>
        </w:tc>
        <w:tc>
          <w:tcPr>
            <w:tcW w:w="4508" w:type="dxa"/>
          </w:tcPr>
          <w:p w14:paraId="46D908B7" w14:textId="77777777" w:rsidR="004000A8" w:rsidRPr="00A80C6F" w:rsidRDefault="004000A8" w:rsidP="004000A8">
            <w:pPr>
              <w:jc w:val="both"/>
              <w:rPr>
                <w:rFonts w:asciiTheme="minorHAnsi" w:hAnsiTheme="minorHAnsi" w:cstheme="minorHAnsi"/>
                <w:sz w:val="22"/>
              </w:rPr>
            </w:pPr>
          </w:p>
        </w:tc>
      </w:tr>
      <w:tr w:rsidR="004000A8" w:rsidRPr="00ED2262" w14:paraId="3EBACE11" w14:textId="77777777" w:rsidTr="0025113D">
        <w:tc>
          <w:tcPr>
            <w:tcW w:w="4508" w:type="dxa"/>
          </w:tcPr>
          <w:p w14:paraId="17754957" w14:textId="54813E9C" w:rsidR="004000A8" w:rsidRPr="008C1238" w:rsidRDefault="004000A8" w:rsidP="004000A8">
            <w:pPr>
              <w:pStyle w:val="Lijstalinea"/>
              <w:numPr>
                <w:ilvl w:val="0"/>
                <w:numId w:val="2"/>
              </w:numPr>
              <w:spacing w:before="0"/>
              <w:rPr>
                <w:rFonts w:asciiTheme="minorHAnsi" w:hAnsiTheme="minorHAnsi" w:cstheme="minorHAnsi"/>
                <w:spacing w:val="-3"/>
                <w:lang w:val="fr-FR"/>
              </w:rPr>
            </w:pPr>
            <w:r w:rsidRPr="00A80C6F">
              <w:rPr>
                <w:rFonts w:asciiTheme="minorHAnsi" w:hAnsiTheme="minorHAnsi" w:cstheme="minorHAnsi"/>
                <w:spacing w:val="-3"/>
                <w:lang w:val="fr-FR"/>
              </w:rPr>
              <w:t xml:space="preserve">l’identification de l’abonné et de l’utilisateur effectif du service de communications électroniques (dorénavant reprise à l’article 127) ; </w:t>
            </w:r>
          </w:p>
        </w:tc>
        <w:tc>
          <w:tcPr>
            <w:tcW w:w="4508" w:type="dxa"/>
          </w:tcPr>
          <w:p w14:paraId="098B43F5" w14:textId="3F8496CA" w:rsidR="004000A8" w:rsidRPr="008C1238" w:rsidRDefault="004000A8" w:rsidP="004000A8">
            <w:pPr>
              <w:pStyle w:val="Lijstalinea"/>
              <w:numPr>
                <w:ilvl w:val="0"/>
                <w:numId w:val="2"/>
              </w:numPr>
              <w:spacing w:before="0"/>
              <w:rPr>
                <w:rFonts w:asciiTheme="minorHAnsi" w:hAnsiTheme="minorHAnsi" w:cstheme="minorHAnsi"/>
                <w:spacing w:val="-3"/>
                <w:lang w:val="nl-BE"/>
              </w:rPr>
            </w:pPr>
            <w:r w:rsidRPr="00A80C6F">
              <w:rPr>
                <w:rFonts w:asciiTheme="minorHAnsi" w:hAnsiTheme="minorHAnsi" w:cstheme="minorHAnsi"/>
                <w:lang w:val="nl-BE"/>
              </w:rPr>
              <w:t xml:space="preserve">de identificatie van de abonnee en van de effectieve gebruiker van de elektronische-communicatiedienst (voortaan opgenomen in artikel 127); </w:t>
            </w:r>
          </w:p>
        </w:tc>
      </w:tr>
      <w:tr w:rsidR="004000A8" w:rsidRPr="00ED2262" w14:paraId="4D1C6359" w14:textId="77777777" w:rsidTr="0025113D">
        <w:tc>
          <w:tcPr>
            <w:tcW w:w="4508" w:type="dxa"/>
          </w:tcPr>
          <w:p w14:paraId="7B855931" w14:textId="77777777" w:rsidR="004000A8" w:rsidRPr="00ED2262" w:rsidRDefault="004000A8" w:rsidP="004000A8">
            <w:pPr>
              <w:jc w:val="both"/>
              <w:rPr>
                <w:rFonts w:asciiTheme="minorHAnsi" w:hAnsiTheme="minorHAnsi" w:cstheme="minorHAnsi"/>
                <w:spacing w:val="-3"/>
                <w:sz w:val="22"/>
              </w:rPr>
            </w:pPr>
          </w:p>
        </w:tc>
        <w:tc>
          <w:tcPr>
            <w:tcW w:w="4508" w:type="dxa"/>
          </w:tcPr>
          <w:p w14:paraId="45BBB505" w14:textId="77777777" w:rsidR="004000A8" w:rsidRPr="00ED2262" w:rsidRDefault="004000A8" w:rsidP="004000A8">
            <w:pPr>
              <w:jc w:val="both"/>
              <w:rPr>
                <w:rFonts w:asciiTheme="minorHAnsi" w:hAnsiTheme="minorHAnsi" w:cstheme="minorHAnsi"/>
                <w:sz w:val="22"/>
              </w:rPr>
            </w:pPr>
          </w:p>
        </w:tc>
      </w:tr>
      <w:tr w:rsidR="004000A8" w:rsidRPr="00ED2262" w14:paraId="45B87BED" w14:textId="77777777" w:rsidTr="0025113D">
        <w:tc>
          <w:tcPr>
            <w:tcW w:w="4508" w:type="dxa"/>
          </w:tcPr>
          <w:p w14:paraId="2266EEAA" w14:textId="124EC13D" w:rsidR="004000A8" w:rsidRPr="00A80C6F" w:rsidRDefault="004000A8" w:rsidP="004000A8">
            <w:pPr>
              <w:pStyle w:val="Lijstalinea"/>
              <w:numPr>
                <w:ilvl w:val="0"/>
                <w:numId w:val="2"/>
              </w:numPr>
              <w:spacing w:before="0"/>
              <w:rPr>
                <w:rFonts w:asciiTheme="minorHAnsi" w:hAnsiTheme="minorHAnsi" w:cstheme="minorHAnsi"/>
                <w:spacing w:val="-3"/>
                <w:lang w:val="fr-FR"/>
              </w:rPr>
            </w:pPr>
            <w:r w:rsidRPr="00A80C6F">
              <w:rPr>
                <w:rFonts w:asciiTheme="minorHAnsi" w:hAnsiTheme="minorHAnsi" w:cstheme="minorHAnsi"/>
                <w:spacing w:val="-3"/>
                <w:lang w:val="fr-FR"/>
              </w:rPr>
              <w:t>des délégations au Roi pour fixer la collaboration des opérateurs entre autres avec les autorités judiciaires (dorénavant reprises à l’article 127/3 inséré par le projet</w:t>
            </w:r>
            <w:r>
              <w:rPr>
                <w:rFonts w:asciiTheme="minorHAnsi" w:hAnsiTheme="minorHAnsi" w:cstheme="minorHAnsi"/>
                <w:spacing w:val="-3"/>
                <w:lang w:val="fr-FR"/>
              </w:rPr>
              <w:t xml:space="preserve"> </w:t>
            </w:r>
            <w:r w:rsidRPr="00A80C6F">
              <w:rPr>
                <w:rFonts w:asciiTheme="minorHAnsi" w:hAnsiTheme="minorHAnsi" w:cstheme="minorHAnsi"/>
                <w:spacing w:val="-3"/>
                <w:lang w:val="fr-FR"/>
              </w:rPr>
              <w:t xml:space="preserve">de loi « conservation des données ») ; </w:t>
            </w:r>
          </w:p>
          <w:p w14:paraId="21D1BD5B" w14:textId="77777777" w:rsidR="004000A8" w:rsidRPr="00ED2262" w:rsidRDefault="004000A8" w:rsidP="004000A8">
            <w:pPr>
              <w:jc w:val="both"/>
              <w:rPr>
                <w:rFonts w:asciiTheme="minorHAnsi" w:hAnsiTheme="minorHAnsi" w:cstheme="minorHAnsi"/>
                <w:spacing w:val="-3"/>
                <w:sz w:val="22"/>
                <w:lang w:val="fr-BE"/>
              </w:rPr>
            </w:pPr>
          </w:p>
        </w:tc>
        <w:tc>
          <w:tcPr>
            <w:tcW w:w="4508" w:type="dxa"/>
          </w:tcPr>
          <w:p w14:paraId="0659FFD7" w14:textId="185C0D10" w:rsidR="004000A8" w:rsidRPr="008C1238" w:rsidRDefault="004000A8" w:rsidP="004000A8">
            <w:pPr>
              <w:pStyle w:val="Lijstalinea"/>
              <w:numPr>
                <w:ilvl w:val="0"/>
                <w:numId w:val="2"/>
              </w:numPr>
              <w:spacing w:before="0"/>
              <w:rPr>
                <w:rFonts w:asciiTheme="minorHAnsi" w:hAnsiTheme="minorHAnsi" w:cstheme="minorHAnsi"/>
                <w:spacing w:val="-3"/>
                <w:lang w:val="nl-BE"/>
              </w:rPr>
            </w:pPr>
            <w:r w:rsidRPr="00A80C6F">
              <w:rPr>
                <w:rFonts w:asciiTheme="minorHAnsi" w:hAnsiTheme="minorHAnsi" w:cstheme="minorHAnsi"/>
                <w:lang w:val="nl-BE"/>
              </w:rPr>
              <w:t xml:space="preserve">delegaties aan de Koning om de medewerking van de operatoren vast te stellen onder andere met de gerechtelijke autoriteiten (voortaan opgenomen in artikel 127/3 ingevoegd door het wetsontwerp “gegevensbewaring”); </w:t>
            </w:r>
          </w:p>
        </w:tc>
      </w:tr>
      <w:tr w:rsidR="004000A8" w:rsidRPr="00ED2262" w14:paraId="15FC37CE" w14:textId="77777777" w:rsidTr="0025113D">
        <w:tc>
          <w:tcPr>
            <w:tcW w:w="4508" w:type="dxa"/>
          </w:tcPr>
          <w:p w14:paraId="65EF40AA" w14:textId="77777777" w:rsidR="004000A8" w:rsidRPr="00ED2262" w:rsidRDefault="004000A8" w:rsidP="004000A8">
            <w:pPr>
              <w:jc w:val="both"/>
              <w:rPr>
                <w:rFonts w:asciiTheme="minorHAnsi" w:hAnsiTheme="minorHAnsi" w:cstheme="minorHAnsi"/>
                <w:spacing w:val="-3"/>
                <w:sz w:val="22"/>
              </w:rPr>
            </w:pPr>
          </w:p>
        </w:tc>
        <w:tc>
          <w:tcPr>
            <w:tcW w:w="4508" w:type="dxa"/>
          </w:tcPr>
          <w:p w14:paraId="2690A44F" w14:textId="77777777" w:rsidR="004000A8" w:rsidRPr="00ED2262" w:rsidRDefault="004000A8" w:rsidP="004000A8">
            <w:pPr>
              <w:jc w:val="both"/>
              <w:rPr>
                <w:rFonts w:asciiTheme="minorHAnsi" w:hAnsiTheme="minorHAnsi" w:cstheme="minorHAnsi"/>
                <w:sz w:val="22"/>
              </w:rPr>
            </w:pPr>
          </w:p>
        </w:tc>
      </w:tr>
      <w:tr w:rsidR="004000A8" w:rsidRPr="00ED2262" w14:paraId="5591465A" w14:textId="77777777" w:rsidTr="0025113D">
        <w:tc>
          <w:tcPr>
            <w:tcW w:w="4508" w:type="dxa"/>
          </w:tcPr>
          <w:p w14:paraId="7E4D2F7B" w14:textId="35E71EF3" w:rsidR="004000A8" w:rsidRPr="008C1238" w:rsidRDefault="004000A8" w:rsidP="004000A8">
            <w:pPr>
              <w:pStyle w:val="Lijstalinea"/>
              <w:numPr>
                <w:ilvl w:val="0"/>
                <w:numId w:val="2"/>
              </w:numPr>
              <w:spacing w:before="0"/>
              <w:rPr>
                <w:rFonts w:asciiTheme="minorHAnsi" w:hAnsiTheme="minorHAnsi" w:cstheme="minorHAnsi"/>
                <w:spacing w:val="-3"/>
                <w:lang w:val="fr-FR"/>
              </w:rPr>
            </w:pPr>
            <w:r w:rsidRPr="00A80C6F">
              <w:rPr>
                <w:rFonts w:asciiTheme="minorHAnsi" w:hAnsiTheme="minorHAnsi" w:cstheme="minorHAnsi"/>
                <w:spacing w:val="-3"/>
                <w:lang w:val="fr-FR"/>
              </w:rPr>
              <w:t xml:space="preserve">les règles en matière de système d’encryptage (dorénavant reprises à l’article 107/5 remplacé par le projet de loi « conservation des données ») ;  </w:t>
            </w:r>
          </w:p>
        </w:tc>
        <w:tc>
          <w:tcPr>
            <w:tcW w:w="4508" w:type="dxa"/>
          </w:tcPr>
          <w:p w14:paraId="722376CB" w14:textId="0DA68832" w:rsidR="004000A8" w:rsidRPr="008C1238" w:rsidRDefault="004000A8" w:rsidP="004000A8">
            <w:pPr>
              <w:pStyle w:val="Lijstalinea"/>
              <w:numPr>
                <w:ilvl w:val="0"/>
                <w:numId w:val="2"/>
              </w:numPr>
              <w:spacing w:before="0"/>
              <w:rPr>
                <w:rFonts w:asciiTheme="minorHAnsi" w:hAnsiTheme="minorHAnsi" w:cstheme="minorHAnsi"/>
                <w:spacing w:val="-3"/>
                <w:lang w:val="nl-BE"/>
              </w:rPr>
            </w:pPr>
            <w:r w:rsidRPr="00A80C6F">
              <w:rPr>
                <w:rFonts w:asciiTheme="minorHAnsi" w:hAnsiTheme="minorHAnsi" w:cstheme="minorHAnsi"/>
                <w:lang w:val="nl-BE"/>
              </w:rPr>
              <w:t>de regels inzake versleutelingssysteem (voortaan opgenomen in artikel 107/5 vervangen door het wetsontwerp “gegevensbewaring”);</w:t>
            </w:r>
          </w:p>
        </w:tc>
      </w:tr>
      <w:tr w:rsidR="004000A8" w:rsidRPr="00ED2262" w14:paraId="62BE7D0F" w14:textId="77777777" w:rsidTr="0025113D">
        <w:tc>
          <w:tcPr>
            <w:tcW w:w="4508" w:type="dxa"/>
          </w:tcPr>
          <w:p w14:paraId="5942C1A4" w14:textId="77777777" w:rsidR="004000A8" w:rsidRPr="00ED2262" w:rsidRDefault="004000A8" w:rsidP="004000A8">
            <w:pPr>
              <w:jc w:val="both"/>
              <w:rPr>
                <w:rFonts w:asciiTheme="minorHAnsi" w:hAnsiTheme="minorHAnsi" w:cstheme="minorHAnsi"/>
                <w:spacing w:val="-3"/>
                <w:sz w:val="22"/>
              </w:rPr>
            </w:pPr>
          </w:p>
        </w:tc>
        <w:tc>
          <w:tcPr>
            <w:tcW w:w="4508" w:type="dxa"/>
          </w:tcPr>
          <w:p w14:paraId="710B8A1D" w14:textId="77777777" w:rsidR="004000A8" w:rsidRPr="00ED2262" w:rsidRDefault="004000A8" w:rsidP="004000A8">
            <w:pPr>
              <w:jc w:val="both"/>
              <w:rPr>
                <w:rFonts w:asciiTheme="minorHAnsi" w:hAnsiTheme="minorHAnsi" w:cstheme="minorHAnsi"/>
                <w:sz w:val="22"/>
              </w:rPr>
            </w:pPr>
          </w:p>
        </w:tc>
      </w:tr>
      <w:tr w:rsidR="004000A8" w:rsidRPr="00ED2262" w14:paraId="7896D4C2" w14:textId="77777777" w:rsidTr="0025113D">
        <w:tc>
          <w:tcPr>
            <w:tcW w:w="4508" w:type="dxa"/>
          </w:tcPr>
          <w:p w14:paraId="5289F0C5" w14:textId="547B2819" w:rsidR="004000A8" w:rsidRPr="00ED2262" w:rsidRDefault="004000A8" w:rsidP="004000A8">
            <w:pPr>
              <w:pStyle w:val="Lijstalinea"/>
              <w:numPr>
                <w:ilvl w:val="0"/>
                <w:numId w:val="2"/>
              </w:numPr>
              <w:spacing w:before="0"/>
              <w:rPr>
                <w:rFonts w:asciiTheme="minorHAnsi" w:hAnsiTheme="minorHAnsi" w:cstheme="minorHAnsi"/>
                <w:spacing w:val="-3"/>
                <w:lang w:val="fr-BE"/>
              </w:rPr>
            </w:pPr>
            <w:r w:rsidRPr="00ED2262">
              <w:rPr>
                <w:rFonts w:asciiTheme="minorHAnsi" w:hAnsiTheme="minorHAnsi" w:cstheme="minorHAnsi"/>
                <w:lang w:val="fr-FR"/>
              </w:rPr>
              <w:t xml:space="preserve">une interdiction qui s’applique à tous de ne pas offrir ou utiliser des équipements ou des services qui rendent  impossible ou difficile certaines opérations effectuées au bénéfice des autorités, comme  l'identification de l'utilisateur final, le repérage, la localisation, les écoutes, la prise de connaissance et l'enregistrement des communications privées (interdiction dorénavant reprise à l’article 127/4, inséré par un amendement).  </w:t>
            </w:r>
          </w:p>
        </w:tc>
        <w:tc>
          <w:tcPr>
            <w:tcW w:w="4508" w:type="dxa"/>
          </w:tcPr>
          <w:p w14:paraId="10E692B5" w14:textId="4A9F987A" w:rsidR="004000A8" w:rsidRPr="00ED2262" w:rsidRDefault="004000A8" w:rsidP="004000A8">
            <w:pPr>
              <w:pStyle w:val="Lijstalinea"/>
              <w:numPr>
                <w:ilvl w:val="0"/>
                <w:numId w:val="2"/>
              </w:numPr>
              <w:spacing w:before="0"/>
              <w:rPr>
                <w:rFonts w:asciiTheme="minorHAnsi" w:hAnsiTheme="minorHAnsi" w:cstheme="minorHAnsi"/>
                <w:lang w:val="nl-BE"/>
              </w:rPr>
            </w:pPr>
            <w:r w:rsidRPr="00ED2262">
              <w:rPr>
                <w:rFonts w:asciiTheme="minorHAnsi" w:hAnsiTheme="minorHAnsi" w:cstheme="minorHAnsi"/>
                <w:lang w:val="nl-BE"/>
              </w:rPr>
              <w:t>een verbod dat voor iedereen geldt om geen apparatuur of diensten aan te bieden of te gebruiken die bepaalde activiteiten uitgevoerd ten behoeve van de autoriteiten, zoals de identificatie van de eindgebruiker, het opsporen, lokaliseren, afluisteren, kennisnemen en opnemen van privécommunicatie, onmogelijk of moeilijk maken (verbod voortaan opgenomen in artikel 127/4, ingevoegd door een amendement).</w:t>
            </w:r>
          </w:p>
        </w:tc>
      </w:tr>
      <w:tr w:rsidR="004000A8" w:rsidRPr="00ED2262" w14:paraId="1B8650BA" w14:textId="77777777" w:rsidTr="0025113D">
        <w:tc>
          <w:tcPr>
            <w:tcW w:w="4508" w:type="dxa"/>
          </w:tcPr>
          <w:p w14:paraId="5C530A43" w14:textId="77777777" w:rsidR="004000A8" w:rsidRPr="00ED2262" w:rsidRDefault="004000A8" w:rsidP="004000A8">
            <w:pPr>
              <w:jc w:val="both"/>
              <w:rPr>
                <w:rFonts w:asciiTheme="minorHAnsi" w:hAnsiTheme="minorHAnsi" w:cstheme="minorHAnsi"/>
                <w:spacing w:val="-3"/>
                <w:sz w:val="22"/>
              </w:rPr>
            </w:pPr>
          </w:p>
        </w:tc>
        <w:tc>
          <w:tcPr>
            <w:tcW w:w="4508" w:type="dxa"/>
          </w:tcPr>
          <w:p w14:paraId="78BD9191" w14:textId="77777777" w:rsidR="004000A8" w:rsidRPr="00ED2262" w:rsidRDefault="004000A8" w:rsidP="004000A8">
            <w:pPr>
              <w:jc w:val="both"/>
              <w:rPr>
                <w:rFonts w:asciiTheme="minorHAnsi" w:hAnsiTheme="minorHAnsi" w:cstheme="minorHAnsi"/>
                <w:sz w:val="22"/>
              </w:rPr>
            </w:pPr>
          </w:p>
        </w:tc>
      </w:tr>
      <w:tr w:rsidR="004000A8" w:rsidRPr="00A80C6F" w14:paraId="6F586365" w14:textId="77777777" w:rsidTr="0025113D">
        <w:tc>
          <w:tcPr>
            <w:tcW w:w="4508" w:type="dxa"/>
          </w:tcPr>
          <w:p w14:paraId="5B690250" w14:textId="4A7DD500" w:rsidR="004000A8" w:rsidRPr="00045A81" w:rsidRDefault="004000A8" w:rsidP="004000A8">
            <w:pPr>
              <w:jc w:val="both"/>
              <w:rPr>
                <w:rFonts w:asciiTheme="minorHAnsi" w:hAnsiTheme="minorHAnsi" w:cstheme="minorHAnsi"/>
                <w:sz w:val="22"/>
                <w:lang w:val="fr-BE"/>
              </w:rPr>
            </w:pPr>
            <w:r w:rsidRPr="00A80C6F">
              <w:rPr>
                <w:rFonts w:asciiTheme="minorHAnsi" w:hAnsiTheme="minorHAnsi" w:cstheme="minorHAnsi"/>
                <w:spacing w:val="-3"/>
                <w:sz w:val="22"/>
                <w:lang w:val="fr-FR"/>
              </w:rPr>
              <w:t>La disposition au sein du paragraphe 1</w:t>
            </w:r>
            <w:r w:rsidRPr="00A80C6F">
              <w:rPr>
                <w:rFonts w:asciiTheme="minorHAnsi" w:hAnsiTheme="minorHAnsi" w:cstheme="minorHAnsi"/>
                <w:spacing w:val="-3"/>
                <w:sz w:val="22"/>
                <w:vertAlign w:val="superscript"/>
                <w:lang w:val="fr-FR"/>
              </w:rPr>
              <w:t>er</w:t>
            </w:r>
            <w:r w:rsidRPr="00A80C6F">
              <w:rPr>
                <w:rFonts w:asciiTheme="minorHAnsi" w:hAnsiTheme="minorHAnsi" w:cstheme="minorHAnsi"/>
                <w:spacing w:val="-3"/>
                <w:sz w:val="22"/>
                <w:lang w:val="fr-FR"/>
              </w:rPr>
              <w:t xml:space="preserve"> de l’article 127 qui indiquait que l’opérateur est le responsable du traitement a été déplacée vers un article commun à plusieurs dispositions (voir art. 127/3 inséré par le projet de loi « conservation des données »).</w:t>
            </w:r>
          </w:p>
        </w:tc>
        <w:tc>
          <w:tcPr>
            <w:tcW w:w="4508" w:type="dxa"/>
          </w:tcPr>
          <w:p w14:paraId="668AA13C" w14:textId="58612B1A"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z w:val="22"/>
              </w:rPr>
              <w:t>De bepaling binnen paragraaf 1 van artikel 127 die aangaf dat de operator verantwoordelijk is voor de verwerking, is verplaatst naar een gemeenschappelijk artikel met verscheidene bepalingen (zie art. 127/3 ingevoegd door het wetsontwerp “gegevensbewaring”).</w:t>
            </w:r>
          </w:p>
        </w:tc>
      </w:tr>
      <w:tr w:rsidR="004000A8" w:rsidRPr="00A80C6F" w14:paraId="0626126A" w14:textId="77777777" w:rsidTr="0025113D">
        <w:tc>
          <w:tcPr>
            <w:tcW w:w="4508" w:type="dxa"/>
          </w:tcPr>
          <w:p w14:paraId="1EB71FD4" w14:textId="77777777" w:rsidR="004000A8" w:rsidRPr="00045A81" w:rsidRDefault="004000A8" w:rsidP="004000A8">
            <w:pPr>
              <w:jc w:val="both"/>
              <w:rPr>
                <w:rFonts w:asciiTheme="minorHAnsi" w:hAnsiTheme="minorHAnsi" w:cstheme="minorHAnsi"/>
                <w:spacing w:val="-3"/>
                <w:sz w:val="22"/>
              </w:rPr>
            </w:pPr>
          </w:p>
        </w:tc>
        <w:tc>
          <w:tcPr>
            <w:tcW w:w="4508" w:type="dxa"/>
          </w:tcPr>
          <w:p w14:paraId="724CC4C8" w14:textId="77777777" w:rsidR="004000A8" w:rsidRPr="00A80C6F" w:rsidRDefault="004000A8" w:rsidP="004000A8">
            <w:pPr>
              <w:jc w:val="both"/>
              <w:rPr>
                <w:rFonts w:asciiTheme="minorHAnsi" w:hAnsiTheme="minorHAnsi" w:cstheme="minorHAnsi"/>
                <w:sz w:val="22"/>
              </w:rPr>
            </w:pPr>
          </w:p>
        </w:tc>
      </w:tr>
      <w:tr w:rsidR="004000A8" w:rsidRPr="00A80C6F" w14:paraId="7411D0C0" w14:textId="77777777" w:rsidTr="0025113D">
        <w:tc>
          <w:tcPr>
            <w:tcW w:w="4508" w:type="dxa"/>
          </w:tcPr>
          <w:p w14:paraId="751BD299" w14:textId="22BF76F0" w:rsidR="004000A8" w:rsidRPr="00045A81"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BE"/>
              </w:rPr>
              <w:t>Le paragraphe 3 de l’article 127 a été supprimé, étant donné que la loi du 1</w:t>
            </w:r>
            <w:r w:rsidRPr="00A80C6F">
              <w:rPr>
                <w:rFonts w:asciiTheme="minorHAnsi" w:hAnsiTheme="minorHAnsi" w:cstheme="minorHAnsi"/>
                <w:sz w:val="22"/>
                <w:vertAlign w:val="superscript"/>
                <w:lang w:val="fr-BE"/>
              </w:rPr>
              <w:t>er</w:t>
            </w:r>
            <w:r w:rsidRPr="00A80C6F">
              <w:rPr>
                <w:rFonts w:asciiTheme="minorHAnsi" w:hAnsiTheme="minorHAnsi" w:cstheme="minorHAnsi"/>
                <w:sz w:val="22"/>
                <w:lang w:val="fr-BE"/>
              </w:rPr>
              <w:t xml:space="preserve"> septembre 2016 a mis fin à l’anonymat pour les cartes prépayées.</w:t>
            </w:r>
          </w:p>
        </w:tc>
        <w:tc>
          <w:tcPr>
            <w:tcW w:w="4508" w:type="dxa"/>
          </w:tcPr>
          <w:p w14:paraId="476B225B" w14:textId="26429DA5"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z w:val="22"/>
              </w:rPr>
              <w:t>Paragraaf 3 van artikel 127 werd geschrapt aangezien de wet van 1 september 2016 een einde heeft gemaakt aan de anonimiteit van de vooraf betaalde kaarten.</w:t>
            </w:r>
          </w:p>
        </w:tc>
      </w:tr>
      <w:tr w:rsidR="004000A8" w:rsidRPr="00A80C6F" w14:paraId="05F94D3A" w14:textId="77777777" w:rsidTr="0025113D">
        <w:tc>
          <w:tcPr>
            <w:tcW w:w="4508" w:type="dxa"/>
          </w:tcPr>
          <w:p w14:paraId="619E3840" w14:textId="77777777" w:rsidR="004000A8" w:rsidRPr="00045A81" w:rsidRDefault="004000A8" w:rsidP="004000A8">
            <w:pPr>
              <w:jc w:val="both"/>
              <w:rPr>
                <w:rFonts w:asciiTheme="minorHAnsi" w:hAnsiTheme="minorHAnsi" w:cstheme="minorHAnsi"/>
                <w:sz w:val="22"/>
              </w:rPr>
            </w:pPr>
          </w:p>
        </w:tc>
        <w:tc>
          <w:tcPr>
            <w:tcW w:w="4508" w:type="dxa"/>
          </w:tcPr>
          <w:p w14:paraId="0DE0D934" w14:textId="77777777" w:rsidR="004000A8" w:rsidRPr="00A80C6F" w:rsidRDefault="004000A8" w:rsidP="004000A8">
            <w:pPr>
              <w:jc w:val="both"/>
              <w:rPr>
                <w:rFonts w:asciiTheme="minorHAnsi" w:hAnsiTheme="minorHAnsi" w:cstheme="minorHAnsi"/>
                <w:sz w:val="22"/>
              </w:rPr>
            </w:pPr>
          </w:p>
        </w:tc>
      </w:tr>
      <w:tr w:rsidR="004000A8" w:rsidRPr="00A80C6F" w14:paraId="638A6D77" w14:textId="77777777" w:rsidTr="0025113D">
        <w:tc>
          <w:tcPr>
            <w:tcW w:w="4508" w:type="dxa"/>
          </w:tcPr>
          <w:p w14:paraId="6A8251D4" w14:textId="64A68F37" w:rsidR="004000A8" w:rsidRPr="00ED2262" w:rsidRDefault="004000A8" w:rsidP="004000A8">
            <w:pPr>
              <w:jc w:val="both"/>
              <w:rPr>
                <w:rFonts w:asciiTheme="minorHAnsi" w:hAnsiTheme="minorHAnsi" w:cstheme="minorHAnsi"/>
                <w:sz w:val="22"/>
                <w:u w:val="single"/>
              </w:rPr>
            </w:pPr>
            <w:bookmarkStart w:id="17" w:name="_Toc90638336"/>
            <w:r w:rsidRPr="00ED2262">
              <w:rPr>
                <w:rFonts w:asciiTheme="minorHAnsi" w:hAnsiTheme="minorHAnsi" w:cstheme="minorHAnsi"/>
                <w:sz w:val="22"/>
                <w:u w:val="single"/>
              </w:rPr>
              <w:t>Jurisprudence de la CJUE</w:t>
            </w:r>
            <w:bookmarkEnd w:id="17"/>
            <w:r w:rsidRPr="00ED2262">
              <w:rPr>
                <w:rFonts w:asciiTheme="minorHAnsi" w:hAnsiTheme="minorHAnsi" w:cstheme="minorHAnsi"/>
                <w:sz w:val="22"/>
                <w:u w:val="single"/>
              </w:rPr>
              <w:t xml:space="preserve"> </w:t>
            </w:r>
          </w:p>
        </w:tc>
        <w:tc>
          <w:tcPr>
            <w:tcW w:w="4508" w:type="dxa"/>
          </w:tcPr>
          <w:p w14:paraId="248A2A6D" w14:textId="64D12DBC" w:rsidR="004000A8" w:rsidRPr="00ED2262" w:rsidRDefault="004000A8" w:rsidP="004000A8">
            <w:pPr>
              <w:jc w:val="both"/>
              <w:rPr>
                <w:rFonts w:asciiTheme="minorHAnsi" w:hAnsiTheme="minorHAnsi" w:cstheme="minorHAnsi"/>
                <w:sz w:val="22"/>
                <w:u w:val="single"/>
              </w:rPr>
            </w:pPr>
            <w:r w:rsidRPr="00ED2262">
              <w:rPr>
                <w:rFonts w:asciiTheme="minorHAnsi" w:hAnsiTheme="minorHAnsi" w:cstheme="minorHAnsi"/>
                <w:sz w:val="22"/>
                <w:u w:val="single"/>
              </w:rPr>
              <w:t xml:space="preserve">Jurisprudentie van het </w:t>
            </w:r>
            <w:proofErr w:type="spellStart"/>
            <w:r w:rsidRPr="00ED2262">
              <w:rPr>
                <w:rFonts w:asciiTheme="minorHAnsi" w:hAnsiTheme="minorHAnsi" w:cstheme="minorHAnsi"/>
                <w:sz w:val="22"/>
                <w:u w:val="single"/>
              </w:rPr>
              <w:t>HvJ</w:t>
            </w:r>
            <w:proofErr w:type="spellEnd"/>
            <w:r w:rsidRPr="00ED2262">
              <w:rPr>
                <w:rFonts w:asciiTheme="minorHAnsi" w:hAnsiTheme="minorHAnsi" w:cstheme="minorHAnsi"/>
                <w:sz w:val="22"/>
                <w:u w:val="single"/>
              </w:rPr>
              <w:t>-EU</w:t>
            </w:r>
          </w:p>
        </w:tc>
      </w:tr>
      <w:tr w:rsidR="004000A8" w:rsidRPr="00A80C6F" w14:paraId="5589BCB3" w14:textId="77777777" w:rsidTr="0025113D">
        <w:tc>
          <w:tcPr>
            <w:tcW w:w="4508" w:type="dxa"/>
          </w:tcPr>
          <w:p w14:paraId="4D359BCF" w14:textId="77777777" w:rsidR="004000A8" w:rsidRPr="00A80C6F" w:rsidRDefault="004000A8" w:rsidP="004000A8">
            <w:pPr>
              <w:jc w:val="both"/>
              <w:rPr>
                <w:rFonts w:asciiTheme="minorHAnsi" w:hAnsiTheme="minorHAnsi" w:cstheme="minorHAnsi"/>
                <w:sz w:val="22"/>
              </w:rPr>
            </w:pPr>
          </w:p>
        </w:tc>
        <w:tc>
          <w:tcPr>
            <w:tcW w:w="4508" w:type="dxa"/>
          </w:tcPr>
          <w:p w14:paraId="1CA7342F" w14:textId="77777777" w:rsidR="004000A8" w:rsidRPr="00A80C6F" w:rsidRDefault="004000A8" w:rsidP="004000A8">
            <w:pPr>
              <w:jc w:val="both"/>
              <w:rPr>
                <w:rFonts w:asciiTheme="minorHAnsi" w:hAnsiTheme="minorHAnsi" w:cstheme="minorHAnsi"/>
                <w:sz w:val="22"/>
              </w:rPr>
            </w:pPr>
          </w:p>
        </w:tc>
      </w:tr>
      <w:tr w:rsidR="004000A8" w:rsidRPr="00A80C6F" w14:paraId="0104580C" w14:textId="77777777" w:rsidTr="0025113D">
        <w:tc>
          <w:tcPr>
            <w:tcW w:w="4508" w:type="dxa"/>
          </w:tcPr>
          <w:p w14:paraId="50964E37" w14:textId="47D46FB2" w:rsidR="004000A8" w:rsidRPr="00045A81" w:rsidRDefault="004000A8" w:rsidP="004000A8">
            <w:pPr>
              <w:jc w:val="both"/>
              <w:rPr>
                <w:rFonts w:asciiTheme="minorHAnsi" w:hAnsiTheme="minorHAnsi" w:cstheme="minorHAnsi"/>
                <w:sz w:val="22"/>
                <w:lang w:val="fr-BE"/>
              </w:rPr>
            </w:pPr>
            <w:r w:rsidRPr="00A80C6F">
              <w:rPr>
                <w:rFonts w:asciiTheme="minorHAnsi" w:hAnsiTheme="minorHAnsi" w:cstheme="minorHAnsi"/>
                <w:spacing w:val="-3"/>
                <w:sz w:val="22"/>
                <w:lang w:val="fr-FR"/>
              </w:rPr>
              <w:t>Il convient de noter que dans son arrêt Quadrature du Net du 6/10/2020 (</w:t>
            </w:r>
            <w:proofErr w:type="spellStart"/>
            <w:r w:rsidRPr="00A80C6F">
              <w:rPr>
                <w:rFonts w:asciiTheme="minorHAnsi" w:hAnsiTheme="minorHAnsi" w:cstheme="minorHAnsi"/>
                <w:spacing w:val="-3"/>
                <w:sz w:val="22"/>
                <w:lang w:val="fr-FR"/>
              </w:rPr>
              <w:t>aff.</w:t>
            </w:r>
            <w:proofErr w:type="spellEnd"/>
            <w:r w:rsidRPr="00A80C6F">
              <w:rPr>
                <w:rFonts w:asciiTheme="minorHAnsi" w:hAnsiTheme="minorHAnsi" w:cstheme="minorHAnsi"/>
                <w:spacing w:val="-3"/>
                <w:sz w:val="22"/>
                <w:lang w:val="fr-FR"/>
              </w:rPr>
              <w:t xml:space="preserve"> Jointes C-511/18, La Quadrature du Net e.a. ; C-512/18, French Data Network e.a. ; C-520/18, OBFG e.a.), la Cour de Justice de l’Union européenne a indiqué que la conservation des données relatives à l’identité civile constitue une ingérence non grave dans les droits repris dans la Charte des droits fondamentaux de l’Union européenne (en particulier le droit à la vie privée et le droit à la protection des données à caractère personnel).</w:t>
            </w:r>
          </w:p>
        </w:tc>
        <w:tc>
          <w:tcPr>
            <w:tcW w:w="4508" w:type="dxa"/>
          </w:tcPr>
          <w:p w14:paraId="3143619B" w14:textId="3BCDD6CE"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z w:val="22"/>
              </w:rPr>
              <w:t>Er dient te worden opgemerkt dat in zijn arrest-</w:t>
            </w:r>
            <w:proofErr w:type="spellStart"/>
            <w:r w:rsidRPr="00A80C6F">
              <w:rPr>
                <w:rFonts w:asciiTheme="minorHAnsi" w:hAnsiTheme="minorHAnsi" w:cstheme="minorHAnsi"/>
                <w:sz w:val="22"/>
              </w:rPr>
              <w:t>Quadrature</w:t>
            </w:r>
            <w:proofErr w:type="spellEnd"/>
            <w:r w:rsidRPr="00A80C6F">
              <w:rPr>
                <w:rFonts w:asciiTheme="minorHAnsi" w:hAnsiTheme="minorHAnsi" w:cstheme="minorHAnsi"/>
                <w:sz w:val="22"/>
              </w:rPr>
              <w:t xml:space="preserve"> du Net van 6/10/2020 (gevoegde zaken C-511/18, La </w:t>
            </w:r>
            <w:proofErr w:type="spellStart"/>
            <w:r w:rsidRPr="00A80C6F">
              <w:rPr>
                <w:rFonts w:asciiTheme="minorHAnsi" w:hAnsiTheme="minorHAnsi" w:cstheme="minorHAnsi"/>
                <w:sz w:val="22"/>
              </w:rPr>
              <w:t>Quadrature</w:t>
            </w:r>
            <w:proofErr w:type="spellEnd"/>
            <w:r w:rsidRPr="00A80C6F">
              <w:rPr>
                <w:rFonts w:asciiTheme="minorHAnsi" w:hAnsiTheme="minorHAnsi" w:cstheme="minorHAnsi"/>
                <w:sz w:val="22"/>
              </w:rPr>
              <w:t xml:space="preserve"> du Net e.a.; C-512/18, French Data Network e.a.; C-520/18, OBFG e.a.), het Europees Hof van Justitie heeft aangegeven dat de bewaring van gegevens met betrekking tot de burgerlijke identiteit, een niet-ernstige inmenging vormt in de rechten vervat in het Handvest van de grondrechten van de Europese Unie (in het bijzonder het recht op de persoonlijke levenssfeer en het recht op de bescherming van de persoonsgebonden gegevens).</w:t>
            </w:r>
          </w:p>
        </w:tc>
      </w:tr>
      <w:tr w:rsidR="004000A8" w:rsidRPr="00A80C6F" w14:paraId="1D6913C3" w14:textId="77777777" w:rsidTr="0025113D">
        <w:tc>
          <w:tcPr>
            <w:tcW w:w="4508" w:type="dxa"/>
          </w:tcPr>
          <w:p w14:paraId="1E1BE71F" w14:textId="77777777" w:rsidR="004000A8" w:rsidRPr="00045A81" w:rsidRDefault="004000A8" w:rsidP="004000A8">
            <w:pPr>
              <w:jc w:val="both"/>
              <w:rPr>
                <w:rFonts w:asciiTheme="minorHAnsi" w:hAnsiTheme="minorHAnsi" w:cstheme="minorHAnsi"/>
                <w:spacing w:val="-3"/>
                <w:sz w:val="22"/>
              </w:rPr>
            </w:pPr>
          </w:p>
        </w:tc>
        <w:tc>
          <w:tcPr>
            <w:tcW w:w="4508" w:type="dxa"/>
          </w:tcPr>
          <w:p w14:paraId="2F7E5AAB" w14:textId="77777777" w:rsidR="004000A8" w:rsidRPr="00A80C6F" w:rsidRDefault="004000A8" w:rsidP="004000A8">
            <w:pPr>
              <w:jc w:val="both"/>
              <w:rPr>
                <w:rFonts w:asciiTheme="minorHAnsi" w:hAnsiTheme="minorHAnsi" w:cstheme="minorHAnsi"/>
                <w:sz w:val="22"/>
              </w:rPr>
            </w:pPr>
          </w:p>
        </w:tc>
      </w:tr>
      <w:tr w:rsidR="004000A8" w:rsidRPr="00A80C6F" w14:paraId="14675F80" w14:textId="77777777" w:rsidTr="0025113D">
        <w:tc>
          <w:tcPr>
            <w:tcW w:w="4508" w:type="dxa"/>
          </w:tcPr>
          <w:p w14:paraId="1EB26495" w14:textId="62B68030" w:rsidR="004000A8" w:rsidRPr="00045A81" w:rsidRDefault="004000A8" w:rsidP="004000A8">
            <w:pPr>
              <w:jc w:val="both"/>
              <w:rPr>
                <w:rFonts w:asciiTheme="minorHAnsi" w:hAnsiTheme="minorHAnsi" w:cstheme="minorHAnsi"/>
                <w:sz w:val="22"/>
                <w:lang w:val="fr-BE"/>
              </w:rPr>
            </w:pPr>
            <w:r w:rsidRPr="00A80C6F">
              <w:rPr>
                <w:rFonts w:asciiTheme="minorHAnsi" w:hAnsiTheme="minorHAnsi" w:cstheme="minorHAnsi"/>
                <w:spacing w:val="-3"/>
                <w:sz w:val="22"/>
                <w:lang w:val="fr-FR"/>
              </w:rPr>
              <w:t xml:space="preserve">En effet, ces données ne donnent pas d’information sur la communication, ni sur la localisation de l’utilisateur final. </w:t>
            </w:r>
          </w:p>
        </w:tc>
        <w:tc>
          <w:tcPr>
            <w:tcW w:w="4508" w:type="dxa"/>
          </w:tcPr>
          <w:p w14:paraId="3CC95FA7" w14:textId="0E60AC19"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z w:val="22"/>
              </w:rPr>
              <w:t>Deze gegevens onthullen immers geen informatie over de communicatie, noch over de locatie van de eindgebruiker.</w:t>
            </w:r>
          </w:p>
        </w:tc>
      </w:tr>
      <w:tr w:rsidR="004000A8" w:rsidRPr="00A80C6F" w14:paraId="522FE4F7" w14:textId="77777777" w:rsidTr="0025113D">
        <w:tc>
          <w:tcPr>
            <w:tcW w:w="4508" w:type="dxa"/>
          </w:tcPr>
          <w:p w14:paraId="2E0C15EA" w14:textId="77777777" w:rsidR="004000A8" w:rsidRPr="00045A81" w:rsidRDefault="004000A8" w:rsidP="004000A8">
            <w:pPr>
              <w:jc w:val="both"/>
              <w:rPr>
                <w:rFonts w:asciiTheme="minorHAnsi" w:hAnsiTheme="minorHAnsi" w:cstheme="minorHAnsi"/>
                <w:spacing w:val="-3"/>
                <w:sz w:val="22"/>
              </w:rPr>
            </w:pPr>
          </w:p>
        </w:tc>
        <w:tc>
          <w:tcPr>
            <w:tcW w:w="4508" w:type="dxa"/>
          </w:tcPr>
          <w:p w14:paraId="20B1705A" w14:textId="77777777" w:rsidR="004000A8" w:rsidRPr="00A80C6F" w:rsidRDefault="004000A8" w:rsidP="004000A8">
            <w:pPr>
              <w:jc w:val="both"/>
              <w:rPr>
                <w:rFonts w:asciiTheme="minorHAnsi" w:hAnsiTheme="minorHAnsi" w:cstheme="minorHAnsi"/>
                <w:sz w:val="22"/>
              </w:rPr>
            </w:pPr>
          </w:p>
        </w:tc>
      </w:tr>
      <w:tr w:rsidR="004000A8" w:rsidRPr="00A80C6F" w14:paraId="767FC558" w14:textId="77777777" w:rsidTr="0025113D">
        <w:tc>
          <w:tcPr>
            <w:tcW w:w="4508" w:type="dxa"/>
          </w:tcPr>
          <w:p w14:paraId="5CC77AC7" w14:textId="2DB6FBD2" w:rsidR="004000A8" w:rsidRPr="00ED2262" w:rsidRDefault="004000A8" w:rsidP="004000A8">
            <w:pPr>
              <w:jc w:val="both"/>
              <w:rPr>
                <w:rFonts w:asciiTheme="minorHAnsi" w:hAnsiTheme="minorHAnsi" w:cstheme="minorHAnsi"/>
                <w:sz w:val="22"/>
                <w:u w:val="single"/>
                <w:lang w:val="fr-BE"/>
              </w:rPr>
            </w:pPr>
            <w:bookmarkStart w:id="18" w:name="_Toc90638337"/>
            <w:r w:rsidRPr="00ED2262">
              <w:rPr>
                <w:rFonts w:asciiTheme="minorHAnsi" w:hAnsiTheme="minorHAnsi" w:cstheme="minorHAnsi"/>
                <w:sz w:val="22"/>
                <w:u w:val="single"/>
                <w:lang w:val="fr-BE"/>
              </w:rPr>
              <w:t>Données d’identification et copies de documents conservées par l’opérateur pour ses propres besoins</w:t>
            </w:r>
            <w:bookmarkEnd w:id="18"/>
            <w:r w:rsidRPr="00ED2262">
              <w:rPr>
                <w:rFonts w:asciiTheme="minorHAnsi" w:hAnsiTheme="minorHAnsi" w:cstheme="minorHAnsi"/>
                <w:sz w:val="22"/>
                <w:u w:val="single"/>
                <w:lang w:val="fr-BE"/>
              </w:rPr>
              <w:t xml:space="preserve"> </w:t>
            </w:r>
          </w:p>
        </w:tc>
        <w:tc>
          <w:tcPr>
            <w:tcW w:w="4508" w:type="dxa"/>
          </w:tcPr>
          <w:p w14:paraId="6BBE16DB" w14:textId="5FE77EBB" w:rsidR="004000A8" w:rsidRPr="00ED2262" w:rsidRDefault="004000A8" w:rsidP="004000A8">
            <w:pPr>
              <w:jc w:val="both"/>
              <w:rPr>
                <w:rFonts w:asciiTheme="minorHAnsi" w:hAnsiTheme="minorHAnsi" w:cstheme="minorHAnsi"/>
                <w:sz w:val="22"/>
                <w:u w:val="single"/>
              </w:rPr>
            </w:pPr>
            <w:r w:rsidRPr="00ED2262">
              <w:rPr>
                <w:rFonts w:asciiTheme="minorHAnsi" w:hAnsiTheme="minorHAnsi" w:cstheme="minorHAnsi"/>
                <w:sz w:val="22"/>
                <w:u w:val="single"/>
              </w:rPr>
              <w:t xml:space="preserve">Identificatiegegevens en </w:t>
            </w:r>
            <w:proofErr w:type="spellStart"/>
            <w:r w:rsidRPr="00ED2262">
              <w:rPr>
                <w:rFonts w:asciiTheme="minorHAnsi" w:hAnsiTheme="minorHAnsi" w:cstheme="minorHAnsi"/>
                <w:sz w:val="22"/>
                <w:u w:val="single"/>
              </w:rPr>
              <w:t>kopies</w:t>
            </w:r>
            <w:proofErr w:type="spellEnd"/>
            <w:r w:rsidRPr="00ED2262">
              <w:rPr>
                <w:rFonts w:asciiTheme="minorHAnsi" w:hAnsiTheme="minorHAnsi" w:cstheme="minorHAnsi"/>
                <w:sz w:val="22"/>
                <w:u w:val="single"/>
              </w:rPr>
              <w:t xml:space="preserve"> van documenten bewaard door de operator voor zijn eigen behoeften</w:t>
            </w:r>
          </w:p>
        </w:tc>
      </w:tr>
      <w:tr w:rsidR="004000A8" w:rsidRPr="00A80C6F" w14:paraId="3FC787D4" w14:textId="77777777" w:rsidTr="0025113D">
        <w:tc>
          <w:tcPr>
            <w:tcW w:w="4508" w:type="dxa"/>
          </w:tcPr>
          <w:p w14:paraId="7F97096F" w14:textId="77777777" w:rsidR="004000A8" w:rsidRPr="00A80C6F" w:rsidRDefault="004000A8" w:rsidP="004000A8">
            <w:pPr>
              <w:jc w:val="both"/>
              <w:rPr>
                <w:rFonts w:asciiTheme="minorHAnsi" w:hAnsiTheme="minorHAnsi" w:cstheme="minorHAnsi"/>
                <w:sz w:val="22"/>
              </w:rPr>
            </w:pPr>
          </w:p>
        </w:tc>
        <w:tc>
          <w:tcPr>
            <w:tcW w:w="4508" w:type="dxa"/>
          </w:tcPr>
          <w:p w14:paraId="6051DE3C" w14:textId="77777777" w:rsidR="004000A8" w:rsidRPr="00A80C6F" w:rsidRDefault="004000A8" w:rsidP="004000A8">
            <w:pPr>
              <w:jc w:val="both"/>
              <w:rPr>
                <w:rFonts w:asciiTheme="minorHAnsi" w:hAnsiTheme="minorHAnsi" w:cstheme="minorHAnsi"/>
                <w:sz w:val="22"/>
              </w:rPr>
            </w:pPr>
          </w:p>
        </w:tc>
      </w:tr>
      <w:tr w:rsidR="004000A8" w:rsidRPr="00A80C6F" w14:paraId="1848F619" w14:textId="77777777" w:rsidTr="0025113D">
        <w:tc>
          <w:tcPr>
            <w:tcW w:w="4508" w:type="dxa"/>
          </w:tcPr>
          <w:p w14:paraId="1EC2AF7E" w14:textId="4EF5A4CC" w:rsidR="004000A8" w:rsidRPr="00045A81"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BE"/>
              </w:rPr>
              <w:t xml:space="preserve">L’article 127 de la loi télécom oblige les opérateurs  à identifier leurs abonnés pour les besoins des autorités ou à permettre à ces autorités de pouvoir les identifier. Cependant, l’opérateur peut aussi avoir un intérêt légitime à connaître l’identité correcte de son abonné, entre autres lorsque ce dernier ne remplit pas ses obligations et qu’une procédure en justice en recouvrement de créance est nécessaire.  </w:t>
            </w:r>
          </w:p>
        </w:tc>
        <w:tc>
          <w:tcPr>
            <w:tcW w:w="4508" w:type="dxa"/>
          </w:tcPr>
          <w:p w14:paraId="2DD32541" w14:textId="40C01048"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z w:val="22"/>
              </w:rPr>
              <w:t>Artikel 127 van de telecomwet verplicht de operatoren om hun abonnees te identificeren voor de behoeften van de autoriteiten of om het voor deze autoriteiten mogelijk te maken om ze te identificeren. De operator kan echter ook een gewettigd belang hebben om de juiste identiteit van zijn abonnee te kennen, onder andere wanneer deze laatste zijn verplichtingen niet nakomt en een gerechtelijke procedure voor de inning van een schuldvordering noodzakelijk is.</w:t>
            </w:r>
          </w:p>
        </w:tc>
      </w:tr>
      <w:tr w:rsidR="004000A8" w:rsidRPr="00A80C6F" w14:paraId="276C842F" w14:textId="77777777" w:rsidTr="0025113D">
        <w:tc>
          <w:tcPr>
            <w:tcW w:w="4508" w:type="dxa"/>
          </w:tcPr>
          <w:p w14:paraId="611DA35C" w14:textId="77777777" w:rsidR="004000A8" w:rsidRPr="00045A81" w:rsidRDefault="004000A8" w:rsidP="004000A8">
            <w:pPr>
              <w:jc w:val="both"/>
              <w:rPr>
                <w:rFonts w:asciiTheme="minorHAnsi" w:hAnsiTheme="minorHAnsi" w:cstheme="minorHAnsi"/>
                <w:sz w:val="22"/>
              </w:rPr>
            </w:pPr>
          </w:p>
        </w:tc>
        <w:tc>
          <w:tcPr>
            <w:tcW w:w="4508" w:type="dxa"/>
          </w:tcPr>
          <w:p w14:paraId="4910DFF5" w14:textId="77777777" w:rsidR="004000A8" w:rsidRPr="00A80C6F" w:rsidRDefault="004000A8" w:rsidP="004000A8">
            <w:pPr>
              <w:jc w:val="both"/>
              <w:rPr>
                <w:rFonts w:asciiTheme="minorHAnsi" w:hAnsiTheme="minorHAnsi" w:cstheme="minorHAnsi"/>
                <w:sz w:val="22"/>
              </w:rPr>
            </w:pPr>
          </w:p>
        </w:tc>
      </w:tr>
      <w:tr w:rsidR="004000A8" w:rsidRPr="00A80C6F" w14:paraId="1DC84431" w14:textId="77777777" w:rsidTr="0025113D">
        <w:tc>
          <w:tcPr>
            <w:tcW w:w="4508" w:type="dxa"/>
          </w:tcPr>
          <w:p w14:paraId="4215DB7F" w14:textId="233D82C2" w:rsidR="004000A8" w:rsidRPr="00045A81"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BE"/>
              </w:rPr>
              <w:t xml:space="preserve">Par conséquent, la présente loi est sans préjudice des données et documents relatifs à </w:t>
            </w:r>
            <w:r w:rsidRPr="00A80C6F">
              <w:rPr>
                <w:rFonts w:asciiTheme="minorHAnsi" w:hAnsiTheme="minorHAnsi" w:cstheme="minorHAnsi"/>
                <w:sz w:val="22"/>
                <w:lang w:val="fr-BE"/>
              </w:rPr>
              <w:lastRenderedPageBreak/>
              <w:t xml:space="preserve">l’abonné que l’opérateur peut conserver pour ses propres besoins conformément au RGPD. </w:t>
            </w:r>
          </w:p>
        </w:tc>
        <w:tc>
          <w:tcPr>
            <w:tcW w:w="4508" w:type="dxa"/>
          </w:tcPr>
          <w:p w14:paraId="5B927CBD" w14:textId="09CE15D6"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pacing w:val="-3"/>
                <w:sz w:val="22"/>
              </w:rPr>
              <w:lastRenderedPageBreak/>
              <w:t xml:space="preserve">Bijgevolg doet deze wet geen afbreuk aan de gegevens en documenten met betrekking tot de </w:t>
            </w:r>
            <w:r w:rsidRPr="00A80C6F">
              <w:rPr>
                <w:rFonts w:asciiTheme="minorHAnsi" w:hAnsiTheme="minorHAnsi" w:cstheme="minorHAnsi"/>
                <w:spacing w:val="-3"/>
                <w:sz w:val="22"/>
              </w:rPr>
              <w:lastRenderedPageBreak/>
              <w:t>abonnee die de operator mag bewaren voor zijn eigen behoeften overeenkomstig de AVG.</w:t>
            </w:r>
          </w:p>
        </w:tc>
      </w:tr>
      <w:tr w:rsidR="004000A8" w:rsidRPr="00A80C6F" w14:paraId="52C9B466" w14:textId="77777777" w:rsidTr="0025113D">
        <w:tc>
          <w:tcPr>
            <w:tcW w:w="4508" w:type="dxa"/>
          </w:tcPr>
          <w:p w14:paraId="38876471" w14:textId="77777777" w:rsidR="004000A8" w:rsidRPr="00045A81" w:rsidRDefault="004000A8" w:rsidP="004000A8">
            <w:pPr>
              <w:jc w:val="both"/>
              <w:rPr>
                <w:rFonts w:asciiTheme="minorHAnsi" w:hAnsiTheme="minorHAnsi" w:cstheme="minorHAnsi"/>
                <w:sz w:val="22"/>
              </w:rPr>
            </w:pPr>
          </w:p>
        </w:tc>
        <w:tc>
          <w:tcPr>
            <w:tcW w:w="4508" w:type="dxa"/>
          </w:tcPr>
          <w:p w14:paraId="3D2515FF" w14:textId="77777777" w:rsidR="004000A8" w:rsidRPr="00A80C6F" w:rsidRDefault="004000A8" w:rsidP="004000A8">
            <w:pPr>
              <w:jc w:val="both"/>
              <w:rPr>
                <w:rFonts w:asciiTheme="minorHAnsi" w:hAnsiTheme="minorHAnsi" w:cstheme="minorHAnsi"/>
                <w:spacing w:val="-3"/>
                <w:sz w:val="22"/>
              </w:rPr>
            </w:pPr>
          </w:p>
        </w:tc>
      </w:tr>
      <w:tr w:rsidR="004000A8" w:rsidRPr="00A80C6F" w14:paraId="6B3B35BB" w14:textId="77777777" w:rsidTr="0025113D">
        <w:tc>
          <w:tcPr>
            <w:tcW w:w="4508" w:type="dxa"/>
          </w:tcPr>
          <w:p w14:paraId="26ECC400" w14:textId="42285F8D" w:rsidR="004000A8" w:rsidRPr="00ED2262" w:rsidRDefault="004000A8" w:rsidP="004000A8">
            <w:pPr>
              <w:jc w:val="both"/>
              <w:rPr>
                <w:rFonts w:asciiTheme="minorHAnsi" w:hAnsiTheme="minorHAnsi" w:cstheme="minorHAnsi"/>
                <w:sz w:val="22"/>
                <w:u w:val="single"/>
                <w:lang w:val="fr-BE"/>
              </w:rPr>
            </w:pPr>
            <w:r w:rsidRPr="00ED2262">
              <w:rPr>
                <w:rFonts w:asciiTheme="minorHAnsi" w:hAnsiTheme="minorHAnsi" w:cstheme="minorHAnsi"/>
                <w:sz w:val="22"/>
                <w:u w:val="single"/>
                <w:lang w:val="fr-BE"/>
              </w:rPr>
              <w:t xml:space="preserve">Structure de la nouvelle version de l’article 127 </w:t>
            </w:r>
          </w:p>
        </w:tc>
        <w:tc>
          <w:tcPr>
            <w:tcW w:w="4508" w:type="dxa"/>
          </w:tcPr>
          <w:p w14:paraId="6427F051" w14:textId="21E66F87" w:rsidR="004000A8" w:rsidRPr="00ED2262" w:rsidRDefault="004000A8" w:rsidP="004000A8">
            <w:pPr>
              <w:jc w:val="both"/>
              <w:rPr>
                <w:rFonts w:asciiTheme="minorHAnsi" w:hAnsiTheme="minorHAnsi" w:cstheme="minorHAnsi"/>
                <w:sz w:val="22"/>
                <w:u w:val="single"/>
              </w:rPr>
            </w:pPr>
            <w:r w:rsidRPr="00ED2262">
              <w:rPr>
                <w:rFonts w:asciiTheme="minorHAnsi" w:hAnsiTheme="minorHAnsi" w:cstheme="minorHAnsi"/>
                <w:sz w:val="22"/>
                <w:u w:val="single"/>
              </w:rPr>
              <w:t>Structuur van de nieuwe versie van artikel 127</w:t>
            </w:r>
          </w:p>
        </w:tc>
      </w:tr>
      <w:tr w:rsidR="004000A8" w:rsidRPr="00A80C6F" w14:paraId="42EB0C4D" w14:textId="77777777" w:rsidTr="0025113D">
        <w:tc>
          <w:tcPr>
            <w:tcW w:w="4508" w:type="dxa"/>
          </w:tcPr>
          <w:p w14:paraId="06F33AE5" w14:textId="77777777" w:rsidR="004000A8" w:rsidRPr="00A80C6F" w:rsidRDefault="004000A8" w:rsidP="004000A8">
            <w:pPr>
              <w:jc w:val="both"/>
              <w:rPr>
                <w:rFonts w:asciiTheme="minorHAnsi" w:hAnsiTheme="minorHAnsi" w:cstheme="minorHAnsi"/>
                <w:sz w:val="22"/>
              </w:rPr>
            </w:pPr>
          </w:p>
        </w:tc>
        <w:tc>
          <w:tcPr>
            <w:tcW w:w="4508" w:type="dxa"/>
          </w:tcPr>
          <w:p w14:paraId="3C2718B1" w14:textId="77777777" w:rsidR="004000A8" w:rsidRPr="00A80C6F" w:rsidRDefault="004000A8" w:rsidP="004000A8">
            <w:pPr>
              <w:jc w:val="both"/>
              <w:rPr>
                <w:rFonts w:asciiTheme="minorHAnsi" w:hAnsiTheme="minorHAnsi" w:cstheme="minorHAnsi"/>
                <w:sz w:val="22"/>
              </w:rPr>
            </w:pPr>
          </w:p>
        </w:tc>
      </w:tr>
      <w:tr w:rsidR="004000A8" w:rsidRPr="00A80C6F" w14:paraId="19106555" w14:textId="77777777" w:rsidTr="0025113D">
        <w:tc>
          <w:tcPr>
            <w:tcW w:w="4508" w:type="dxa"/>
          </w:tcPr>
          <w:p w14:paraId="1D7084B7" w14:textId="20515693" w:rsidR="004000A8" w:rsidRPr="00045A81"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BE"/>
              </w:rPr>
              <w:t>Le paragraphe 1</w:t>
            </w:r>
            <w:r w:rsidRPr="00A80C6F">
              <w:rPr>
                <w:rFonts w:asciiTheme="minorHAnsi" w:hAnsiTheme="minorHAnsi" w:cstheme="minorHAnsi"/>
                <w:sz w:val="22"/>
                <w:vertAlign w:val="superscript"/>
                <w:lang w:val="fr-BE"/>
              </w:rPr>
              <w:t>er</w:t>
            </w:r>
            <w:r w:rsidRPr="00A80C6F">
              <w:rPr>
                <w:rFonts w:asciiTheme="minorHAnsi" w:hAnsiTheme="minorHAnsi" w:cstheme="minorHAnsi"/>
                <w:sz w:val="22"/>
                <w:lang w:val="fr-BE"/>
              </w:rPr>
              <w:t xml:space="preserve"> de l’article 127 est un paragraphe général et décrit son champ d’application (entre autres les opérateurs et  services de communications électroniques auxquels il s’applique).  Les paragraphes 2 à 9 sont relatifs à l’identification par un opérateur de l’abonné (la personne qui conclut le contrat avec l’opérateur). Le paragraphe 10 est consacré à l’identification de l’utilisateur effectif du service. Le paragraphe 11 est un paragraphe général et décrit les sanctions applicables lorsque les opérateurs ou les abonnés ne respectent pas les obligations qui leur incombent.  </w:t>
            </w:r>
          </w:p>
        </w:tc>
        <w:tc>
          <w:tcPr>
            <w:tcW w:w="4508" w:type="dxa"/>
          </w:tcPr>
          <w:p w14:paraId="00A019F4" w14:textId="6B7318A5"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pacing w:val="-3"/>
                <w:sz w:val="22"/>
              </w:rPr>
              <w:t>Paragraaf 1 van artikel 127 is een algemene paragraaf en beschrijft het toepassingsgebied ervan (onder andere de operatoren en elektronische-communicatiediensten waarop het van toepassing is).  De paragrafen 2 tot 9 hebben betrekking op de identificatie door een operator van de abonnee (de persoon die het contract met de operator sluit). Paragraaf 10 is gewijd aan de identificatie van de effectieve gebruiker van de dienst. Paragraaf 11 is een algemene paragraaf en beschrijft de toepasselijke sancties wanneer de operatoren of de abonnees hun verplichtingen niet nakomen.</w:t>
            </w:r>
          </w:p>
        </w:tc>
      </w:tr>
      <w:tr w:rsidR="004000A8" w:rsidRPr="00A80C6F" w14:paraId="5416731D" w14:textId="77777777" w:rsidTr="0025113D">
        <w:tc>
          <w:tcPr>
            <w:tcW w:w="4508" w:type="dxa"/>
          </w:tcPr>
          <w:p w14:paraId="5C335444" w14:textId="77777777" w:rsidR="004000A8" w:rsidRPr="00045A81" w:rsidRDefault="004000A8" w:rsidP="004000A8">
            <w:pPr>
              <w:jc w:val="both"/>
              <w:rPr>
                <w:rFonts w:asciiTheme="minorHAnsi" w:hAnsiTheme="minorHAnsi" w:cstheme="minorHAnsi"/>
                <w:sz w:val="22"/>
              </w:rPr>
            </w:pPr>
          </w:p>
        </w:tc>
        <w:tc>
          <w:tcPr>
            <w:tcW w:w="4508" w:type="dxa"/>
          </w:tcPr>
          <w:p w14:paraId="383493CA" w14:textId="77777777" w:rsidR="004000A8" w:rsidRPr="00A80C6F" w:rsidRDefault="004000A8" w:rsidP="004000A8">
            <w:pPr>
              <w:jc w:val="both"/>
              <w:rPr>
                <w:rFonts w:asciiTheme="minorHAnsi" w:hAnsiTheme="minorHAnsi" w:cstheme="minorHAnsi"/>
                <w:spacing w:val="-3"/>
                <w:sz w:val="22"/>
              </w:rPr>
            </w:pPr>
          </w:p>
        </w:tc>
      </w:tr>
      <w:tr w:rsidR="004000A8" w:rsidRPr="00A80C6F" w14:paraId="1028B664" w14:textId="77777777" w:rsidTr="0025113D">
        <w:tc>
          <w:tcPr>
            <w:tcW w:w="4508" w:type="dxa"/>
          </w:tcPr>
          <w:p w14:paraId="250C307E" w14:textId="39856A94" w:rsidR="004000A8" w:rsidRPr="00045A81"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FR"/>
              </w:rPr>
              <w:t>La notion d’abonné (ou le client de l’opérateur) doit s’entendre au sens large et couvre également les personnes qui souscrivent aux services de l’opérateur à l’aide d’une carte prépayée ou qui souscrivent à un service d’un opérateur qui fournit des services de communications interpersonnelles non fondés sur la numérotation.</w:t>
            </w:r>
          </w:p>
        </w:tc>
        <w:tc>
          <w:tcPr>
            <w:tcW w:w="4508" w:type="dxa"/>
          </w:tcPr>
          <w:p w14:paraId="5FAD231B" w14:textId="4E567453"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pacing w:val="-3"/>
                <w:sz w:val="22"/>
              </w:rPr>
              <w:t>Het begrip van abonnee (of de klant van de operator) moet worden verstaan in de ruime zin en dekt ook de personen die intekenen op de diensten van de operator met behulp van een vooraf betaalde kaart of die intekenen op een dienst van een operator die nummeronafhankelijke interpersoonlijke communicatiediensten aanbiedt.</w:t>
            </w:r>
          </w:p>
        </w:tc>
      </w:tr>
      <w:tr w:rsidR="004000A8" w:rsidRPr="00A80C6F" w14:paraId="3336426A" w14:textId="77777777" w:rsidTr="0025113D">
        <w:tc>
          <w:tcPr>
            <w:tcW w:w="4508" w:type="dxa"/>
          </w:tcPr>
          <w:p w14:paraId="17717F29" w14:textId="77777777" w:rsidR="004000A8" w:rsidRPr="00045A81" w:rsidRDefault="004000A8" w:rsidP="004000A8">
            <w:pPr>
              <w:jc w:val="both"/>
              <w:rPr>
                <w:rFonts w:asciiTheme="minorHAnsi" w:hAnsiTheme="minorHAnsi" w:cstheme="minorHAnsi"/>
                <w:sz w:val="22"/>
              </w:rPr>
            </w:pPr>
          </w:p>
        </w:tc>
        <w:tc>
          <w:tcPr>
            <w:tcW w:w="4508" w:type="dxa"/>
          </w:tcPr>
          <w:p w14:paraId="78280AE1" w14:textId="77777777" w:rsidR="004000A8" w:rsidRPr="00A80C6F" w:rsidRDefault="004000A8" w:rsidP="004000A8">
            <w:pPr>
              <w:jc w:val="both"/>
              <w:rPr>
                <w:rFonts w:asciiTheme="minorHAnsi" w:hAnsiTheme="minorHAnsi" w:cstheme="minorHAnsi"/>
                <w:spacing w:val="-3"/>
                <w:sz w:val="22"/>
              </w:rPr>
            </w:pPr>
          </w:p>
        </w:tc>
      </w:tr>
      <w:tr w:rsidR="004000A8" w:rsidRPr="00A80C6F" w14:paraId="2A34CD71" w14:textId="77777777" w:rsidTr="0025113D">
        <w:tc>
          <w:tcPr>
            <w:tcW w:w="4508" w:type="dxa"/>
          </w:tcPr>
          <w:p w14:paraId="04E9C198" w14:textId="65B975B5" w:rsidR="004000A8" w:rsidRPr="00E4186A" w:rsidRDefault="004000A8" w:rsidP="004000A8">
            <w:pPr>
              <w:jc w:val="both"/>
              <w:rPr>
                <w:rFonts w:asciiTheme="minorHAnsi" w:hAnsiTheme="minorHAnsi" w:cstheme="minorHAnsi"/>
                <w:sz w:val="22"/>
                <w:u w:val="single"/>
                <w:lang w:val="fr-BE"/>
              </w:rPr>
            </w:pPr>
            <w:r w:rsidRPr="00E4186A">
              <w:rPr>
                <w:rFonts w:asciiTheme="minorHAnsi" w:hAnsiTheme="minorHAnsi" w:cstheme="minorHAnsi"/>
                <w:sz w:val="22"/>
                <w:u w:val="single"/>
                <w:lang w:val="fr-BE"/>
              </w:rPr>
              <w:t xml:space="preserve">Lien entre l’article 126 et 127 de la loi télécom </w:t>
            </w:r>
          </w:p>
        </w:tc>
        <w:tc>
          <w:tcPr>
            <w:tcW w:w="4508" w:type="dxa"/>
          </w:tcPr>
          <w:p w14:paraId="16B49E97" w14:textId="16E58DA1" w:rsidR="004000A8" w:rsidRPr="00E4186A" w:rsidRDefault="004000A8" w:rsidP="004000A8">
            <w:pPr>
              <w:jc w:val="both"/>
              <w:rPr>
                <w:rFonts w:asciiTheme="minorHAnsi" w:hAnsiTheme="minorHAnsi" w:cstheme="minorHAnsi"/>
                <w:sz w:val="22"/>
                <w:u w:val="single"/>
              </w:rPr>
            </w:pPr>
            <w:r w:rsidRPr="00E4186A">
              <w:rPr>
                <w:rFonts w:asciiTheme="minorHAnsi" w:hAnsiTheme="minorHAnsi" w:cstheme="minorHAnsi"/>
                <w:sz w:val="22"/>
                <w:u w:val="single"/>
              </w:rPr>
              <w:t>Link tussen artikel 126 en 127 van de telecomwet</w:t>
            </w:r>
          </w:p>
        </w:tc>
      </w:tr>
      <w:tr w:rsidR="004000A8" w:rsidRPr="00A80C6F" w14:paraId="3CBAFBDD" w14:textId="77777777" w:rsidTr="0025113D">
        <w:tc>
          <w:tcPr>
            <w:tcW w:w="4508" w:type="dxa"/>
          </w:tcPr>
          <w:p w14:paraId="1CD04F88" w14:textId="77777777" w:rsidR="004000A8" w:rsidRPr="00045A81" w:rsidRDefault="004000A8" w:rsidP="004000A8">
            <w:pPr>
              <w:jc w:val="both"/>
              <w:rPr>
                <w:rFonts w:asciiTheme="minorHAnsi" w:hAnsiTheme="minorHAnsi" w:cstheme="minorHAnsi"/>
                <w:sz w:val="22"/>
                <w:u w:val="single"/>
              </w:rPr>
            </w:pPr>
          </w:p>
        </w:tc>
        <w:tc>
          <w:tcPr>
            <w:tcW w:w="4508" w:type="dxa"/>
          </w:tcPr>
          <w:p w14:paraId="7E87D9C9" w14:textId="77777777" w:rsidR="004000A8" w:rsidRPr="00A80C6F" w:rsidRDefault="004000A8" w:rsidP="004000A8">
            <w:pPr>
              <w:jc w:val="both"/>
              <w:rPr>
                <w:rFonts w:asciiTheme="minorHAnsi" w:hAnsiTheme="minorHAnsi" w:cstheme="minorHAnsi"/>
                <w:sz w:val="22"/>
              </w:rPr>
            </w:pPr>
          </w:p>
        </w:tc>
      </w:tr>
      <w:tr w:rsidR="004000A8" w:rsidRPr="00A80C6F" w14:paraId="33DA2AF8" w14:textId="77777777" w:rsidTr="0025113D">
        <w:tc>
          <w:tcPr>
            <w:tcW w:w="4508" w:type="dxa"/>
          </w:tcPr>
          <w:p w14:paraId="46BA1F93" w14:textId="7F770A0A" w:rsidR="004000A8" w:rsidRPr="00045A81" w:rsidRDefault="004000A8" w:rsidP="004000A8">
            <w:pPr>
              <w:jc w:val="both"/>
              <w:rPr>
                <w:rFonts w:asciiTheme="minorHAnsi" w:hAnsiTheme="minorHAnsi" w:cstheme="minorHAnsi"/>
                <w:sz w:val="22"/>
                <w:lang w:val="fr-BE"/>
              </w:rPr>
            </w:pPr>
            <w:r w:rsidRPr="00A80C6F">
              <w:rPr>
                <w:rFonts w:asciiTheme="minorHAnsi" w:hAnsiTheme="minorHAnsi" w:cstheme="minorHAnsi"/>
                <w:sz w:val="22"/>
                <w:lang w:val="fr-BE"/>
              </w:rPr>
              <w:t xml:space="preserve">Lors de la consultation publique sur l’avant-projet de loi « conservation des données », les opérateurs se sont interrogés quant à la plus-value des obligations de conservation de données d’identification prévues par l’article 127, étant donné que les opérateurs conservent déjà de telles données sur base de l’article 126. L’utilité de l’article 127 réside dans le fait qu’il oblige les opérateurs à collecter des données alors que dans le cadre de l’article 126, un opérateur ne doit pas conserver de données s’il ne les génère ou ne les traite pas. Or, les données d’identité civile de l’abonné ne sont pas des données que l’opérateur génère. Dans un certain nombre de cas, le traitement de ces données n’est pas indispensable pour fournir le service de communications électroniques (par exemple, pour les services souscrits à l’aide </w:t>
            </w:r>
            <w:r w:rsidRPr="00A80C6F">
              <w:rPr>
                <w:rFonts w:asciiTheme="minorHAnsi" w:hAnsiTheme="minorHAnsi" w:cstheme="minorHAnsi"/>
                <w:sz w:val="22"/>
                <w:lang w:val="fr-BE"/>
              </w:rPr>
              <w:lastRenderedPageBreak/>
              <w:t>d’une carte prépayée ou si aucun paiement n’est requis pour la fourniture du service).</w:t>
            </w:r>
          </w:p>
        </w:tc>
        <w:tc>
          <w:tcPr>
            <w:tcW w:w="4508" w:type="dxa"/>
          </w:tcPr>
          <w:p w14:paraId="6D5A14BB" w14:textId="14C91673" w:rsidR="004000A8" w:rsidRPr="00A80C6F" w:rsidRDefault="004000A8" w:rsidP="004000A8">
            <w:pPr>
              <w:jc w:val="both"/>
              <w:rPr>
                <w:rFonts w:asciiTheme="minorHAnsi" w:hAnsiTheme="minorHAnsi" w:cstheme="minorHAnsi"/>
                <w:sz w:val="22"/>
              </w:rPr>
            </w:pPr>
            <w:r w:rsidRPr="00A80C6F">
              <w:rPr>
                <w:rFonts w:asciiTheme="minorHAnsi" w:hAnsiTheme="minorHAnsi" w:cstheme="minorHAnsi"/>
                <w:spacing w:val="-3"/>
                <w:sz w:val="22"/>
              </w:rPr>
              <w:lastRenderedPageBreak/>
              <w:t xml:space="preserve">Tijdens de openbare raadpleging over het voorontwerp van wet “gegevensbewaring” hebben de operatoren zich vragen gesteld bij de meerwaarde van de in artikel 127 vastgestelde verplichtingen om identificatiegegevens te bewaren, aangezien de operatoren reeds dergelijke gegevens bewaren op grond van artikel 126. Het nut van artikel 127 ligt in het feit dat de operatoren verplicht om gegevens te verzamelen, terwijl in het kader van artikel 126, een operator geen gegevens moet bewaren als hij die niet genereert of ze niet verwerkt. Welnu, de gegevens van burgerlijke identiteit van de abonnee zijn geen gegevens die de operator genereert. In een aantal gevallen is de verwerking van deze gegevens niet absoluut noodzakelijk om de elektronische-communicatiedienst te verstrekken (bijvoorbeeld voor de diensten waarop is ingetekend via een prepaid kaart of </w:t>
            </w:r>
            <w:r w:rsidRPr="00A80C6F">
              <w:rPr>
                <w:rFonts w:asciiTheme="minorHAnsi" w:hAnsiTheme="minorHAnsi" w:cstheme="minorHAnsi"/>
                <w:spacing w:val="-3"/>
                <w:sz w:val="22"/>
              </w:rPr>
              <w:lastRenderedPageBreak/>
              <w:t>wanneer voor de dienstverstrekking niet hoeft te worden betaald).</w:t>
            </w:r>
          </w:p>
        </w:tc>
      </w:tr>
      <w:tr w:rsidR="004000A8" w:rsidRPr="00A80C6F" w14:paraId="38E7699A" w14:textId="77777777" w:rsidTr="0025113D">
        <w:tc>
          <w:tcPr>
            <w:tcW w:w="4508" w:type="dxa"/>
          </w:tcPr>
          <w:p w14:paraId="4A49E749" w14:textId="77777777" w:rsidR="004000A8" w:rsidRPr="00045A81" w:rsidRDefault="004000A8" w:rsidP="004000A8">
            <w:pPr>
              <w:rPr>
                <w:rFonts w:asciiTheme="minorHAnsi" w:hAnsiTheme="minorHAnsi" w:cstheme="minorHAnsi"/>
                <w:sz w:val="22"/>
              </w:rPr>
            </w:pPr>
          </w:p>
        </w:tc>
        <w:tc>
          <w:tcPr>
            <w:tcW w:w="4508" w:type="dxa"/>
          </w:tcPr>
          <w:p w14:paraId="103AC014" w14:textId="77777777" w:rsidR="004000A8" w:rsidRPr="00A80C6F" w:rsidRDefault="004000A8" w:rsidP="004000A8">
            <w:pPr>
              <w:rPr>
                <w:rFonts w:asciiTheme="minorHAnsi" w:hAnsiTheme="minorHAnsi" w:cstheme="minorHAnsi"/>
                <w:spacing w:val="-3"/>
                <w:sz w:val="22"/>
              </w:rPr>
            </w:pPr>
          </w:p>
        </w:tc>
      </w:tr>
      <w:tr w:rsidR="004000A8" w:rsidRPr="00A80C6F" w14:paraId="34791BD3" w14:textId="77777777" w:rsidTr="0025113D">
        <w:tc>
          <w:tcPr>
            <w:tcW w:w="4508" w:type="dxa"/>
          </w:tcPr>
          <w:p w14:paraId="53AF2843" w14:textId="016EF427"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Ceci peut être illustré par deux exemples. Le nom et le prénom de l’abonné sont repris dans les données qui sont conservées en vertu des deux articles. Mais dans le cadre de l’article 126, l’opérateur ne conservera ce nom et ce prénom que s’il les traite. Le nom et prénom seront collectés sans que la fiabilité de ces données ne soit nécessairement vérifiée. Par contre, dans le cadre d’une méthode d’identification directe en application de l’article 127, l’opérateur devra conserver le nom et le prénom de l’abonné qui est une personne physique et l’opérateur devra s’assurer que ces données sont fiables (ex. lecture de ces données de la carte d’identité électronique). </w:t>
            </w:r>
          </w:p>
        </w:tc>
        <w:tc>
          <w:tcPr>
            <w:tcW w:w="4508" w:type="dxa"/>
          </w:tcPr>
          <w:p w14:paraId="01A866B7" w14:textId="18991C64"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Dit kan met twee voorbeelden worden geïllustreerd. De naam en de voornaam van de abonnee maken deel uit van de gegevens die krachtens de twee artikelen worden bewaard. In het kader van artikel 126 zal de operator die naam en voornaam echter maar bewaren als hij die verwerkt. De naam en voornaam zullen worden verzameld zonder dat de betrouwbaarheid van deze gegevens noodzakelijkerwijs geverifieerd zal zijn. Daarentegen zal de operator in het kader van een directe identificatiemethode overeenkomstig artikel 127, de naam en de voornaam moeten bewaren van de abonnee die een natuurlijke persoon is en zal de operator moeten nagaan of deze gegevens betrouwbaar zijn (bijv. lezen van deze gegevens van de elektronische identiteitskaart).</w:t>
            </w:r>
          </w:p>
        </w:tc>
      </w:tr>
      <w:tr w:rsidR="004000A8" w:rsidRPr="00A80C6F" w14:paraId="3E4CD451" w14:textId="77777777" w:rsidTr="0025113D">
        <w:tc>
          <w:tcPr>
            <w:tcW w:w="4508" w:type="dxa"/>
          </w:tcPr>
          <w:p w14:paraId="2C92B093" w14:textId="77777777" w:rsidR="004000A8" w:rsidRPr="005C4713" w:rsidRDefault="004000A8" w:rsidP="004000A8">
            <w:pPr>
              <w:jc w:val="both"/>
              <w:rPr>
                <w:rFonts w:asciiTheme="minorHAnsi" w:hAnsiTheme="minorHAnsi" w:cstheme="minorHAnsi"/>
                <w:sz w:val="22"/>
              </w:rPr>
            </w:pPr>
          </w:p>
        </w:tc>
        <w:tc>
          <w:tcPr>
            <w:tcW w:w="4508" w:type="dxa"/>
          </w:tcPr>
          <w:p w14:paraId="128CCACD" w14:textId="77777777" w:rsidR="004000A8" w:rsidRPr="005C4713" w:rsidRDefault="004000A8" w:rsidP="004000A8">
            <w:pPr>
              <w:jc w:val="both"/>
              <w:rPr>
                <w:rFonts w:asciiTheme="minorHAnsi" w:hAnsiTheme="minorHAnsi" w:cstheme="minorHAnsi"/>
                <w:sz w:val="22"/>
              </w:rPr>
            </w:pPr>
          </w:p>
        </w:tc>
      </w:tr>
      <w:tr w:rsidR="004000A8" w:rsidRPr="00A80C6F" w14:paraId="48F6F477" w14:textId="77777777" w:rsidTr="0025113D">
        <w:tc>
          <w:tcPr>
            <w:tcW w:w="4508" w:type="dxa"/>
          </w:tcPr>
          <w:p w14:paraId="252D40FA" w14:textId="44E2DFDA"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La référence de paiement bancaire est également une donnée qui est conservée en vertu des deux articles. Cependant, selon l’article 126, il s’agit d’une donnée que l’opérateur ne devra conserver que s’il la traite ou la génère et qu’une autorité consultera pour vérifier l’identité de l’abonné. Dans le cadre de l’article 127, l’opérateur conservera cette donnée dans le cadre d’une méthode d’identification indirecte qui repose sur la conservation de la référence de paiement pour permettre l’identification de l’abonné (et pas uniquement pour vérifier cette identité). </w:t>
            </w:r>
          </w:p>
        </w:tc>
        <w:tc>
          <w:tcPr>
            <w:tcW w:w="4508" w:type="dxa"/>
          </w:tcPr>
          <w:p w14:paraId="54227532" w14:textId="4EB28406"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De referentie van de betaling via de bank is ook een gegeven dat krachtens die twee artikelen wordt bewaard. Volgens artikel 126 gaat het evenwel om een gegeven dat de operator enkel zal moeten bewaren als hij het verwerkt of genereert en dat een autoriteit zal raadplegen om de identiteit van de abonnee te verifiëren. In het kader van artikel 127 zal de operator dat gegeven bewaren in het kader van een indirecte identificatiemethode die berust op de bewaring van de referentie van de betaling om de abonnee te kunnen identificeren (en niet alleen om die identiteit na te gaan).</w:t>
            </w:r>
          </w:p>
        </w:tc>
      </w:tr>
      <w:tr w:rsidR="004000A8" w:rsidRPr="00A80C6F" w14:paraId="29D629E4" w14:textId="77777777" w:rsidTr="0025113D">
        <w:tc>
          <w:tcPr>
            <w:tcW w:w="4508" w:type="dxa"/>
          </w:tcPr>
          <w:p w14:paraId="4A32BA95" w14:textId="77777777" w:rsidR="004000A8" w:rsidRPr="005C4713" w:rsidRDefault="004000A8" w:rsidP="004000A8">
            <w:pPr>
              <w:jc w:val="both"/>
              <w:rPr>
                <w:rFonts w:asciiTheme="minorHAnsi" w:hAnsiTheme="minorHAnsi" w:cstheme="minorHAnsi"/>
                <w:sz w:val="22"/>
              </w:rPr>
            </w:pPr>
          </w:p>
        </w:tc>
        <w:tc>
          <w:tcPr>
            <w:tcW w:w="4508" w:type="dxa"/>
          </w:tcPr>
          <w:p w14:paraId="172CB987" w14:textId="77777777" w:rsidR="004000A8" w:rsidRPr="005C4713" w:rsidRDefault="004000A8" w:rsidP="004000A8">
            <w:pPr>
              <w:jc w:val="both"/>
              <w:rPr>
                <w:rFonts w:asciiTheme="minorHAnsi" w:hAnsiTheme="minorHAnsi" w:cstheme="minorHAnsi"/>
                <w:sz w:val="22"/>
              </w:rPr>
            </w:pPr>
          </w:p>
        </w:tc>
      </w:tr>
      <w:tr w:rsidR="004000A8" w:rsidRPr="00A80C6F" w14:paraId="45F8DDFD" w14:textId="77777777" w:rsidTr="0025113D">
        <w:tc>
          <w:tcPr>
            <w:tcW w:w="4508" w:type="dxa"/>
          </w:tcPr>
          <w:p w14:paraId="450D4D9A" w14:textId="317FC9D3" w:rsidR="004000A8" w:rsidRPr="005C4713" w:rsidRDefault="004000A8" w:rsidP="004000A8">
            <w:pPr>
              <w:jc w:val="both"/>
              <w:rPr>
                <w:rFonts w:asciiTheme="minorHAnsi" w:hAnsiTheme="minorHAnsi" w:cstheme="minorHAnsi"/>
                <w:b/>
                <w:bCs/>
                <w:sz w:val="22"/>
                <w:u w:val="single"/>
              </w:rPr>
            </w:pPr>
            <w:bookmarkStart w:id="19" w:name="_Toc94800256"/>
            <w:proofErr w:type="spellStart"/>
            <w:r w:rsidRPr="005C4713">
              <w:rPr>
                <w:rFonts w:asciiTheme="minorHAnsi" w:hAnsiTheme="minorHAnsi" w:cstheme="minorHAnsi"/>
                <w:b/>
                <w:bCs/>
                <w:sz w:val="22"/>
                <w:u w:val="single"/>
              </w:rPr>
              <w:t>Paragraphe</w:t>
            </w:r>
            <w:proofErr w:type="spellEnd"/>
            <w:r w:rsidRPr="005C4713">
              <w:rPr>
                <w:rFonts w:asciiTheme="minorHAnsi" w:hAnsiTheme="minorHAnsi" w:cstheme="minorHAnsi"/>
                <w:b/>
                <w:bCs/>
                <w:sz w:val="22"/>
                <w:u w:val="single"/>
              </w:rPr>
              <w:t xml:space="preserve"> 1</w:t>
            </w:r>
            <w:r w:rsidRPr="005C4713">
              <w:rPr>
                <w:rFonts w:asciiTheme="minorHAnsi" w:hAnsiTheme="minorHAnsi" w:cstheme="minorHAnsi"/>
                <w:b/>
                <w:bCs/>
                <w:sz w:val="22"/>
                <w:u w:val="single"/>
                <w:vertAlign w:val="superscript"/>
              </w:rPr>
              <w:t>er</w:t>
            </w:r>
            <w:r w:rsidRPr="005C4713">
              <w:rPr>
                <w:rFonts w:asciiTheme="minorHAnsi" w:hAnsiTheme="minorHAnsi" w:cstheme="minorHAnsi"/>
                <w:b/>
                <w:bCs/>
                <w:sz w:val="22"/>
                <w:u w:val="single"/>
              </w:rPr>
              <w:t xml:space="preserve"> : </w:t>
            </w:r>
            <w:proofErr w:type="spellStart"/>
            <w:r w:rsidRPr="005C4713">
              <w:rPr>
                <w:rFonts w:asciiTheme="minorHAnsi" w:hAnsiTheme="minorHAnsi" w:cstheme="minorHAnsi"/>
                <w:b/>
                <w:bCs/>
                <w:sz w:val="22"/>
                <w:u w:val="single"/>
              </w:rPr>
              <w:t>champ</w:t>
            </w:r>
            <w:proofErr w:type="spellEnd"/>
            <w:r w:rsidRPr="005C4713">
              <w:rPr>
                <w:rFonts w:asciiTheme="minorHAnsi" w:hAnsiTheme="minorHAnsi" w:cstheme="minorHAnsi"/>
                <w:b/>
                <w:bCs/>
                <w:sz w:val="22"/>
                <w:u w:val="single"/>
              </w:rPr>
              <w:t xml:space="preserve"> </w:t>
            </w:r>
            <w:proofErr w:type="spellStart"/>
            <w:r w:rsidRPr="005C4713">
              <w:rPr>
                <w:rFonts w:asciiTheme="minorHAnsi" w:hAnsiTheme="minorHAnsi" w:cstheme="minorHAnsi"/>
                <w:b/>
                <w:bCs/>
                <w:sz w:val="22"/>
                <w:u w:val="single"/>
              </w:rPr>
              <w:t>d’application</w:t>
            </w:r>
            <w:bookmarkEnd w:id="19"/>
            <w:proofErr w:type="spellEnd"/>
            <w:r w:rsidRPr="005C4713">
              <w:rPr>
                <w:rFonts w:asciiTheme="minorHAnsi" w:hAnsiTheme="minorHAnsi" w:cstheme="minorHAnsi"/>
                <w:b/>
                <w:bCs/>
                <w:sz w:val="22"/>
                <w:u w:val="single"/>
              </w:rPr>
              <w:t xml:space="preserve">  </w:t>
            </w:r>
          </w:p>
        </w:tc>
        <w:tc>
          <w:tcPr>
            <w:tcW w:w="4508" w:type="dxa"/>
          </w:tcPr>
          <w:p w14:paraId="2A66D4A7" w14:textId="0E6E6FDC" w:rsidR="004000A8" w:rsidRPr="005C4713" w:rsidRDefault="004000A8" w:rsidP="004000A8">
            <w:pPr>
              <w:jc w:val="both"/>
              <w:rPr>
                <w:rFonts w:asciiTheme="minorHAnsi" w:hAnsiTheme="minorHAnsi" w:cstheme="minorHAnsi"/>
                <w:b/>
                <w:bCs/>
                <w:sz w:val="22"/>
                <w:u w:val="single"/>
              </w:rPr>
            </w:pPr>
            <w:bookmarkStart w:id="20" w:name="_Toc94800257"/>
            <w:r w:rsidRPr="005C4713">
              <w:rPr>
                <w:rFonts w:asciiTheme="minorHAnsi" w:hAnsiTheme="minorHAnsi" w:cstheme="minorHAnsi"/>
                <w:b/>
                <w:bCs/>
                <w:sz w:val="22"/>
                <w:u w:val="single"/>
              </w:rPr>
              <w:t>Paragraaf 1: toepassingsgebied</w:t>
            </w:r>
            <w:bookmarkEnd w:id="20"/>
          </w:p>
        </w:tc>
      </w:tr>
      <w:tr w:rsidR="004000A8" w:rsidRPr="00A80C6F" w14:paraId="76C600A5" w14:textId="77777777" w:rsidTr="0025113D">
        <w:tc>
          <w:tcPr>
            <w:tcW w:w="4508" w:type="dxa"/>
          </w:tcPr>
          <w:p w14:paraId="77690C26" w14:textId="77777777" w:rsidR="004000A8" w:rsidRPr="005C4713" w:rsidRDefault="004000A8" w:rsidP="004000A8">
            <w:pPr>
              <w:jc w:val="both"/>
              <w:rPr>
                <w:rFonts w:asciiTheme="minorHAnsi" w:hAnsiTheme="minorHAnsi" w:cstheme="minorHAnsi"/>
                <w:sz w:val="22"/>
              </w:rPr>
            </w:pPr>
          </w:p>
        </w:tc>
        <w:tc>
          <w:tcPr>
            <w:tcW w:w="4508" w:type="dxa"/>
          </w:tcPr>
          <w:p w14:paraId="1403F476" w14:textId="77777777" w:rsidR="004000A8" w:rsidRPr="005C4713" w:rsidRDefault="004000A8" w:rsidP="004000A8">
            <w:pPr>
              <w:jc w:val="both"/>
              <w:rPr>
                <w:rFonts w:asciiTheme="minorHAnsi" w:hAnsiTheme="minorHAnsi" w:cstheme="minorHAnsi"/>
                <w:sz w:val="22"/>
              </w:rPr>
            </w:pPr>
          </w:p>
        </w:tc>
      </w:tr>
      <w:tr w:rsidR="004000A8" w:rsidRPr="00A80C6F" w14:paraId="6F654373" w14:textId="77777777" w:rsidTr="0025113D">
        <w:tc>
          <w:tcPr>
            <w:tcW w:w="4508" w:type="dxa"/>
          </w:tcPr>
          <w:p w14:paraId="3CE60BA7" w14:textId="3DC5F3FC"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color w:val="000000" w:themeColor="text1"/>
                <w:sz w:val="22"/>
                <w:lang w:val="fr-BE"/>
              </w:rPr>
              <w:t xml:space="preserve">L’article 127 s’applique aux opérateurs qui fournissent en Belgique aux utilisateurs finaux un service de communications électroniques, </w:t>
            </w:r>
            <w:r w:rsidRPr="005C4713">
              <w:rPr>
                <w:rFonts w:asciiTheme="minorHAnsi" w:hAnsiTheme="minorHAnsi" w:cstheme="minorHAnsi"/>
                <w:spacing w:val="-3"/>
                <w:sz w:val="22"/>
                <w:lang w:val="fr-FR"/>
              </w:rPr>
              <w:t>même si l’opérateur n’y dispose pas d’un réseau</w:t>
            </w:r>
            <w:r w:rsidRPr="005C4713">
              <w:rPr>
                <w:rFonts w:asciiTheme="minorHAnsi" w:hAnsiTheme="minorHAnsi" w:cstheme="minorHAnsi"/>
                <w:color w:val="000000" w:themeColor="text1"/>
                <w:sz w:val="22"/>
                <w:lang w:val="fr-BE"/>
              </w:rPr>
              <w:t>.</w:t>
            </w:r>
          </w:p>
        </w:tc>
        <w:tc>
          <w:tcPr>
            <w:tcW w:w="4508" w:type="dxa"/>
          </w:tcPr>
          <w:p w14:paraId="6059C847" w14:textId="6E2DD2B3"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pacing w:val="-3"/>
                <w:sz w:val="22"/>
              </w:rPr>
              <w:t>Artikel 127 is van toepassing op de operatoren die in België een elektronische-communicatiedienst aanbieden aan de eindgebruikers, ook wanneer de operator er niet over een netwerk beschikt.</w:t>
            </w:r>
          </w:p>
        </w:tc>
      </w:tr>
      <w:tr w:rsidR="004000A8" w:rsidRPr="00A80C6F" w14:paraId="4E0D9A0D" w14:textId="77777777" w:rsidTr="0025113D">
        <w:tc>
          <w:tcPr>
            <w:tcW w:w="4508" w:type="dxa"/>
          </w:tcPr>
          <w:p w14:paraId="0E117670" w14:textId="77777777" w:rsidR="004000A8" w:rsidRPr="005C4713" w:rsidRDefault="004000A8" w:rsidP="004000A8">
            <w:pPr>
              <w:jc w:val="both"/>
              <w:rPr>
                <w:rFonts w:asciiTheme="minorHAnsi" w:hAnsiTheme="minorHAnsi" w:cstheme="minorHAnsi"/>
                <w:color w:val="000000" w:themeColor="text1"/>
                <w:sz w:val="22"/>
              </w:rPr>
            </w:pPr>
          </w:p>
        </w:tc>
        <w:tc>
          <w:tcPr>
            <w:tcW w:w="4508" w:type="dxa"/>
          </w:tcPr>
          <w:p w14:paraId="4EF953B8" w14:textId="77777777" w:rsidR="004000A8" w:rsidRPr="005C4713" w:rsidRDefault="004000A8" w:rsidP="004000A8">
            <w:pPr>
              <w:jc w:val="both"/>
              <w:rPr>
                <w:rFonts w:asciiTheme="minorHAnsi" w:hAnsiTheme="minorHAnsi" w:cstheme="minorHAnsi"/>
                <w:spacing w:val="-3"/>
                <w:sz w:val="22"/>
              </w:rPr>
            </w:pPr>
          </w:p>
        </w:tc>
      </w:tr>
      <w:tr w:rsidR="004000A8" w:rsidRPr="00A80C6F" w14:paraId="45B83877" w14:textId="77777777" w:rsidTr="0025113D">
        <w:tc>
          <w:tcPr>
            <w:tcW w:w="4508" w:type="dxa"/>
          </w:tcPr>
          <w:p w14:paraId="1AD9960E" w14:textId="6EF91A28"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Un utilisateur final peut être une personne physique ou une personne morale (par exemple une entreprise) mais pas un opérateur.  En effet, l’article 2, 13°, de la loi télécom définit un   « utilisateur final » comme « un utilisateur qui ne fournit pas de réseau public de communications électroniques ou de services de communications électroniques accessibles au </w:t>
            </w:r>
            <w:r w:rsidRPr="005C4713">
              <w:rPr>
                <w:rFonts w:asciiTheme="minorHAnsi" w:hAnsiTheme="minorHAnsi" w:cstheme="minorHAnsi"/>
                <w:sz w:val="22"/>
                <w:lang w:val="fr-BE"/>
              </w:rPr>
              <w:lastRenderedPageBreak/>
              <w:t>public » et une personne qui fournit un tel réseau ou un tel service est un opérateur (cf. article 2, 11°, de la loi télécom).</w:t>
            </w:r>
            <w:r w:rsidRPr="005C4713">
              <w:rPr>
                <w:rFonts w:asciiTheme="minorHAnsi" w:hAnsiTheme="minorHAnsi" w:cstheme="minorHAnsi"/>
                <w:b/>
                <w:bCs/>
                <w:color w:val="000000"/>
                <w:sz w:val="22"/>
                <w:lang w:val="fr-BE"/>
              </w:rPr>
              <w:t xml:space="preserve"> </w:t>
            </w:r>
          </w:p>
        </w:tc>
        <w:tc>
          <w:tcPr>
            <w:tcW w:w="4508" w:type="dxa"/>
          </w:tcPr>
          <w:p w14:paraId="285E538E" w14:textId="656D578E"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lastRenderedPageBreak/>
              <w:t>Een eindgebruiker kan een natuurlijke persoon of een rechtspersoon (bijvoorbeeld een onderneming) zijn maar geen operator.  Artikel 2, 13°, van de telecomwet definieert een “eindgebruiker” immers als “een gebruiker die geen openbaar elektronische-communicatienetwerk of voor het publiek beschikbare elektronische-</w:t>
            </w:r>
            <w:r w:rsidRPr="005C4713">
              <w:rPr>
                <w:rFonts w:asciiTheme="minorHAnsi" w:hAnsiTheme="minorHAnsi" w:cstheme="minorHAnsi"/>
                <w:sz w:val="22"/>
              </w:rPr>
              <w:lastRenderedPageBreak/>
              <w:t>communicatiediensten aanbiedt” en een persoon die zo’n netwerk of zo’n dienst aanbiedt is een operator (zie artikel 2, 11°, van de telecomwet).</w:t>
            </w:r>
            <w:r w:rsidRPr="005C4713">
              <w:rPr>
                <w:rFonts w:asciiTheme="minorHAnsi" w:hAnsiTheme="minorHAnsi" w:cstheme="minorHAnsi"/>
                <w:b/>
                <w:color w:val="000000"/>
                <w:sz w:val="22"/>
              </w:rPr>
              <w:t xml:space="preserve"> </w:t>
            </w:r>
          </w:p>
        </w:tc>
      </w:tr>
      <w:tr w:rsidR="004000A8" w:rsidRPr="00A80C6F" w14:paraId="4ED53CFF" w14:textId="77777777" w:rsidTr="0025113D">
        <w:tc>
          <w:tcPr>
            <w:tcW w:w="4508" w:type="dxa"/>
          </w:tcPr>
          <w:p w14:paraId="7D657766" w14:textId="77777777" w:rsidR="004000A8" w:rsidRPr="005C4713" w:rsidRDefault="004000A8" w:rsidP="004000A8">
            <w:pPr>
              <w:jc w:val="both"/>
              <w:rPr>
                <w:rFonts w:asciiTheme="minorHAnsi" w:hAnsiTheme="minorHAnsi" w:cstheme="minorHAnsi"/>
                <w:sz w:val="22"/>
              </w:rPr>
            </w:pPr>
          </w:p>
        </w:tc>
        <w:tc>
          <w:tcPr>
            <w:tcW w:w="4508" w:type="dxa"/>
          </w:tcPr>
          <w:p w14:paraId="38A28BAD" w14:textId="77777777" w:rsidR="004000A8" w:rsidRPr="005C4713" w:rsidRDefault="004000A8" w:rsidP="004000A8">
            <w:pPr>
              <w:jc w:val="both"/>
              <w:rPr>
                <w:rFonts w:asciiTheme="minorHAnsi" w:hAnsiTheme="minorHAnsi" w:cstheme="minorHAnsi"/>
                <w:sz w:val="22"/>
              </w:rPr>
            </w:pPr>
          </w:p>
        </w:tc>
      </w:tr>
      <w:tr w:rsidR="004000A8" w:rsidRPr="00A80C6F" w14:paraId="3AB4128A" w14:textId="77777777" w:rsidTr="0025113D">
        <w:tc>
          <w:tcPr>
            <w:tcW w:w="4508" w:type="dxa"/>
          </w:tcPr>
          <w:p w14:paraId="475B0AD1" w14:textId="2EC4D980"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Le type de service de communications électroniques fourni en Belgique importe peu. Ainsi, les services de communications interpersonnelles qui ne sont pas fondés sur la numérotation (« OTT » ou fournisseurs « Over The Top ») sont inclus, vu l’utilisation croissante de ce type de service dans les milieux criminels. Sont également inclus les services de communications électroniques qui sont offerts pour permettre des applications "M2M ".</w:t>
            </w:r>
          </w:p>
        </w:tc>
        <w:tc>
          <w:tcPr>
            <w:tcW w:w="4508" w:type="dxa"/>
          </w:tcPr>
          <w:p w14:paraId="0ABAC8C0" w14:textId="50D8C117"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Het soort van elektronische-communicatiedienst die in België aangeboden doet er weinig toe. Zo worden nummeronafhankelijke interpersoonlijke communicatiediensten (“</w:t>
            </w:r>
            <w:proofErr w:type="spellStart"/>
            <w:r w:rsidRPr="005C4713">
              <w:rPr>
                <w:rFonts w:asciiTheme="minorHAnsi" w:hAnsiTheme="minorHAnsi" w:cstheme="minorHAnsi"/>
                <w:sz w:val="22"/>
              </w:rPr>
              <w:t>OTT’s</w:t>
            </w:r>
            <w:proofErr w:type="spellEnd"/>
            <w:r w:rsidRPr="005C4713">
              <w:rPr>
                <w:rFonts w:asciiTheme="minorHAnsi" w:hAnsiTheme="minorHAnsi" w:cstheme="minorHAnsi"/>
                <w:sz w:val="22"/>
              </w:rPr>
              <w:t>” of “Over The Top"-aanbieders) meegerekend, gelet op het toenemende gebruik van dergelijke diensten in criminele kringen. Worden ook meegeteld: elektronische-communicatiediensten die aangeboden worden om “M2M”-toepassingen mogelijk te maken.</w:t>
            </w:r>
          </w:p>
        </w:tc>
      </w:tr>
      <w:tr w:rsidR="004000A8" w:rsidRPr="00A80C6F" w14:paraId="374467CC" w14:textId="77777777" w:rsidTr="0025113D">
        <w:tc>
          <w:tcPr>
            <w:tcW w:w="4508" w:type="dxa"/>
          </w:tcPr>
          <w:p w14:paraId="3044C085" w14:textId="77777777" w:rsidR="004000A8" w:rsidRPr="005C4713" w:rsidRDefault="004000A8" w:rsidP="004000A8">
            <w:pPr>
              <w:jc w:val="both"/>
              <w:rPr>
                <w:rFonts w:asciiTheme="minorHAnsi" w:hAnsiTheme="minorHAnsi" w:cstheme="minorHAnsi"/>
                <w:sz w:val="22"/>
              </w:rPr>
            </w:pPr>
          </w:p>
        </w:tc>
        <w:tc>
          <w:tcPr>
            <w:tcW w:w="4508" w:type="dxa"/>
          </w:tcPr>
          <w:p w14:paraId="589A6C95" w14:textId="77777777" w:rsidR="004000A8" w:rsidRPr="005C4713" w:rsidRDefault="004000A8" w:rsidP="004000A8">
            <w:pPr>
              <w:jc w:val="both"/>
              <w:rPr>
                <w:rFonts w:asciiTheme="minorHAnsi" w:hAnsiTheme="minorHAnsi" w:cstheme="minorHAnsi"/>
                <w:sz w:val="22"/>
              </w:rPr>
            </w:pPr>
          </w:p>
        </w:tc>
      </w:tr>
      <w:tr w:rsidR="004000A8" w:rsidRPr="00A80C6F" w14:paraId="4A07C9FE" w14:textId="77777777" w:rsidTr="0025113D">
        <w:tc>
          <w:tcPr>
            <w:tcW w:w="4508" w:type="dxa"/>
          </w:tcPr>
          <w:p w14:paraId="29381917" w14:textId="26747509"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L’interdiction visée à l’aliéna 2 s’explique par le fait que dans le passé des organisations ont distribué en Belgique des cartes prépayées d’opérateurs étrangers, sans que ces opérateurs étrangers ne soient nécessairement informés de ce fait et sans aucune forme d’identification des utilisateurs finaux. Cette pratique ne peut pas être admise car elle revient à mettre à néant la volonté du gouvernement et du législateur de mettre fin à l’anonymat pour les cartes prépayées. </w:t>
            </w:r>
          </w:p>
        </w:tc>
        <w:tc>
          <w:tcPr>
            <w:tcW w:w="4508" w:type="dxa"/>
          </w:tcPr>
          <w:p w14:paraId="682762D7" w14:textId="5CBAA067"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 xml:space="preserve">Het in het tweede lid bedoelde verbod wordt verklaard door het feit dat organisaties vroeger in België prepaid kaarten van buitenlandse operatoren hebben verdeeld, zonder dat die buitenlandse operatoren daar per se van op de hoogte waren en zonder enige vorm van identificatie van de eindgebruikers. Deze praktijk kan niet worden toegestaan omdat die de wil van de regering en van de wetgever om een eind te maken aan de anonimiteit van prepaid kaarten eigenlijk tenietdoet. </w:t>
            </w:r>
          </w:p>
        </w:tc>
      </w:tr>
      <w:tr w:rsidR="004000A8" w:rsidRPr="00A80C6F" w14:paraId="107E9B77" w14:textId="77777777" w:rsidTr="0025113D">
        <w:tc>
          <w:tcPr>
            <w:tcW w:w="4508" w:type="dxa"/>
          </w:tcPr>
          <w:p w14:paraId="750FF790" w14:textId="77777777" w:rsidR="004000A8" w:rsidRPr="005C4713" w:rsidRDefault="004000A8" w:rsidP="004000A8">
            <w:pPr>
              <w:jc w:val="both"/>
              <w:rPr>
                <w:rFonts w:asciiTheme="minorHAnsi" w:hAnsiTheme="minorHAnsi" w:cstheme="minorHAnsi"/>
                <w:sz w:val="22"/>
              </w:rPr>
            </w:pPr>
          </w:p>
        </w:tc>
        <w:tc>
          <w:tcPr>
            <w:tcW w:w="4508" w:type="dxa"/>
          </w:tcPr>
          <w:p w14:paraId="00993478" w14:textId="77777777" w:rsidR="004000A8" w:rsidRPr="005C4713" w:rsidRDefault="004000A8" w:rsidP="004000A8">
            <w:pPr>
              <w:jc w:val="both"/>
              <w:rPr>
                <w:rFonts w:asciiTheme="minorHAnsi" w:hAnsiTheme="minorHAnsi" w:cstheme="minorHAnsi"/>
                <w:sz w:val="22"/>
              </w:rPr>
            </w:pPr>
          </w:p>
        </w:tc>
      </w:tr>
      <w:tr w:rsidR="004000A8" w:rsidRPr="00A80C6F" w14:paraId="01A848A4" w14:textId="77777777" w:rsidTr="0025113D">
        <w:tc>
          <w:tcPr>
            <w:tcW w:w="4508" w:type="dxa"/>
          </w:tcPr>
          <w:p w14:paraId="27DCE0BA" w14:textId="7EA869DA"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La nécessité d’une identification de l’abonné en cas de cartes prépayées d’opérateurs étrangers distribuées en Belgique se retrouve également dans l’article 1</w:t>
            </w:r>
            <w:r w:rsidRPr="005C4713">
              <w:rPr>
                <w:rFonts w:asciiTheme="minorHAnsi" w:hAnsiTheme="minorHAnsi" w:cstheme="minorHAnsi"/>
                <w:sz w:val="22"/>
                <w:vertAlign w:val="superscript"/>
                <w:lang w:val="fr-BE"/>
              </w:rPr>
              <w:t>er</w:t>
            </w:r>
            <w:r w:rsidRPr="005C4713">
              <w:rPr>
                <w:rFonts w:asciiTheme="minorHAnsi" w:hAnsiTheme="minorHAnsi" w:cstheme="minorHAnsi"/>
                <w:sz w:val="22"/>
                <w:lang w:val="fr-BE"/>
              </w:rPr>
              <w:t xml:space="preserve">, alinéa 2, de l’arrêté royal du 27 novembre 2016 relatif à l'identification de l'utilisateur final de services de communications électroniques publics mobiles fournis sur la base d'une carte prépayée (ci-après l’AR « cartes prépayées »), qui prévoit qu’il « s'applique […] aux cartes prépayées des entreprises étrangères qui sont vendues en Belgique. » </w:t>
            </w:r>
          </w:p>
        </w:tc>
        <w:tc>
          <w:tcPr>
            <w:tcW w:w="4508" w:type="dxa"/>
          </w:tcPr>
          <w:p w14:paraId="5FA61609" w14:textId="1DF1D99E"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 xml:space="preserve">De noodzaak om de abonnee te identificeren in geval van in België verdeelde prepaid kaarten van buitenlandse operatoren is ook te vinden in artikel 1, tweede lid, van het koninklijk besluit van 27 november 2016 betreffende de identificatie van de eindgebruiker van mobiele openbare elektronische-communicatiediensten die worden geleverd op basis van een </w:t>
            </w:r>
            <w:proofErr w:type="spellStart"/>
            <w:r w:rsidRPr="005C4713">
              <w:rPr>
                <w:rFonts w:asciiTheme="minorHAnsi" w:hAnsiTheme="minorHAnsi" w:cstheme="minorHAnsi"/>
                <w:sz w:val="22"/>
              </w:rPr>
              <w:t>voorafbetaalde</w:t>
            </w:r>
            <w:proofErr w:type="spellEnd"/>
            <w:r w:rsidRPr="005C4713">
              <w:rPr>
                <w:rFonts w:asciiTheme="minorHAnsi" w:hAnsiTheme="minorHAnsi" w:cstheme="minorHAnsi"/>
                <w:sz w:val="22"/>
              </w:rPr>
              <w:t xml:space="preserve"> kaart (hierna het KB “prepaid kaarten”), dat bepaalt dat het “van toepassing [is] […] op de </w:t>
            </w:r>
            <w:proofErr w:type="spellStart"/>
            <w:r w:rsidRPr="005C4713">
              <w:rPr>
                <w:rFonts w:asciiTheme="minorHAnsi" w:hAnsiTheme="minorHAnsi" w:cstheme="minorHAnsi"/>
                <w:sz w:val="22"/>
              </w:rPr>
              <w:t>voorafbetaalde</w:t>
            </w:r>
            <w:proofErr w:type="spellEnd"/>
            <w:r w:rsidRPr="005C4713">
              <w:rPr>
                <w:rFonts w:asciiTheme="minorHAnsi" w:hAnsiTheme="minorHAnsi" w:cstheme="minorHAnsi"/>
                <w:sz w:val="22"/>
              </w:rPr>
              <w:t xml:space="preserve"> van de buitenlandse operatoren die worden verkocht in België.” </w:t>
            </w:r>
          </w:p>
        </w:tc>
      </w:tr>
      <w:tr w:rsidR="004000A8" w:rsidRPr="00A80C6F" w14:paraId="3CE9E643" w14:textId="77777777" w:rsidTr="0025113D">
        <w:tc>
          <w:tcPr>
            <w:tcW w:w="4508" w:type="dxa"/>
          </w:tcPr>
          <w:p w14:paraId="0E7E7DDA" w14:textId="77777777" w:rsidR="004000A8" w:rsidRPr="005C4713" w:rsidRDefault="004000A8" w:rsidP="004000A8">
            <w:pPr>
              <w:jc w:val="both"/>
              <w:rPr>
                <w:rFonts w:asciiTheme="minorHAnsi" w:hAnsiTheme="minorHAnsi" w:cstheme="minorHAnsi"/>
                <w:sz w:val="22"/>
              </w:rPr>
            </w:pPr>
          </w:p>
        </w:tc>
        <w:tc>
          <w:tcPr>
            <w:tcW w:w="4508" w:type="dxa"/>
          </w:tcPr>
          <w:p w14:paraId="25AEC5E0" w14:textId="77777777" w:rsidR="004000A8" w:rsidRPr="005C4713" w:rsidRDefault="004000A8" w:rsidP="004000A8">
            <w:pPr>
              <w:jc w:val="both"/>
              <w:rPr>
                <w:rFonts w:asciiTheme="minorHAnsi" w:hAnsiTheme="minorHAnsi" w:cstheme="minorHAnsi"/>
                <w:sz w:val="22"/>
              </w:rPr>
            </w:pPr>
          </w:p>
        </w:tc>
      </w:tr>
      <w:tr w:rsidR="004000A8" w:rsidRPr="00A80C6F" w14:paraId="1A827C52" w14:textId="77777777" w:rsidTr="0025113D">
        <w:tc>
          <w:tcPr>
            <w:tcW w:w="4508" w:type="dxa"/>
          </w:tcPr>
          <w:p w14:paraId="2FF7683D" w14:textId="62363AF8"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L’alinéa 2 vise les cartes prépayées (soit le fait de payer avant la fourniture du service de communications électroniques) et les abonnements (le service est offert sans paiement ou le paiement est effectué après la fourniture du service). </w:t>
            </w:r>
          </w:p>
        </w:tc>
        <w:tc>
          <w:tcPr>
            <w:tcW w:w="4508" w:type="dxa"/>
          </w:tcPr>
          <w:p w14:paraId="4166A987" w14:textId="55811B40"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 xml:space="preserve">Het tweede lid beoogt de prepaid kaarten (namelijk het feit van te betalen voordat de elektronische-communicatiedienst wordt verstrekt) en de abonnementen (de dienst wordt verstrekt zonder betaling of de betaling wordt verricht na de verstrekking van de dienst). </w:t>
            </w:r>
          </w:p>
        </w:tc>
      </w:tr>
      <w:tr w:rsidR="004000A8" w:rsidRPr="00A80C6F" w14:paraId="1E8D2436" w14:textId="77777777" w:rsidTr="0025113D">
        <w:tc>
          <w:tcPr>
            <w:tcW w:w="4508" w:type="dxa"/>
          </w:tcPr>
          <w:p w14:paraId="02C75545" w14:textId="77777777" w:rsidR="004000A8" w:rsidRPr="005C4713" w:rsidRDefault="004000A8" w:rsidP="004000A8">
            <w:pPr>
              <w:jc w:val="both"/>
              <w:rPr>
                <w:rFonts w:asciiTheme="minorHAnsi" w:hAnsiTheme="minorHAnsi" w:cstheme="minorHAnsi"/>
                <w:sz w:val="22"/>
              </w:rPr>
            </w:pPr>
          </w:p>
        </w:tc>
        <w:tc>
          <w:tcPr>
            <w:tcW w:w="4508" w:type="dxa"/>
          </w:tcPr>
          <w:p w14:paraId="341ED98F" w14:textId="77777777" w:rsidR="004000A8" w:rsidRPr="005C4713" w:rsidRDefault="004000A8" w:rsidP="004000A8">
            <w:pPr>
              <w:jc w:val="both"/>
              <w:rPr>
                <w:rFonts w:asciiTheme="minorHAnsi" w:hAnsiTheme="minorHAnsi" w:cstheme="minorHAnsi"/>
                <w:sz w:val="22"/>
              </w:rPr>
            </w:pPr>
          </w:p>
        </w:tc>
      </w:tr>
      <w:tr w:rsidR="004000A8" w:rsidRPr="00A80C6F" w14:paraId="4B4526A9" w14:textId="77777777" w:rsidTr="0025113D">
        <w:tc>
          <w:tcPr>
            <w:tcW w:w="4508" w:type="dxa"/>
          </w:tcPr>
          <w:p w14:paraId="1AE81089" w14:textId="4CAD4C1D"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color w:val="000000"/>
                <w:sz w:val="22"/>
                <w:lang w:val="fr-BE"/>
              </w:rPr>
              <w:lastRenderedPageBreak/>
              <w:t xml:space="preserve">L’alinéa 2 vise les objets connectés offerts en Belgique qui permettent d’utiliser un service d’accès à internet ou un service de communication interpersonnelle d’un opérateur (ex. service de téléphonie, service de courrier électronique, service de messagerie  instantanée comme </w:t>
            </w:r>
            <w:r w:rsidRPr="005C4713">
              <w:rPr>
                <w:rFonts w:asciiTheme="minorHAnsi" w:hAnsiTheme="minorHAnsi" w:cstheme="minorHAnsi"/>
                <w:color w:val="4D5156"/>
                <w:sz w:val="22"/>
                <w:shd w:val="clear" w:color="auto" w:fill="FFFFFF"/>
                <w:lang w:val="fr-BE"/>
              </w:rPr>
              <w:t xml:space="preserve">  </w:t>
            </w:r>
            <w:r w:rsidRPr="005C4713">
              <w:rPr>
                <w:rStyle w:val="Nadruk"/>
                <w:rFonts w:asciiTheme="minorHAnsi" w:hAnsiTheme="minorHAnsi" w:cstheme="minorHAnsi"/>
                <w:color w:val="5F6368"/>
                <w:sz w:val="22"/>
                <w:shd w:val="clear" w:color="auto" w:fill="FFFFFF"/>
                <w:lang w:val="fr-BE"/>
              </w:rPr>
              <w:t>WhatsApp</w:t>
            </w:r>
            <w:r w:rsidRPr="005C4713">
              <w:rPr>
                <w:rFonts w:asciiTheme="minorHAnsi" w:hAnsiTheme="minorHAnsi" w:cstheme="minorHAnsi"/>
                <w:color w:val="000000"/>
                <w:sz w:val="22"/>
                <w:lang w:val="fr-BE"/>
              </w:rPr>
              <w:t xml:space="preserve">, Messenger, Signal), étant donné que ces objets remplissent la même fonction qu’un téléphone intelligent. Ne sont visés que les objets qui permettent effectivement un accès à Internet ou d’utiliser un service de communication interpersonnelle d’un opérateur. Cela n’est pas le cas pour un objet vendu sans la carte SIM, vu que cette carte est nécessaire pour l’utilisation effective de ces services. Si ce paragraphe n’incluait pas ces objets connectés,  l’objectif de la législation pourrait être facilement contourné. En effet, une personne pourrait se faire livrer en Belgique un objet (par exemple une voiture) qui lui permet d’accéder à Internet ou d’utiliser un service de communications interpersonnel d’un opérateur, sans devoir s’identifier auprès d’un opérateur. Il doit s’agir d’un service de communications interpersonnelles d’un opérateur. Il convient à cet égard de rappeler que la définition de </w:t>
            </w:r>
            <w:r>
              <w:rPr>
                <w:rFonts w:asciiTheme="minorHAnsi" w:hAnsiTheme="minorHAnsi" w:cstheme="minorHAnsi"/>
                <w:color w:val="000000"/>
                <w:sz w:val="22"/>
                <w:lang w:val="fr-BE"/>
              </w:rPr>
              <w:t>« </w:t>
            </w:r>
            <w:r w:rsidRPr="005C4713">
              <w:rPr>
                <w:rFonts w:asciiTheme="minorHAnsi" w:hAnsiTheme="minorHAnsi" w:cstheme="minorHAnsi"/>
                <w:color w:val="000000"/>
                <w:sz w:val="22"/>
                <w:lang w:val="fr-BE"/>
              </w:rPr>
              <w:t>service de communications interpersonnelles</w:t>
            </w:r>
            <w:r>
              <w:rPr>
                <w:rFonts w:asciiTheme="minorHAnsi" w:hAnsiTheme="minorHAnsi" w:cstheme="minorHAnsi"/>
                <w:color w:val="000000"/>
                <w:sz w:val="22"/>
                <w:lang w:val="fr-BE"/>
              </w:rPr>
              <w:t> »</w:t>
            </w:r>
            <w:r w:rsidRPr="005C4713">
              <w:rPr>
                <w:rFonts w:asciiTheme="minorHAnsi" w:hAnsiTheme="minorHAnsi" w:cstheme="minorHAnsi"/>
                <w:color w:val="000000"/>
                <w:sz w:val="22"/>
                <w:lang w:val="fr-BE"/>
              </w:rPr>
              <w:t>, à l’article 2, 5/2°, de la loi télécom exclut  les services qui rendent possible une communication interpersonnelle et interactive uniquement en tant que fonction mineure accessoire intrinsèquement liée à un autre service (par exemple la possibilité d’échanger des messages entre joueurs  d’un jeu vidéo).</w:t>
            </w:r>
          </w:p>
        </w:tc>
        <w:tc>
          <w:tcPr>
            <w:tcW w:w="4508" w:type="dxa"/>
          </w:tcPr>
          <w:p w14:paraId="53CF1AD4" w14:textId="1E7FE68D"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color w:val="000000"/>
                <w:sz w:val="22"/>
              </w:rPr>
              <w:t xml:space="preserve">Het tweede lid beoogt de in België aangeboden geconnecteerde objecten waarmee een internettoegangsdienst of een interpersoonlijke communicatiedienst van een operator gebruikt kan worden (bijv. telefoniedienst </w:t>
            </w:r>
            <w:r w:rsidRPr="005C4713">
              <w:rPr>
                <w:rFonts w:asciiTheme="minorHAnsi" w:hAnsiTheme="minorHAnsi" w:cstheme="minorHAnsi"/>
                <w:sz w:val="22"/>
              </w:rPr>
              <w:t>, e-maildienst, instant-</w:t>
            </w:r>
            <w:proofErr w:type="spellStart"/>
            <w:r w:rsidRPr="005C4713">
              <w:rPr>
                <w:rFonts w:asciiTheme="minorHAnsi" w:hAnsiTheme="minorHAnsi" w:cstheme="minorHAnsi"/>
                <w:sz w:val="22"/>
              </w:rPr>
              <w:t>messagingdienst</w:t>
            </w:r>
            <w:proofErr w:type="spellEnd"/>
            <w:r w:rsidRPr="005C4713">
              <w:rPr>
                <w:rFonts w:asciiTheme="minorHAnsi" w:hAnsiTheme="minorHAnsi" w:cstheme="minorHAnsi"/>
                <w:sz w:val="22"/>
              </w:rPr>
              <w:t xml:space="preserve"> zoals </w:t>
            </w:r>
            <w:r w:rsidRPr="005C4713">
              <w:rPr>
                <w:rStyle w:val="Nadruk"/>
                <w:rFonts w:asciiTheme="minorHAnsi" w:hAnsiTheme="minorHAnsi" w:cstheme="minorHAnsi"/>
                <w:color w:val="5F6368"/>
                <w:sz w:val="22"/>
                <w:shd w:val="clear" w:color="auto" w:fill="FFFFFF"/>
              </w:rPr>
              <w:t>WhatsApp</w:t>
            </w:r>
            <w:r w:rsidRPr="005C4713">
              <w:rPr>
                <w:rFonts w:asciiTheme="minorHAnsi" w:hAnsiTheme="minorHAnsi" w:cstheme="minorHAnsi"/>
                <w:sz w:val="22"/>
              </w:rPr>
              <w:t xml:space="preserve">, Messenger, </w:t>
            </w:r>
            <w:proofErr w:type="spellStart"/>
            <w:r w:rsidRPr="005C4713">
              <w:rPr>
                <w:rFonts w:asciiTheme="minorHAnsi" w:hAnsiTheme="minorHAnsi" w:cstheme="minorHAnsi"/>
                <w:sz w:val="22"/>
              </w:rPr>
              <w:t>Signal</w:t>
            </w:r>
            <w:proofErr w:type="spellEnd"/>
            <w:r w:rsidRPr="005C4713" w:rsidDel="00134C1E">
              <w:rPr>
                <w:rFonts w:asciiTheme="minorHAnsi" w:hAnsiTheme="minorHAnsi" w:cstheme="minorHAnsi"/>
                <w:color w:val="000000"/>
                <w:sz w:val="22"/>
              </w:rPr>
              <w:t xml:space="preserve"> </w:t>
            </w:r>
            <w:r w:rsidRPr="005C4713">
              <w:rPr>
                <w:rFonts w:asciiTheme="minorHAnsi" w:hAnsiTheme="minorHAnsi" w:cstheme="minorHAnsi"/>
                <w:color w:val="000000"/>
                <w:sz w:val="22"/>
              </w:rPr>
              <w:t xml:space="preserve">), aangezien die voorwerpen dezelfde functie als een smartphone vervullen. Enkel voorwerpen worden beoogd die daadwerkelijk een toegang tot het internet of het gebruik van een interpersoonlijke communicatiedienst van een operator mogelijk maken. Dat is niet het geval bij een voorwerp dat zonder simkaart verkocht wordt, aangezien die kaart noodzakelijk is voor het daadwerkelijke gebruik van deze diensten. Als die paragraaf zulke geconnecteerde voorwerpen niet zou omvatten, zou het doel van de wetgeving makkelijk omzeild kunnen worden. Een persoon zou immers een voorwerp (zoals een auto) kunnen laten leveren waarmee hij toegang heeft tot het internet of gebruik kan maken van een interpersoonlijke communicatiedienst van een operator, zonder zich eerst bij een operator te moeten identificeren. Het moet gaan om een interpersoonlijke communicatiedienst van een operator.  Daarbij dient eraan te worden herinnerd dat de definitie van “interpersoonlijke communicatiedienst”, in artikel 2, 5/2°, van de telecomwet de diensten uitsluit die een interpersoonlijke en interactieve communicatie mogelijk maken als een louter bijkomstig kenmerk dat onlosmakelijk verbonden is met een andere dienst (bijvoorbeeld de mogelijkheid om berichten uit te wisselen tussen spelers van een videospel). </w:t>
            </w:r>
          </w:p>
        </w:tc>
      </w:tr>
      <w:tr w:rsidR="004000A8" w:rsidRPr="00A80C6F" w14:paraId="14DE1A09" w14:textId="77777777" w:rsidTr="0025113D">
        <w:tc>
          <w:tcPr>
            <w:tcW w:w="4508" w:type="dxa"/>
          </w:tcPr>
          <w:p w14:paraId="64DE9C0D" w14:textId="77777777" w:rsidR="004000A8" w:rsidRPr="005C4713" w:rsidRDefault="004000A8" w:rsidP="004000A8">
            <w:pPr>
              <w:jc w:val="both"/>
              <w:rPr>
                <w:rFonts w:asciiTheme="minorHAnsi" w:hAnsiTheme="minorHAnsi" w:cstheme="minorHAnsi"/>
                <w:color w:val="000000"/>
                <w:sz w:val="22"/>
              </w:rPr>
            </w:pPr>
          </w:p>
        </w:tc>
        <w:tc>
          <w:tcPr>
            <w:tcW w:w="4508" w:type="dxa"/>
          </w:tcPr>
          <w:p w14:paraId="4B158D64" w14:textId="77777777" w:rsidR="004000A8" w:rsidRPr="005C4713" w:rsidRDefault="004000A8" w:rsidP="004000A8">
            <w:pPr>
              <w:jc w:val="both"/>
              <w:rPr>
                <w:rFonts w:asciiTheme="minorHAnsi" w:hAnsiTheme="minorHAnsi" w:cstheme="minorHAnsi"/>
                <w:color w:val="000000"/>
                <w:sz w:val="22"/>
              </w:rPr>
            </w:pPr>
          </w:p>
        </w:tc>
      </w:tr>
      <w:tr w:rsidR="004000A8" w:rsidRPr="00A80C6F" w14:paraId="2BF1D2E2" w14:textId="77777777" w:rsidTr="0025113D">
        <w:tc>
          <w:tcPr>
            <w:tcW w:w="4508" w:type="dxa"/>
          </w:tcPr>
          <w:p w14:paraId="36E8ED99" w14:textId="0CFC9FAB"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L’interdiction visée au paragraphe 1</w:t>
            </w:r>
            <w:r w:rsidRPr="005C4713">
              <w:rPr>
                <w:rFonts w:asciiTheme="minorHAnsi" w:hAnsiTheme="minorHAnsi" w:cstheme="minorHAnsi"/>
                <w:sz w:val="22"/>
                <w:vertAlign w:val="superscript"/>
                <w:lang w:val="fr-BE"/>
              </w:rPr>
              <w:t>er</w:t>
            </w:r>
            <w:r w:rsidRPr="005C4713">
              <w:rPr>
                <w:rFonts w:asciiTheme="minorHAnsi" w:hAnsiTheme="minorHAnsi" w:cstheme="minorHAnsi"/>
                <w:sz w:val="22"/>
                <w:lang w:val="fr-BE"/>
              </w:rPr>
              <w:t xml:space="preserve"> s’applique également lorsqu’il est possible de se faire livrer en Belgique, à l’aide d’une commande par Internet, des cartes prépayées ou un abonnement d’un opérateur étranger (par exemple par l’envoi d’une carte SIM) ou un objet connecté </w:t>
            </w:r>
            <w:r w:rsidRPr="005C4713">
              <w:rPr>
                <w:rFonts w:asciiTheme="minorHAnsi" w:hAnsiTheme="minorHAnsi" w:cstheme="minorHAnsi"/>
                <w:color w:val="000000"/>
                <w:sz w:val="22"/>
                <w:lang w:val="fr-BE"/>
              </w:rPr>
              <w:t>qui permet d’utiliser un service d’accès à internet ou un service de communication interpersonnelle d’un opérateur</w:t>
            </w:r>
            <w:r w:rsidRPr="005C4713">
              <w:rPr>
                <w:rFonts w:asciiTheme="minorHAnsi" w:hAnsiTheme="minorHAnsi" w:cstheme="minorHAnsi"/>
                <w:sz w:val="22"/>
                <w:lang w:val="fr-BE"/>
              </w:rPr>
              <w:t xml:space="preserve">.  </w:t>
            </w:r>
          </w:p>
        </w:tc>
        <w:tc>
          <w:tcPr>
            <w:tcW w:w="4508" w:type="dxa"/>
          </w:tcPr>
          <w:p w14:paraId="20EFD602" w14:textId="52861B04"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Het in paragraaf 1 bedoelde verbod geldt ook wanneer het mogelijk is om via een internetbestelling prepaid kaarten of een abonnement van een buitenlandse operator in België te laten leveren (bijvoorbeeld door het verzenden van een simkaart) ofwel een geconnecteerd voorwerp waarmee een internettoegangsdienst of een interpersoonlijke communicatiedienst van een operator kunnen worden gebruikt.</w:t>
            </w:r>
          </w:p>
        </w:tc>
      </w:tr>
      <w:tr w:rsidR="004000A8" w:rsidRPr="00A80C6F" w14:paraId="7E39793E" w14:textId="77777777" w:rsidTr="0025113D">
        <w:tc>
          <w:tcPr>
            <w:tcW w:w="4508" w:type="dxa"/>
          </w:tcPr>
          <w:p w14:paraId="1D078CD8" w14:textId="77777777" w:rsidR="004000A8" w:rsidRPr="005C4713" w:rsidRDefault="004000A8" w:rsidP="004000A8">
            <w:pPr>
              <w:jc w:val="both"/>
              <w:rPr>
                <w:rFonts w:asciiTheme="minorHAnsi" w:hAnsiTheme="minorHAnsi" w:cstheme="minorHAnsi"/>
                <w:sz w:val="22"/>
              </w:rPr>
            </w:pPr>
          </w:p>
        </w:tc>
        <w:tc>
          <w:tcPr>
            <w:tcW w:w="4508" w:type="dxa"/>
          </w:tcPr>
          <w:p w14:paraId="45B2FA4F" w14:textId="77777777" w:rsidR="004000A8" w:rsidRPr="005C4713" w:rsidRDefault="004000A8" w:rsidP="004000A8">
            <w:pPr>
              <w:jc w:val="both"/>
              <w:rPr>
                <w:rFonts w:asciiTheme="minorHAnsi" w:hAnsiTheme="minorHAnsi" w:cstheme="minorHAnsi"/>
                <w:sz w:val="22"/>
              </w:rPr>
            </w:pPr>
          </w:p>
        </w:tc>
      </w:tr>
      <w:tr w:rsidR="004000A8" w:rsidRPr="00A80C6F" w14:paraId="0BB5C738" w14:textId="77777777" w:rsidTr="0025113D">
        <w:tc>
          <w:tcPr>
            <w:tcW w:w="4508" w:type="dxa"/>
          </w:tcPr>
          <w:p w14:paraId="51A10AA7" w14:textId="6157C5D1"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L’interdiction visée au paragraphe 1</w:t>
            </w:r>
            <w:r w:rsidRPr="005C4713">
              <w:rPr>
                <w:rFonts w:asciiTheme="minorHAnsi" w:hAnsiTheme="minorHAnsi" w:cstheme="minorHAnsi"/>
                <w:sz w:val="22"/>
                <w:vertAlign w:val="superscript"/>
                <w:lang w:val="fr-BE"/>
              </w:rPr>
              <w:t>er</w:t>
            </w:r>
            <w:r w:rsidRPr="005C4713">
              <w:rPr>
                <w:rFonts w:asciiTheme="minorHAnsi" w:hAnsiTheme="minorHAnsi" w:cstheme="minorHAnsi"/>
                <w:sz w:val="22"/>
                <w:lang w:val="fr-BE"/>
              </w:rPr>
              <w:t xml:space="preserve"> est applicable que la distribution de ces cartes prépayées, abonnements ou objets connecté</w:t>
            </w:r>
            <w:r>
              <w:rPr>
                <w:rFonts w:asciiTheme="minorHAnsi" w:hAnsiTheme="minorHAnsi" w:cstheme="minorHAnsi"/>
                <w:sz w:val="22"/>
                <w:lang w:val="fr-BE"/>
              </w:rPr>
              <w:t>s</w:t>
            </w:r>
            <w:r w:rsidRPr="005C4713">
              <w:rPr>
                <w:rFonts w:asciiTheme="minorHAnsi" w:hAnsiTheme="minorHAnsi" w:cstheme="minorHAnsi"/>
                <w:sz w:val="22"/>
                <w:lang w:val="fr-BE"/>
              </w:rPr>
              <w:t xml:space="preserve"> </w:t>
            </w:r>
            <w:r w:rsidRPr="005C4713">
              <w:rPr>
                <w:rFonts w:asciiTheme="minorHAnsi" w:hAnsiTheme="minorHAnsi" w:cstheme="minorHAnsi"/>
                <w:sz w:val="22"/>
                <w:lang w:val="fr-BE"/>
              </w:rPr>
              <w:lastRenderedPageBreak/>
              <w:t xml:space="preserve">se fassent contre paiement ou </w:t>
            </w:r>
            <w:r>
              <w:rPr>
                <w:rFonts w:asciiTheme="minorHAnsi" w:hAnsiTheme="minorHAnsi" w:cstheme="minorHAnsi"/>
                <w:sz w:val="22"/>
                <w:lang w:val="fr-BE"/>
              </w:rPr>
              <w:t xml:space="preserve">qu’ils </w:t>
            </w:r>
            <w:r w:rsidRPr="005C4713">
              <w:rPr>
                <w:rFonts w:asciiTheme="minorHAnsi" w:hAnsiTheme="minorHAnsi" w:cstheme="minorHAnsi"/>
                <w:sz w:val="22"/>
                <w:lang w:val="fr-BE"/>
              </w:rPr>
              <w:t>soi</w:t>
            </w:r>
            <w:r>
              <w:rPr>
                <w:rFonts w:asciiTheme="minorHAnsi" w:hAnsiTheme="minorHAnsi" w:cstheme="minorHAnsi"/>
                <w:sz w:val="22"/>
                <w:lang w:val="fr-BE"/>
              </w:rPr>
              <w:t>en</w:t>
            </w:r>
            <w:r w:rsidRPr="005C4713">
              <w:rPr>
                <w:rFonts w:asciiTheme="minorHAnsi" w:hAnsiTheme="minorHAnsi" w:cstheme="minorHAnsi"/>
                <w:sz w:val="22"/>
                <w:lang w:val="fr-BE"/>
              </w:rPr>
              <w:t>t offert</w:t>
            </w:r>
            <w:r>
              <w:rPr>
                <w:rFonts w:asciiTheme="minorHAnsi" w:hAnsiTheme="minorHAnsi" w:cstheme="minorHAnsi"/>
                <w:sz w:val="22"/>
                <w:lang w:val="fr-BE"/>
              </w:rPr>
              <w:t>s</w:t>
            </w:r>
            <w:r w:rsidRPr="005C4713">
              <w:rPr>
                <w:rFonts w:asciiTheme="minorHAnsi" w:hAnsiTheme="minorHAnsi" w:cstheme="minorHAnsi"/>
                <w:sz w:val="22"/>
                <w:lang w:val="fr-BE"/>
              </w:rPr>
              <w:t xml:space="preserve"> gratuitement. </w:t>
            </w:r>
          </w:p>
        </w:tc>
        <w:tc>
          <w:tcPr>
            <w:tcW w:w="4508" w:type="dxa"/>
          </w:tcPr>
          <w:p w14:paraId="2A2294DE" w14:textId="632CA78D"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lastRenderedPageBreak/>
              <w:t xml:space="preserve">Het in paragraaf 1 bedoelde verbod geldt ongeacht of die prepaid kaarten, abonnementen of geconnecteerde voorwerpen worden </w:t>
            </w:r>
            <w:r w:rsidRPr="005C4713">
              <w:rPr>
                <w:rFonts w:asciiTheme="minorHAnsi" w:hAnsiTheme="minorHAnsi" w:cstheme="minorHAnsi"/>
                <w:sz w:val="22"/>
              </w:rPr>
              <w:lastRenderedPageBreak/>
              <w:t>verdeeld tegen betaling of gratis worden aangeboden.</w:t>
            </w:r>
          </w:p>
        </w:tc>
      </w:tr>
      <w:tr w:rsidR="004000A8" w:rsidRPr="00A80C6F" w14:paraId="1B99C8AA" w14:textId="77777777" w:rsidTr="0025113D">
        <w:tc>
          <w:tcPr>
            <w:tcW w:w="4508" w:type="dxa"/>
          </w:tcPr>
          <w:p w14:paraId="32157EF8" w14:textId="77777777" w:rsidR="004000A8" w:rsidRPr="005C4713" w:rsidRDefault="004000A8" w:rsidP="004000A8">
            <w:pPr>
              <w:jc w:val="both"/>
              <w:rPr>
                <w:rFonts w:asciiTheme="minorHAnsi" w:hAnsiTheme="minorHAnsi" w:cstheme="minorHAnsi"/>
                <w:sz w:val="22"/>
              </w:rPr>
            </w:pPr>
          </w:p>
        </w:tc>
        <w:tc>
          <w:tcPr>
            <w:tcW w:w="4508" w:type="dxa"/>
          </w:tcPr>
          <w:p w14:paraId="7DB4C941" w14:textId="77777777" w:rsidR="004000A8" w:rsidRPr="005C4713" w:rsidRDefault="004000A8" w:rsidP="004000A8">
            <w:pPr>
              <w:jc w:val="both"/>
              <w:rPr>
                <w:rFonts w:asciiTheme="minorHAnsi" w:hAnsiTheme="minorHAnsi" w:cstheme="minorHAnsi"/>
                <w:sz w:val="22"/>
              </w:rPr>
            </w:pPr>
          </w:p>
        </w:tc>
      </w:tr>
      <w:tr w:rsidR="004000A8" w:rsidRPr="00A80C6F" w14:paraId="0231463D" w14:textId="77777777" w:rsidTr="0025113D">
        <w:tc>
          <w:tcPr>
            <w:tcW w:w="4508" w:type="dxa"/>
          </w:tcPr>
          <w:p w14:paraId="57A85628" w14:textId="4324B08D"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Pour éviter que des cartes prépayées, des abonnements ou des objets connectés ne soient distribués en Belgique à l’insu de l’opérateur (étranger), l’article 127 prévoit qu’ils ne peuvent être distribués en Belgique qu’avec l’accord de l’opérateur (belge ou étranger). </w:t>
            </w:r>
          </w:p>
        </w:tc>
        <w:tc>
          <w:tcPr>
            <w:tcW w:w="4508" w:type="dxa"/>
          </w:tcPr>
          <w:p w14:paraId="6FFE19D0" w14:textId="7195F360"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Om te vermijden dat prepaid kaarten, abonnementen of geconnecteerde voorwerpen in België worden verdeeld zonder medeweten van de (buitenlandse) operator, bepaalt artikel 127 dat ze in België maar mogen worden verdeeld met het akkoord van de (Belgische of buitenlandse) operator.</w:t>
            </w:r>
          </w:p>
        </w:tc>
      </w:tr>
      <w:tr w:rsidR="004000A8" w:rsidRPr="00A80C6F" w14:paraId="669E0690" w14:textId="77777777" w:rsidTr="0025113D">
        <w:tc>
          <w:tcPr>
            <w:tcW w:w="4508" w:type="dxa"/>
          </w:tcPr>
          <w:p w14:paraId="4E2B2B63" w14:textId="77777777" w:rsidR="004000A8" w:rsidRPr="005C4713" w:rsidRDefault="004000A8" w:rsidP="004000A8">
            <w:pPr>
              <w:jc w:val="both"/>
              <w:rPr>
                <w:rFonts w:asciiTheme="minorHAnsi" w:hAnsiTheme="minorHAnsi" w:cstheme="minorHAnsi"/>
                <w:sz w:val="22"/>
              </w:rPr>
            </w:pPr>
          </w:p>
        </w:tc>
        <w:tc>
          <w:tcPr>
            <w:tcW w:w="4508" w:type="dxa"/>
          </w:tcPr>
          <w:p w14:paraId="692C614F" w14:textId="77777777" w:rsidR="004000A8" w:rsidRPr="005C4713" w:rsidRDefault="004000A8" w:rsidP="004000A8">
            <w:pPr>
              <w:jc w:val="both"/>
              <w:rPr>
                <w:rFonts w:asciiTheme="minorHAnsi" w:hAnsiTheme="minorHAnsi" w:cstheme="minorHAnsi"/>
                <w:sz w:val="22"/>
              </w:rPr>
            </w:pPr>
          </w:p>
        </w:tc>
      </w:tr>
      <w:tr w:rsidR="004000A8" w:rsidRPr="00A80C6F" w14:paraId="5E0B953B" w14:textId="77777777" w:rsidTr="0025113D">
        <w:tc>
          <w:tcPr>
            <w:tcW w:w="4508" w:type="dxa"/>
          </w:tcPr>
          <w:p w14:paraId="3760476F" w14:textId="20A6A822"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En cas d’accord, l’opérateur étranger sera considéré comme un opérateur au sens de l’article 2, 11°, de la loi télécom (et deviendra donc aussi un opérateur belge). Il sera en effet dans une situation similaire à un MVNO  (« Mobile Virtual Network Operator »). En effet, il offre en Belgique des services de communications électroniques sans y disposer d’un réseau. D’un point de vue pratique, il est également important que l’opérateur étranger soit considéré comme un opérateur belge, de manière à ce que l’article 127 de la loi télécom mais aussi par exemple l’article 127/3 (Cellule de coordination) de la même loi lui soient applicables.</w:t>
            </w:r>
          </w:p>
        </w:tc>
        <w:tc>
          <w:tcPr>
            <w:tcW w:w="4508" w:type="dxa"/>
          </w:tcPr>
          <w:p w14:paraId="03A14CCA" w14:textId="348CD660"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In geval van een akkoord zal de buitenlandse operator worden beschouwd als een operator in de zin van artikel 2, 11°, van de telecomwet (en zal die aldus een Belgische operator worden). Hij zal immers in een soortgelijke situatie zijn als een MVNO (“Mobile Virtual Network Operator”). Hij biedt in België immers elektronische-communicatiediensten aan zonder daar over een netwerk te beschikken. Vanuit een praktisch oogpunt is het ook belangrijk dat de buitenlandse operator als een Belgische operator wordt beschouwd, zodat artikel 127 van de telecomwet, maar ook bijvoorbeeld artikel 127/3 (</w:t>
            </w:r>
            <w:proofErr w:type="spellStart"/>
            <w:r w:rsidRPr="005C4713">
              <w:rPr>
                <w:rFonts w:asciiTheme="minorHAnsi" w:hAnsiTheme="minorHAnsi" w:cstheme="minorHAnsi"/>
                <w:sz w:val="22"/>
              </w:rPr>
              <w:t>Coördinatiecel</w:t>
            </w:r>
            <w:proofErr w:type="spellEnd"/>
            <w:r w:rsidRPr="005C4713">
              <w:rPr>
                <w:rFonts w:asciiTheme="minorHAnsi" w:hAnsiTheme="minorHAnsi" w:cstheme="minorHAnsi"/>
                <w:sz w:val="22"/>
              </w:rPr>
              <w:t>) van dezelfde wet op hem van toepassing zijn.</w:t>
            </w:r>
          </w:p>
        </w:tc>
      </w:tr>
      <w:tr w:rsidR="004000A8" w:rsidRPr="00A80C6F" w14:paraId="4B398083" w14:textId="77777777" w:rsidTr="0025113D">
        <w:tc>
          <w:tcPr>
            <w:tcW w:w="4508" w:type="dxa"/>
          </w:tcPr>
          <w:p w14:paraId="47255305" w14:textId="77777777" w:rsidR="004000A8" w:rsidRPr="005C4713" w:rsidRDefault="004000A8" w:rsidP="004000A8">
            <w:pPr>
              <w:jc w:val="both"/>
              <w:rPr>
                <w:rFonts w:asciiTheme="minorHAnsi" w:hAnsiTheme="minorHAnsi" w:cstheme="minorHAnsi"/>
                <w:sz w:val="22"/>
              </w:rPr>
            </w:pPr>
          </w:p>
        </w:tc>
        <w:tc>
          <w:tcPr>
            <w:tcW w:w="4508" w:type="dxa"/>
          </w:tcPr>
          <w:p w14:paraId="7DEEBF9A" w14:textId="77777777" w:rsidR="004000A8" w:rsidRPr="005C4713" w:rsidRDefault="004000A8" w:rsidP="004000A8">
            <w:pPr>
              <w:jc w:val="both"/>
              <w:rPr>
                <w:rFonts w:asciiTheme="minorHAnsi" w:hAnsiTheme="minorHAnsi" w:cstheme="minorHAnsi"/>
                <w:sz w:val="22"/>
              </w:rPr>
            </w:pPr>
          </w:p>
        </w:tc>
      </w:tr>
      <w:tr w:rsidR="004000A8" w:rsidRPr="00A80C6F" w14:paraId="4A84950F" w14:textId="77777777" w:rsidTr="0025113D">
        <w:tc>
          <w:tcPr>
            <w:tcW w:w="4508" w:type="dxa"/>
          </w:tcPr>
          <w:p w14:paraId="7D68ECF2" w14:textId="1A08F94B"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S’il apparaît qu’il n’y a pas d’accord de l’opérateur, des poursuites pénales pourront être engagées à l’encontre de la personne qui distribue en Belgique les cartes prépayées, les abonnements ou les objets connectés (le non-respect de l’article 127 est puni par des amendes pénales visées à l’article 145 de la loi télécom). </w:t>
            </w:r>
          </w:p>
        </w:tc>
        <w:tc>
          <w:tcPr>
            <w:tcW w:w="4508" w:type="dxa"/>
          </w:tcPr>
          <w:p w14:paraId="3D56EB10" w14:textId="6550729C"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Indien blijkt dat er geen akkoord van de operator is, dan zal tot strafvervolging kunnen worden overgegaan tegen de persoon die in België prepaid kaarten, abonnementen of geconnecteerde voorwerpen verdeelt (de niet-nakoming van artikel 127 wordt bestraft met straffen in de vorm van een geldboete, bedoeld in artikel 145 van de telecomwet).</w:t>
            </w:r>
          </w:p>
        </w:tc>
      </w:tr>
      <w:tr w:rsidR="004000A8" w:rsidRPr="00A80C6F" w14:paraId="0D5EAA46" w14:textId="77777777" w:rsidTr="0025113D">
        <w:tc>
          <w:tcPr>
            <w:tcW w:w="4508" w:type="dxa"/>
          </w:tcPr>
          <w:p w14:paraId="4BF768D6" w14:textId="77777777" w:rsidR="004000A8" w:rsidRPr="005C4713" w:rsidRDefault="004000A8" w:rsidP="004000A8">
            <w:pPr>
              <w:jc w:val="both"/>
              <w:rPr>
                <w:rFonts w:asciiTheme="minorHAnsi" w:hAnsiTheme="minorHAnsi" w:cstheme="minorHAnsi"/>
                <w:sz w:val="22"/>
              </w:rPr>
            </w:pPr>
          </w:p>
        </w:tc>
        <w:tc>
          <w:tcPr>
            <w:tcW w:w="4508" w:type="dxa"/>
          </w:tcPr>
          <w:p w14:paraId="6D7DC796" w14:textId="77777777" w:rsidR="004000A8" w:rsidRPr="005C4713" w:rsidRDefault="004000A8" w:rsidP="004000A8">
            <w:pPr>
              <w:jc w:val="both"/>
              <w:rPr>
                <w:rFonts w:asciiTheme="minorHAnsi" w:hAnsiTheme="minorHAnsi" w:cstheme="minorHAnsi"/>
                <w:sz w:val="22"/>
              </w:rPr>
            </w:pPr>
          </w:p>
        </w:tc>
      </w:tr>
      <w:tr w:rsidR="004000A8" w:rsidRPr="00A80C6F" w14:paraId="5833B2E8" w14:textId="77777777" w:rsidTr="0025113D">
        <w:tc>
          <w:tcPr>
            <w:tcW w:w="4508" w:type="dxa"/>
          </w:tcPr>
          <w:p w14:paraId="5B574EE4" w14:textId="5A49A5A2"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pacing w:val="-3"/>
                <w:sz w:val="22"/>
                <w:lang w:val="fr-FR"/>
              </w:rPr>
              <w:t xml:space="preserve">Par contre, l’opérateur belge ne devra pas obtenir l’identité civile de l’abonné d’un opérateur étranger qui utilise en Belgique le réseau de l’opérateur belge en exécution d’un accord de </w:t>
            </w:r>
            <w:proofErr w:type="spellStart"/>
            <w:r w:rsidRPr="005C4713">
              <w:rPr>
                <w:rFonts w:asciiTheme="minorHAnsi" w:hAnsiTheme="minorHAnsi" w:cstheme="minorHAnsi"/>
                <w:spacing w:val="-3"/>
                <w:sz w:val="22"/>
                <w:lang w:val="fr-FR"/>
              </w:rPr>
              <w:t>roaming</w:t>
            </w:r>
            <w:proofErr w:type="spellEnd"/>
            <w:r w:rsidRPr="005C4713">
              <w:rPr>
                <w:rFonts w:asciiTheme="minorHAnsi" w:hAnsiTheme="minorHAnsi" w:cstheme="minorHAnsi"/>
                <w:spacing w:val="-3"/>
                <w:sz w:val="22"/>
                <w:lang w:val="fr-FR"/>
              </w:rPr>
              <w:t xml:space="preserve"> entre l’opérateur belge et l’opérateur étranger, lorsque la souscription au service a été faite à l’étranger (ex. touristes utilisant en Belgique la carte SIM de leur pays d’origine). </w:t>
            </w:r>
          </w:p>
        </w:tc>
        <w:tc>
          <w:tcPr>
            <w:tcW w:w="4508" w:type="dxa"/>
          </w:tcPr>
          <w:p w14:paraId="3F7A76FE" w14:textId="56642552"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pacing w:val="-3"/>
                <w:sz w:val="22"/>
              </w:rPr>
              <w:t xml:space="preserve">De Belgische operator zal daarentegen de burgerlijke identiteit van de abonnee van een buitenlandse operator die in België het netwerk van de Belgische operator gebruikt ter uitvoering van een </w:t>
            </w:r>
            <w:proofErr w:type="spellStart"/>
            <w:r w:rsidRPr="005C4713">
              <w:rPr>
                <w:rFonts w:asciiTheme="minorHAnsi" w:hAnsiTheme="minorHAnsi" w:cstheme="minorHAnsi"/>
                <w:spacing w:val="-3"/>
                <w:sz w:val="22"/>
              </w:rPr>
              <w:t>roamingakkoord</w:t>
            </w:r>
            <w:proofErr w:type="spellEnd"/>
            <w:r w:rsidRPr="005C4713">
              <w:rPr>
                <w:rFonts w:asciiTheme="minorHAnsi" w:hAnsiTheme="minorHAnsi" w:cstheme="minorHAnsi"/>
                <w:spacing w:val="-3"/>
                <w:sz w:val="22"/>
              </w:rPr>
              <w:t xml:space="preserve"> tussen de Belgische en de buitenlandse operator, niet moeten verkrijgen, wanneer de intekening op de dienst in het buitenland heeft plaatsgehad (bijv. toeristen die in België de simkaart van hun thuisland gebruiken).</w:t>
            </w:r>
          </w:p>
        </w:tc>
      </w:tr>
      <w:tr w:rsidR="004000A8" w:rsidRPr="00A80C6F" w14:paraId="6CB0E267" w14:textId="77777777" w:rsidTr="0025113D">
        <w:tc>
          <w:tcPr>
            <w:tcW w:w="4508" w:type="dxa"/>
          </w:tcPr>
          <w:p w14:paraId="245BE7C2" w14:textId="77777777" w:rsidR="004000A8" w:rsidRPr="005C4713" w:rsidRDefault="004000A8" w:rsidP="004000A8">
            <w:pPr>
              <w:jc w:val="both"/>
              <w:rPr>
                <w:rFonts w:asciiTheme="minorHAnsi" w:hAnsiTheme="minorHAnsi" w:cstheme="minorHAnsi"/>
                <w:spacing w:val="-3"/>
                <w:sz w:val="22"/>
              </w:rPr>
            </w:pPr>
          </w:p>
        </w:tc>
        <w:tc>
          <w:tcPr>
            <w:tcW w:w="4508" w:type="dxa"/>
          </w:tcPr>
          <w:p w14:paraId="74D6BA2A" w14:textId="77777777" w:rsidR="004000A8" w:rsidRPr="005C4713" w:rsidRDefault="004000A8" w:rsidP="004000A8">
            <w:pPr>
              <w:jc w:val="both"/>
              <w:rPr>
                <w:rFonts w:asciiTheme="minorHAnsi" w:hAnsiTheme="minorHAnsi" w:cstheme="minorHAnsi"/>
                <w:spacing w:val="-3"/>
                <w:sz w:val="22"/>
              </w:rPr>
            </w:pPr>
          </w:p>
        </w:tc>
      </w:tr>
      <w:tr w:rsidR="004000A8" w:rsidRPr="00A80C6F" w14:paraId="2A1122C9" w14:textId="77777777" w:rsidTr="0025113D">
        <w:tc>
          <w:tcPr>
            <w:tcW w:w="4508" w:type="dxa"/>
          </w:tcPr>
          <w:p w14:paraId="526356CE" w14:textId="5AF8A317"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pacing w:val="-3"/>
                <w:sz w:val="22"/>
                <w:lang w:val="fr-FR"/>
              </w:rPr>
              <w:t xml:space="preserve">Il n’est plus nécessaire de faire référence à la notion de fournisseur, étant donné que la notion d’opérateur a été élargie dans le cadre de la </w:t>
            </w:r>
            <w:r w:rsidRPr="005C4713">
              <w:rPr>
                <w:rFonts w:asciiTheme="minorHAnsi" w:hAnsiTheme="minorHAnsi" w:cstheme="minorHAnsi"/>
                <w:spacing w:val="-3"/>
                <w:sz w:val="22"/>
                <w:lang w:val="fr-FR"/>
              </w:rPr>
              <w:lastRenderedPageBreak/>
              <w:t>transposition du Code des communications électroniques européen dans la loi télécom.</w:t>
            </w:r>
          </w:p>
        </w:tc>
        <w:tc>
          <w:tcPr>
            <w:tcW w:w="4508" w:type="dxa"/>
          </w:tcPr>
          <w:p w14:paraId="48060596" w14:textId="0F957D34"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pacing w:val="-3"/>
                <w:sz w:val="22"/>
              </w:rPr>
              <w:lastRenderedPageBreak/>
              <w:t xml:space="preserve">Het is niet langer noodzakelijk om te verwijzen naar het begrip van aanbieder aangezien het begrip van operator werd uitgebreid in het kader </w:t>
            </w:r>
            <w:r w:rsidRPr="005C4713">
              <w:rPr>
                <w:rFonts w:asciiTheme="minorHAnsi" w:hAnsiTheme="minorHAnsi" w:cstheme="minorHAnsi"/>
                <w:spacing w:val="-3"/>
                <w:sz w:val="22"/>
              </w:rPr>
              <w:lastRenderedPageBreak/>
              <w:t>van de omzetting van het Europees wetboek voor elektronische communicatie in de telecomwet.</w:t>
            </w:r>
          </w:p>
        </w:tc>
      </w:tr>
      <w:tr w:rsidR="004000A8" w:rsidRPr="00A80C6F" w14:paraId="5E99B771" w14:textId="77777777" w:rsidTr="0025113D">
        <w:tc>
          <w:tcPr>
            <w:tcW w:w="4508" w:type="dxa"/>
          </w:tcPr>
          <w:p w14:paraId="6E7043F2" w14:textId="77777777" w:rsidR="004000A8" w:rsidRPr="005C4713" w:rsidRDefault="004000A8" w:rsidP="004000A8">
            <w:pPr>
              <w:jc w:val="both"/>
              <w:rPr>
                <w:rFonts w:asciiTheme="minorHAnsi" w:hAnsiTheme="minorHAnsi" w:cstheme="minorHAnsi"/>
                <w:sz w:val="22"/>
              </w:rPr>
            </w:pPr>
          </w:p>
        </w:tc>
        <w:tc>
          <w:tcPr>
            <w:tcW w:w="4508" w:type="dxa"/>
          </w:tcPr>
          <w:p w14:paraId="63EB8D54" w14:textId="77777777" w:rsidR="004000A8" w:rsidRPr="005C4713" w:rsidRDefault="004000A8" w:rsidP="004000A8">
            <w:pPr>
              <w:jc w:val="both"/>
              <w:rPr>
                <w:rFonts w:asciiTheme="minorHAnsi" w:hAnsiTheme="minorHAnsi" w:cstheme="minorHAnsi"/>
                <w:sz w:val="22"/>
              </w:rPr>
            </w:pPr>
          </w:p>
        </w:tc>
      </w:tr>
      <w:tr w:rsidR="004000A8" w:rsidRPr="00A80C6F" w14:paraId="01888880" w14:textId="77777777" w:rsidTr="0025113D">
        <w:tc>
          <w:tcPr>
            <w:tcW w:w="4508" w:type="dxa"/>
          </w:tcPr>
          <w:p w14:paraId="4A1F416B" w14:textId="74F0F12E" w:rsidR="004000A8" w:rsidRPr="005C4713" w:rsidRDefault="004000A8" w:rsidP="004000A8">
            <w:pPr>
              <w:jc w:val="both"/>
              <w:rPr>
                <w:rFonts w:asciiTheme="minorHAnsi" w:hAnsiTheme="minorHAnsi" w:cstheme="minorHAnsi"/>
                <w:b/>
                <w:bCs/>
                <w:sz w:val="22"/>
                <w:u w:val="single"/>
                <w:lang w:val="fr-BE"/>
              </w:rPr>
            </w:pPr>
            <w:bookmarkStart w:id="21" w:name="_Toc90638339"/>
            <w:bookmarkStart w:id="22" w:name="_Toc94800258"/>
            <w:r w:rsidRPr="005C4713">
              <w:rPr>
                <w:rFonts w:asciiTheme="minorHAnsi" w:hAnsiTheme="minorHAnsi" w:cstheme="minorHAnsi"/>
                <w:b/>
                <w:bCs/>
                <w:sz w:val="22"/>
                <w:u w:val="single"/>
                <w:lang w:val="fr-BE"/>
              </w:rPr>
              <w:t>Paragraphe 2 : méthode d’identification directe ou indirecte</w:t>
            </w:r>
            <w:bookmarkEnd w:id="21"/>
            <w:bookmarkEnd w:id="22"/>
          </w:p>
        </w:tc>
        <w:tc>
          <w:tcPr>
            <w:tcW w:w="4508" w:type="dxa"/>
          </w:tcPr>
          <w:p w14:paraId="2C1D77C5" w14:textId="5A6161E1" w:rsidR="004000A8" w:rsidRPr="005C4713" w:rsidRDefault="004000A8" w:rsidP="004000A8">
            <w:pPr>
              <w:jc w:val="both"/>
              <w:rPr>
                <w:rFonts w:asciiTheme="minorHAnsi" w:hAnsiTheme="minorHAnsi" w:cstheme="minorHAnsi"/>
                <w:b/>
                <w:bCs/>
                <w:sz w:val="22"/>
                <w:u w:val="single"/>
              </w:rPr>
            </w:pPr>
            <w:bookmarkStart w:id="23" w:name="_Toc94800259"/>
            <w:r w:rsidRPr="005C4713">
              <w:rPr>
                <w:rFonts w:asciiTheme="minorHAnsi" w:hAnsiTheme="minorHAnsi" w:cstheme="minorHAnsi"/>
                <w:b/>
                <w:bCs/>
                <w:sz w:val="22"/>
                <w:u w:val="single"/>
              </w:rPr>
              <w:t>Paragraaf 2: directe of indirecte identificatiemethode</w:t>
            </w:r>
            <w:bookmarkEnd w:id="23"/>
          </w:p>
        </w:tc>
      </w:tr>
      <w:tr w:rsidR="004000A8" w:rsidRPr="00A80C6F" w14:paraId="103A0AB9" w14:textId="77777777" w:rsidTr="0025113D">
        <w:tc>
          <w:tcPr>
            <w:tcW w:w="4508" w:type="dxa"/>
          </w:tcPr>
          <w:p w14:paraId="7ADDB60C" w14:textId="77777777" w:rsidR="004000A8" w:rsidRPr="005C4713" w:rsidRDefault="004000A8" w:rsidP="004000A8">
            <w:pPr>
              <w:jc w:val="both"/>
              <w:rPr>
                <w:rFonts w:asciiTheme="minorHAnsi" w:hAnsiTheme="minorHAnsi" w:cstheme="minorHAnsi"/>
                <w:sz w:val="22"/>
              </w:rPr>
            </w:pPr>
          </w:p>
        </w:tc>
        <w:tc>
          <w:tcPr>
            <w:tcW w:w="4508" w:type="dxa"/>
          </w:tcPr>
          <w:p w14:paraId="269DD67C" w14:textId="77777777" w:rsidR="004000A8" w:rsidRPr="005C4713" w:rsidRDefault="004000A8" w:rsidP="004000A8">
            <w:pPr>
              <w:jc w:val="both"/>
              <w:rPr>
                <w:rFonts w:asciiTheme="minorHAnsi" w:hAnsiTheme="minorHAnsi" w:cstheme="minorHAnsi"/>
                <w:sz w:val="22"/>
              </w:rPr>
            </w:pPr>
          </w:p>
        </w:tc>
      </w:tr>
      <w:tr w:rsidR="004000A8" w:rsidRPr="00A80C6F" w14:paraId="33CA83CF" w14:textId="77777777" w:rsidTr="0025113D">
        <w:tc>
          <w:tcPr>
            <w:tcW w:w="4508" w:type="dxa"/>
          </w:tcPr>
          <w:p w14:paraId="25F2AAB6" w14:textId="64F4CB6E" w:rsidR="004000A8" w:rsidRPr="005C4713" w:rsidRDefault="004000A8" w:rsidP="004000A8">
            <w:pPr>
              <w:jc w:val="both"/>
              <w:rPr>
                <w:rFonts w:asciiTheme="minorHAnsi" w:hAnsiTheme="minorHAnsi" w:cstheme="minorHAnsi"/>
                <w:sz w:val="22"/>
                <w:u w:val="single"/>
              </w:rPr>
            </w:pPr>
            <w:bookmarkStart w:id="24" w:name="_Toc90638340"/>
            <w:proofErr w:type="spellStart"/>
            <w:r w:rsidRPr="005C4713">
              <w:rPr>
                <w:rFonts w:asciiTheme="minorHAnsi" w:hAnsiTheme="minorHAnsi" w:cstheme="minorHAnsi"/>
                <w:sz w:val="22"/>
                <w:u w:val="single"/>
              </w:rPr>
              <w:t>Définitions</w:t>
            </w:r>
            <w:bookmarkEnd w:id="24"/>
            <w:proofErr w:type="spellEnd"/>
          </w:p>
        </w:tc>
        <w:tc>
          <w:tcPr>
            <w:tcW w:w="4508" w:type="dxa"/>
          </w:tcPr>
          <w:p w14:paraId="698BD07F" w14:textId="1E2D1ADF" w:rsidR="004000A8" w:rsidRPr="005C4713" w:rsidRDefault="004000A8" w:rsidP="004000A8">
            <w:pPr>
              <w:jc w:val="both"/>
              <w:rPr>
                <w:rFonts w:asciiTheme="minorHAnsi" w:hAnsiTheme="minorHAnsi" w:cstheme="minorHAnsi"/>
                <w:sz w:val="22"/>
                <w:u w:val="single"/>
              </w:rPr>
            </w:pPr>
            <w:r w:rsidRPr="005C4713">
              <w:rPr>
                <w:rFonts w:asciiTheme="minorHAnsi" w:hAnsiTheme="minorHAnsi" w:cstheme="minorHAnsi"/>
                <w:sz w:val="22"/>
                <w:u w:val="single"/>
              </w:rPr>
              <w:t>Definities</w:t>
            </w:r>
          </w:p>
        </w:tc>
      </w:tr>
      <w:tr w:rsidR="004000A8" w:rsidRPr="00A80C6F" w14:paraId="4B5109D2" w14:textId="77777777" w:rsidTr="0025113D">
        <w:tc>
          <w:tcPr>
            <w:tcW w:w="4508" w:type="dxa"/>
          </w:tcPr>
          <w:p w14:paraId="5D8B9792" w14:textId="77777777" w:rsidR="004000A8" w:rsidRPr="005C4713" w:rsidRDefault="004000A8" w:rsidP="004000A8">
            <w:pPr>
              <w:jc w:val="both"/>
              <w:rPr>
                <w:rFonts w:asciiTheme="minorHAnsi" w:hAnsiTheme="minorHAnsi" w:cstheme="minorHAnsi"/>
                <w:sz w:val="22"/>
              </w:rPr>
            </w:pPr>
          </w:p>
        </w:tc>
        <w:tc>
          <w:tcPr>
            <w:tcW w:w="4508" w:type="dxa"/>
          </w:tcPr>
          <w:p w14:paraId="4F42A8C2" w14:textId="77777777" w:rsidR="004000A8" w:rsidRPr="005C4713" w:rsidRDefault="004000A8" w:rsidP="004000A8">
            <w:pPr>
              <w:jc w:val="both"/>
              <w:rPr>
                <w:rFonts w:asciiTheme="minorHAnsi" w:hAnsiTheme="minorHAnsi" w:cstheme="minorHAnsi"/>
                <w:sz w:val="22"/>
              </w:rPr>
            </w:pPr>
          </w:p>
        </w:tc>
      </w:tr>
      <w:tr w:rsidR="004000A8" w:rsidRPr="00A80C6F" w14:paraId="3C2D55D1" w14:textId="77777777" w:rsidTr="0025113D">
        <w:tc>
          <w:tcPr>
            <w:tcW w:w="4508" w:type="dxa"/>
          </w:tcPr>
          <w:p w14:paraId="7B2F76B6" w14:textId="005A2C30"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Le paragraphe 2, 1°, fait référence à un  service de communications électroniques offert sans surcoût conjointement à un service payant. Il s’agit, par exemple, de la situation dans laquelle un opérateur offre sans surcoût à ses abonnés qui souscrivent un contrat d’accès à internet la possibilité de profiter du Wi-Fi de l’ensemble de ses abonnés.   </w:t>
            </w:r>
          </w:p>
        </w:tc>
        <w:tc>
          <w:tcPr>
            <w:tcW w:w="4508" w:type="dxa"/>
          </w:tcPr>
          <w:p w14:paraId="66EA0E24" w14:textId="39CFBBFA"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Paragraaf 2, 1°, verwijst naar een elektronische-communicatiedienst die zonder toeslag samen met een betaaldienst wordt aangeboden. Het gaat bijvoorbeeld om de situatie waarin een operator aan zijn abonnees die intekenen op een contract voor internettoegang, zonder toeslag de mogelijkheid aanbiedt om gebruik te maken van de wifi van al zijn abonnees.</w:t>
            </w:r>
          </w:p>
        </w:tc>
      </w:tr>
      <w:tr w:rsidR="004000A8" w:rsidRPr="00A80C6F" w14:paraId="556CA24A" w14:textId="77777777" w:rsidTr="0025113D">
        <w:tc>
          <w:tcPr>
            <w:tcW w:w="4508" w:type="dxa"/>
          </w:tcPr>
          <w:p w14:paraId="6AF23360" w14:textId="77777777" w:rsidR="004000A8" w:rsidRPr="005C4713" w:rsidRDefault="004000A8" w:rsidP="004000A8">
            <w:pPr>
              <w:jc w:val="both"/>
              <w:rPr>
                <w:rFonts w:asciiTheme="minorHAnsi" w:hAnsiTheme="minorHAnsi" w:cstheme="minorHAnsi"/>
                <w:sz w:val="22"/>
              </w:rPr>
            </w:pPr>
          </w:p>
        </w:tc>
        <w:tc>
          <w:tcPr>
            <w:tcW w:w="4508" w:type="dxa"/>
          </w:tcPr>
          <w:p w14:paraId="68A9CEBA" w14:textId="77777777" w:rsidR="004000A8" w:rsidRPr="005C4713" w:rsidRDefault="004000A8" w:rsidP="004000A8">
            <w:pPr>
              <w:jc w:val="both"/>
              <w:rPr>
                <w:rFonts w:asciiTheme="minorHAnsi" w:hAnsiTheme="minorHAnsi" w:cstheme="minorHAnsi"/>
                <w:sz w:val="22"/>
              </w:rPr>
            </w:pPr>
          </w:p>
        </w:tc>
      </w:tr>
      <w:tr w:rsidR="004000A8" w:rsidRPr="00A80C6F" w14:paraId="16AC3EA0" w14:textId="77777777" w:rsidTr="0025113D">
        <w:tc>
          <w:tcPr>
            <w:tcW w:w="4508" w:type="dxa"/>
          </w:tcPr>
          <w:p w14:paraId="32420B7E" w14:textId="716B2C07"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color w:val="000000" w:themeColor="text1"/>
                <w:sz w:val="22"/>
                <w:lang w:val="fr-BE"/>
              </w:rPr>
              <w:t xml:space="preserve">Un service qui est temporairement gratuit mais qui devient payant à partir d’un moment donné doit être considéré comme un service payant. On peut penser à titre d’exemple à un service qui est offert à titre gratuit pendant un certain temps mais pour lequel l’opérateur envoie une facture à l’abonné par la suite. Un autre exemple est une carte prépayée avec un certain crédit que l’opérateur offre gratuitement à l’abonné, qui devra cependant payer pour la recharge de cette carte une fois que le crédit offert est épuisé. </w:t>
            </w:r>
          </w:p>
        </w:tc>
        <w:tc>
          <w:tcPr>
            <w:tcW w:w="4508" w:type="dxa"/>
          </w:tcPr>
          <w:p w14:paraId="2ABFAF13" w14:textId="3784E9F3"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color w:val="000000" w:themeColor="text1"/>
                <w:sz w:val="22"/>
              </w:rPr>
              <w:t xml:space="preserve">Een dienst die tijdelijk gratis is maar waarvoor vanaf een bepaald moment betaald moet worden, moet als een betaaldienst worden beschouwd. Daarbij denken we bijvoorbeeld aan een dienst die gratis aangeboden wordt gedurende een zekere periode, maar waarvoor de operator nadien een rekening stuurt naar de abonnee. Een ander voorbeeld is een prepaid kaart met daarop een bepaald beltegoed die door de operator gratis wordt aangeboden aan de abonnee, maar waarbij die laatste nadat het beltegoed is opgebruikt, zal moeten betalen om die kaart te herladen. </w:t>
            </w:r>
          </w:p>
        </w:tc>
      </w:tr>
      <w:tr w:rsidR="004000A8" w:rsidRPr="00A80C6F" w14:paraId="1335B1A3" w14:textId="77777777" w:rsidTr="0025113D">
        <w:tc>
          <w:tcPr>
            <w:tcW w:w="4508" w:type="dxa"/>
          </w:tcPr>
          <w:p w14:paraId="300003C0" w14:textId="77777777" w:rsidR="004000A8" w:rsidRPr="005C4713" w:rsidRDefault="004000A8" w:rsidP="004000A8">
            <w:pPr>
              <w:jc w:val="both"/>
              <w:rPr>
                <w:rFonts w:asciiTheme="minorHAnsi" w:hAnsiTheme="minorHAnsi" w:cstheme="minorHAnsi"/>
                <w:color w:val="000000" w:themeColor="text1"/>
                <w:sz w:val="22"/>
              </w:rPr>
            </w:pPr>
          </w:p>
        </w:tc>
        <w:tc>
          <w:tcPr>
            <w:tcW w:w="4508" w:type="dxa"/>
          </w:tcPr>
          <w:p w14:paraId="0B9CA369" w14:textId="77777777" w:rsidR="004000A8" w:rsidRPr="005C4713" w:rsidRDefault="004000A8" w:rsidP="004000A8">
            <w:pPr>
              <w:jc w:val="both"/>
              <w:rPr>
                <w:rFonts w:asciiTheme="minorHAnsi" w:hAnsiTheme="minorHAnsi" w:cstheme="minorHAnsi"/>
                <w:color w:val="000000" w:themeColor="text1"/>
                <w:sz w:val="22"/>
              </w:rPr>
            </w:pPr>
          </w:p>
        </w:tc>
      </w:tr>
      <w:tr w:rsidR="004000A8" w:rsidRPr="00A80C6F" w14:paraId="084F450D" w14:textId="77777777" w:rsidTr="0025113D">
        <w:tc>
          <w:tcPr>
            <w:tcW w:w="4508" w:type="dxa"/>
          </w:tcPr>
          <w:p w14:paraId="68EB47FB" w14:textId="010FEE37"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color w:val="000000" w:themeColor="text1"/>
                <w:sz w:val="22"/>
                <w:lang w:val="fr-BE"/>
              </w:rPr>
              <w:t xml:space="preserve">Une méthode d’identification directe est par exemple une identification de l’abonné dans un point de vente, via </w:t>
            </w:r>
            <w:proofErr w:type="spellStart"/>
            <w:r w:rsidRPr="005C4713">
              <w:rPr>
                <w:rFonts w:asciiTheme="minorHAnsi" w:hAnsiTheme="minorHAnsi" w:cstheme="minorHAnsi"/>
                <w:color w:val="000000" w:themeColor="text1"/>
                <w:sz w:val="22"/>
                <w:lang w:val="fr-BE"/>
              </w:rPr>
              <w:t>itsme</w:t>
            </w:r>
            <w:proofErr w:type="spellEnd"/>
            <w:r w:rsidRPr="005C4713">
              <w:rPr>
                <w:rFonts w:asciiTheme="minorHAnsi" w:hAnsiTheme="minorHAnsi" w:cstheme="minorHAnsi"/>
                <w:color w:val="000000" w:themeColor="text1"/>
                <w:sz w:val="22"/>
                <w:lang w:val="fr-BE"/>
              </w:rPr>
              <w:t xml:space="preserve">, une identification par laquelle l’opérateur reçoit les données d’identité civile d’une banque ou encore une identification par extension de produit (une personne a déjà été identifiée pour un produit et souhaite souscrire à un autre produit).  </w:t>
            </w:r>
          </w:p>
        </w:tc>
        <w:tc>
          <w:tcPr>
            <w:tcW w:w="4508" w:type="dxa"/>
          </w:tcPr>
          <w:p w14:paraId="25354971" w14:textId="5B326CC6"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color w:val="000000" w:themeColor="text1"/>
                <w:sz w:val="22"/>
              </w:rPr>
              <w:t xml:space="preserve">Een directe identificatiemethode is bijvoorbeeld een identificatie van de abonnee in een verkooppunt, via </w:t>
            </w:r>
            <w:proofErr w:type="spellStart"/>
            <w:r w:rsidRPr="005C4713">
              <w:rPr>
                <w:rFonts w:asciiTheme="minorHAnsi" w:hAnsiTheme="minorHAnsi" w:cstheme="minorHAnsi"/>
                <w:color w:val="000000" w:themeColor="text1"/>
                <w:sz w:val="22"/>
              </w:rPr>
              <w:t>itsme</w:t>
            </w:r>
            <w:proofErr w:type="spellEnd"/>
            <w:r w:rsidRPr="005C4713">
              <w:rPr>
                <w:rFonts w:asciiTheme="minorHAnsi" w:hAnsiTheme="minorHAnsi" w:cstheme="minorHAnsi"/>
                <w:color w:val="000000" w:themeColor="text1"/>
                <w:sz w:val="22"/>
              </w:rPr>
              <w:t>, een identificatie waarbij de operator de gegevens van burgerlijke identiteit van een bank ontvangt of ook een identificatie via productuitbreiding (een persoon is al eens geïdentificeerd voor een product en wenst in te tekenen op een ander product).</w:t>
            </w:r>
          </w:p>
        </w:tc>
      </w:tr>
      <w:tr w:rsidR="004000A8" w:rsidRPr="00A80C6F" w14:paraId="3E2E6573" w14:textId="77777777" w:rsidTr="0025113D">
        <w:tc>
          <w:tcPr>
            <w:tcW w:w="4508" w:type="dxa"/>
          </w:tcPr>
          <w:p w14:paraId="4E44C283" w14:textId="77777777" w:rsidR="004000A8" w:rsidRPr="005C4713" w:rsidRDefault="004000A8" w:rsidP="004000A8">
            <w:pPr>
              <w:jc w:val="both"/>
              <w:rPr>
                <w:rFonts w:asciiTheme="minorHAnsi" w:hAnsiTheme="minorHAnsi" w:cstheme="minorHAnsi"/>
                <w:color w:val="000000" w:themeColor="text1"/>
                <w:sz w:val="22"/>
              </w:rPr>
            </w:pPr>
          </w:p>
        </w:tc>
        <w:tc>
          <w:tcPr>
            <w:tcW w:w="4508" w:type="dxa"/>
          </w:tcPr>
          <w:p w14:paraId="3EE6FAC0" w14:textId="77777777" w:rsidR="004000A8" w:rsidRPr="005C4713" w:rsidRDefault="004000A8" w:rsidP="004000A8">
            <w:pPr>
              <w:jc w:val="both"/>
              <w:rPr>
                <w:rFonts w:asciiTheme="minorHAnsi" w:hAnsiTheme="minorHAnsi" w:cstheme="minorHAnsi"/>
                <w:color w:val="000000" w:themeColor="text1"/>
                <w:sz w:val="22"/>
              </w:rPr>
            </w:pPr>
          </w:p>
        </w:tc>
      </w:tr>
      <w:tr w:rsidR="004000A8" w:rsidRPr="00A80C6F" w14:paraId="5252E920" w14:textId="77777777" w:rsidTr="0025113D">
        <w:tc>
          <w:tcPr>
            <w:tcW w:w="4508" w:type="dxa"/>
          </w:tcPr>
          <w:p w14:paraId="6418C4C2" w14:textId="3883DBFF"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color w:val="000000" w:themeColor="text1"/>
                <w:sz w:val="22"/>
                <w:lang w:val="fr-BE"/>
              </w:rPr>
              <w:t xml:space="preserve">Le paragraphe 2, 3°, de l’article 127 vise l’identité civile d’une personne physique qui est l’abonné de l’opérateur pour la raison suivante. </w:t>
            </w:r>
            <w:r w:rsidRPr="005C4713">
              <w:rPr>
                <w:rFonts w:asciiTheme="minorHAnsi" w:hAnsiTheme="minorHAnsi" w:cstheme="minorHAnsi"/>
                <w:sz w:val="22"/>
                <w:lang w:val="fr-BE"/>
              </w:rPr>
              <w:t>Un des arguments des parties requérantes dans le cadre du recours  devant la Cour constitutionnelle contre la loi du 1</w:t>
            </w:r>
            <w:r w:rsidRPr="005C4713">
              <w:rPr>
                <w:rFonts w:asciiTheme="minorHAnsi" w:hAnsiTheme="minorHAnsi" w:cstheme="minorHAnsi"/>
                <w:sz w:val="22"/>
                <w:vertAlign w:val="superscript"/>
                <w:lang w:val="fr-BE"/>
              </w:rPr>
              <w:t>er</w:t>
            </w:r>
            <w:r w:rsidRPr="005C4713">
              <w:rPr>
                <w:rFonts w:asciiTheme="minorHAnsi" w:hAnsiTheme="minorHAnsi" w:cstheme="minorHAnsi"/>
                <w:sz w:val="22"/>
                <w:lang w:val="fr-BE"/>
              </w:rPr>
              <w:t xml:space="preserve"> septembre 2016 est que « la disposition attaquée ne précise pas ce qu’il faut entendre par « données et documents d’identification ». Ainsi, l’on n’aperçoit pas clairement s’il peut s’agir de données se rapportant à l’identité physique, </w:t>
            </w:r>
            <w:r w:rsidRPr="005C4713">
              <w:rPr>
                <w:rFonts w:asciiTheme="minorHAnsi" w:hAnsiTheme="minorHAnsi" w:cstheme="minorHAnsi"/>
                <w:sz w:val="22"/>
                <w:lang w:val="fr-BE"/>
              </w:rPr>
              <w:lastRenderedPageBreak/>
              <w:t>physiologique, psychique, économique, culturelle ou sociale de l’utilisateur final. » (point A.3.5.2. de l’arrêt). Il est cependant clair que l’article 127 de la loi télécom a toujours porté sur l’identification de l’abonné (déterminer qui est l’abonné), ce qui se traduit par l’identité civile lorsque l’abonné est une personne physique.  Le terme « identité civile » n’est cependant pas adapté lorsque l’abonné est une personne morale (dans ce cas, l’opérateur identifie l’abonné qui est une personne morale).</w:t>
            </w:r>
          </w:p>
        </w:tc>
        <w:tc>
          <w:tcPr>
            <w:tcW w:w="4508" w:type="dxa"/>
          </w:tcPr>
          <w:p w14:paraId="254139CB" w14:textId="359B9270"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color w:val="000000" w:themeColor="text1"/>
                <w:sz w:val="22"/>
              </w:rPr>
              <w:lastRenderedPageBreak/>
              <w:t xml:space="preserve">Paragraaf 2, 3°, van artikel 127 beoogt de burgerlijke identiteit van een natuurlijke persoon die abonnee van de operator is om de volgende reden. </w:t>
            </w:r>
            <w:r w:rsidRPr="005C4713">
              <w:rPr>
                <w:rFonts w:asciiTheme="minorHAnsi" w:hAnsiTheme="minorHAnsi" w:cstheme="minorHAnsi"/>
                <w:sz w:val="22"/>
              </w:rPr>
              <w:t xml:space="preserve">Een van de argumenten van de eisende partijen in het beroep voor het Grondwettelijk Hof tegen de wet van 1 september 2016 is dat “de bestreden bepaling niet verduidelijkt wat onder « identificatiegegevens en -documenten » dient te worden verstaan. Zo is niet duidelijk of het kan gaan om gegevens die betrekking hebben op de </w:t>
            </w:r>
            <w:r w:rsidRPr="005C4713">
              <w:rPr>
                <w:rFonts w:asciiTheme="minorHAnsi" w:hAnsiTheme="minorHAnsi" w:cstheme="minorHAnsi"/>
                <w:sz w:val="22"/>
              </w:rPr>
              <w:lastRenderedPageBreak/>
              <w:t>fysieke, fysiologische, psychische, economische, culturele of sociale identiteit van de eindgebruiker;” (punt A.3.5.2. van het arrest). Het is evenwel duidelijk dat artikel 127 van de telecomwet altijd betrekking heeft gehad op de identificatie van de abonnee (bepalen wie de abonnee is), hetgeen vertaald wordt in de burgerlijke identiteit wanneer de abonnee een natuurlijke persoon is.  De term “burgerlijke identiteit” wordt echter niet aangepast wanneer de persoon een rechtspersoon is (in dat geval identificeert de operator de abonnee die een rechtspersoon is).</w:t>
            </w:r>
          </w:p>
        </w:tc>
      </w:tr>
      <w:tr w:rsidR="004000A8" w:rsidRPr="00A80C6F" w14:paraId="44B1AB07" w14:textId="77777777" w:rsidTr="0025113D">
        <w:tc>
          <w:tcPr>
            <w:tcW w:w="4508" w:type="dxa"/>
          </w:tcPr>
          <w:p w14:paraId="72FDAAB3" w14:textId="77777777" w:rsidR="004000A8" w:rsidRPr="005C4713" w:rsidRDefault="004000A8" w:rsidP="004000A8">
            <w:pPr>
              <w:jc w:val="both"/>
              <w:rPr>
                <w:rFonts w:asciiTheme="minorHAnsi" w:hAnsiTheme="minorHAnsi" w:cstheme="minorHAnsi"/>
                <w:color w:val="000000" w:themeColor="text1"/>
                <w:sz w:val="22"/>
              </w:rPr>
            </w:pPr>
          </w:p>
        </w:tc>
        <w:tc>
          <w:tcPr>
            <w:tcW w:w="4508" w:type="dxa"/>
          </w:tcPr>
          <w:p w14:paraId="088A8234" w14:textId="77777777" w:rsidR="004000A8" w:rsidRPr="005C4713" w:rsidRDefault="004000A8" w:rsidP="004000A8">
            <w:pPr>
              <w:jc w:val="both"/>
              <w:rPr>
                <w:rFonts w:asciiTheme="minorHAnsi" w:hAnsiTheme="minorHAnsi" w:cstheme="minorHAnsi"/>
                <w:color w:val="000000" w:themeColor="text1"/>
                <w:sz w:val="22"/>
              </w:rPr>
            </w:pPr>
          </w:p>
        </w:tc>
      </w:tr>
      <w:tr w:rsidR="004000A8" w:rsidRPr="00A80C6F" w14:paraId="56BE5149" w14:textId="77777777" w:rsidTr="0025113D">
        <w:tc>
          <w:tcPr>
            <w:tcW w:w="4508" w:type="dxa"/>
          </w:tcPr>
          <w:p w14:paraId="51C65C4C" w14:textId="2C4DB37F"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Une méthode d’identification reste indirecte même si l’opérateur collecte des données relatives à l’identité civile de l’abonné, lorsque la fiabilité de ces données n’est pas assurée. Ainsi, par exemple, la méthode d’identification par conservation de la référence de paiement en ligne est une méthode d’identification indirecte, même si l’abonné doit communiquer à l’opérateur  son nom et son prénom dans le cadre de cette méthode. </w:t>
            </w:r>
          </w:p>
        </w:tc>
        <w:tc>
          <w:tcPr>
            <w:tcW w:w="4508" w:type="dxa"/>
          </w:tcPr>
          <w:p w14:paraId="41CFAA1F" w14:textId="3BEBDCB0"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Een identificatiemethode blijft indirect zelfs wanneer de operator gegevens in verband met de burgerlijk identiteit van de abonnee verzamelt, wanneer de betrouwbaarheid van deze gegevens niet gegarandeerd wordt. Zo is bijvoorbeeld de identificatiemethode via bewaring van de referentie van de onlinebetaling een indirecte identificatiemethode, zelfs wanneer de abonnee in het kader van die methode naam en voornaam moet meedelen aan de operator.</w:t>
            </w:r>
          </w:p>
        </w:tc>
      </w:tr>
      <w:tr w:rsidR="004000A8" w:rsidRPr="00A80C6F" w14:paraId="3E589093" w14:textId="77777777" w:rsidTr="0025113D">
        <w:tc>
          <w:tcPr>
            <w:tcW w:w="4508" w:type="dxa"/>
          </w:tcPr>
          <w:p w14:paraId="1819816C" w14:textId="77777777" w:rsidR="004000A8" w:rsidRPr="005C4713" w:rsidRDefault="004000A8" w:rsidP="004000A8">
            <w:pPr>
              <w:jc w:val="both"/>
              <w:rPr>
                <w:rFonts w:asciiTheme="minorHAnsi" w:hAnsiTheme="minorHAnsi" w:cstheme="minorHAnsi"/>
                <w:sz w:val="22"/>
              </w:rPr>
            </w:pPr>
          </w:p>
        </w:tc>
        <w:tc>
          <w:tcPr>
            <w:tcW w:w="4508" w:type="dxa"/>
          </w:tcPr>
          <w:p w14:paraId="2586C5A2" w14:textId="77777777" w:rsidR="004000A8" w:rsidRPr="005C4713" w:rsidRDefault="004000A8" w:rsidP="004000A8">
            <w:pPr>
              <w:jc w:val="both"/>
              <w:rPr>
                <w:rFonts w:asciiTheme="minorHAnsi" w:hAnsiTheme="minorHAnsi" w:cstheme="minorHAnsi"/>
                <w:sz w:val="22"/>
              </w:rPr>
            </w:pPr>
          </w:p>
        </w:tc>
      </w:tr>
      <w:tr w:rsidR="004000A8" w:rsidRPr="000F32A0" w14:paraId="53927CE8" w14:textId="77777777" w:rsidTr="0025113D">
        <w:tc>
          <w:tcPr>
            <w:tcW w:w="4508" w:type="dxa"/>
          </w:tcPr>
          <w:p w14:paraId="5E41382E" w14:textId="0BE6C021" w:rsidR="004000A8" w:rsidRPr="005C4713" w:rsidRDefault="004000A8" w:rsidP="004000A8">
            <w:pPr>
              <w:jc w:val="both"/>
              <w:rPr>
                <w:rFonts w:asciiTheme="minorHAnsi" w:hAnsiTheme="minorHAnsi" w:cstheme="minorHAnsi"/>
                <w:sz w:val="22"/>
                <w:u w:val="single"/>
                <w:lang w:val="fr-BE"/>
              </w:rPr>
            </w:pPr>
            <w:bookmarkStart w:id="25" w:name="_Toc90638341"/>
            <w:r w:rsidRPr="005C4713">
              <w:rPr>
                <w:rFonts w:asciiTheme="minorHAnsi" w:hAnsiTheme="minorHAnsi" w:cstheme="minorHAnsi"/>
                <w:sz w:val="22"/>
                <w:u w:val="single"/>
                <w:lang w:val="fr-BE"/>
              </w:rPr>
              <w:t xml:space="preserve">Méthode d’identification directe </w:t>
            </w:r>
            <w:r w:rsidRPr="00136EDB">
              <w:rPr>
                <w:rFonts w:asciiTheme="minorHAnsi" w:hAnsiTheme="minorHAnsi" w:cstheme="minorHAnsi"/>
                <w:i/>
                <w:iCs/>
                <w:sz w:val="22"/>
                <w:u w:val="single"/>
                <w:lang w:val="fr-BE"/>
              </w:rPr>
              <w:t>vs</w:t>
            </w:r>
            <w:r w:rsidRPr="005C4713">
              <w:rPr>
                <w:rFonts w:asciiTheme="minorHAnsi" w:hAnsiTheme="minorHAnsi" w:cstheme="minorHAnsi"/>
                <w:sz w:val="22"/>
                <w:u w:val="single"/>
                <w:lang w:val="fr-BE"/>
              </w:rPr>
              <w:t xml:space="preserve"> méthode d’identification indirecte</w:t>
            </w:r>
            <w:bookmarkEnd w:id="25"/>
            <w:r w:rsidRPr="005C4713">
              <w:rPr>
                <w:rFonts w:asciiTheme="minorHAnsi" w:hAnsiTheme="minorHAnsi" w:cstheme="minorHAnsi"/>
                <w:sz w:val="22"/>
                <w:u w:val="single"/>
                <w:lang w:val="fr-BE"/>
              </w:rPr>
              <w:t xml:space="preserve"> : principe </w:t>
            </w:r>
          </w:p>
        </w:tc>
        <w:tc>
          <w:tcPr>
            <w:tcW w:w="4508" w:type="dxa"/>
          </w:tcPr>
          <w:p w14:paraId="071534AD" w14:textId="1C793519" w:rsidR="004000A8" w:rsidRPr="005C4713" w:rsidRDefault="004000A8" w:rsidP="004000A8">
            <w:pPr>
              <w:jc w:val="both"/>
              <w:rPr>
                <w:rFonts w:asciiTheme="minorHAnsi" w:hAnsiTheme="minorHAnsi" w:cstheme="minorHAnsi"/>
                <w:sz w:val="22"/>
                <w:u w:val="single"/>
                <w:lang w:val="fr-BE"/>
              </w:rPr>
            </w:pPr>
            <w:r w:rsidRPr="005C4713">
              <w:rPr>
                <w:rFonts w:asciiTheme="minorHAnsi" w:hAnsiTheme="minorHAnsi" w:cstheme="minorHAnsi"/>
                <w:sz w:val="22"/>
                <w:u w:val="single"/>
                <w:lang w:val="fr-BE"/>
              </w:rPr>
              <w:t xml:space="preserve">Directe </w:t>
            </w:r>
            <w:proofErr w:type="spellStart"/>
            <w:r w:rsidRPr="005C4713">
              <w:rPr>
                <w:rFonts w:asciiTheme="minorHAnsi" w:hAnsiTheme="minorHAnsi" w:cstheme="minorHAnsi"/>
                <w:sz w:val="22"/>
                <w:u w:val="single"/>
                <w:lang w:val="fr-BE"/>
              </w:rPr>
              <w:t>identificatiemethode</w:t>
            </w:r>
            <w:proofErr w:type="spellEnd"/>
            <w:r w:rsidRPr="005C4713">
              <w:rPr>
                <w:rFonts w:asciiTheme="minorHAnsi" w:hAnsiTheme="minorHAnsi" w:cstheme="minorHAnsi"/>
                <w:sz w:val="22"/>
                <w:u w:val="single"/>
                <w:lang w:val="fr-BE"/>
              </w:rPr>
              <w:t xml:space="preserve"> vs. indirecte </w:t>
            </w:r>
            <w:proofErr w:type="spellStart"/>
            <w:r w:rsidRPr="005C4713">
              <w:rPr>
                <w:rFonts w:asciiTheme="minorHAnsi" w:hAnsiTheme="minorHAnsi" w:cstheme="minorHAnsi"/>
                <w:sz w:val="22"/>
                <w:u w:val="single"/>
                <w:lang w:val="fr-BE"/>
              </w:rPr>
              <w:t>identificatiemethode</w:t>
            </w:r>
            <w:proofErr w:type="spellEnd"/>
            <w:r w:rsidRPr="005C4713">
              <w:rPr>
                <w:rFonts w:asciiTheme="minorHAnsi" w:hAnsiTheme="minorHAnsi" w:cstheme="minorHAnsi"/>
                <w:sz w:val="22"/>
                <w:u w:val="single"/>
                <w:lang w:val="fr-BE"/>
              </w:rPr>
              <w:t>: principe</w:t>
            </w:r>
          </w:p>
        </w:tc>
      </w:tr>
      <w:tr w:rsidR="004000A8" w:rsidRPr="000F32A0" w14:paraId="6EB4ED38" w14:textId="77777777" w:rsidTr="0025113D">
        <w:tc>
          <w:tcPr>
            <w:tcW w:w="4508" w:type="dxa"/>
          </w:tcPr>
          <w:p w14:paraId="67DB826F" w14:textId="77777777" w:rsidR="004000A8" w:rsidRPr="005C4713" w:rsidRDefault="004000A8" w:rsidP="004000A8">
            <w:pPr>
              <w:jc w:val="both"/>
              <w:rPr>
                <w:rFonts w:asciiTheme="minorHAnsi" w:hAnsiTheme="minorHAnsi" w:cstheme="minorHAnsi"/>
                <w:sz w:val="22"/>
                <w:lang w:val="fr-BE"/>
              </w:rPr>
            </w:pPr>
          </w:p>
        </w:tc>
        <w:tc>
          <w:tcPr>
            <w:tcW w:w="4508" w:type="dxa"/>
          </w:tcPr>
          <w:p w14:paraId="6B27BE1A" w14:textId="77777777" w:rsidR="004000A8" w:rsidRPr="005C4713" w:rsidRDefault="004000A8" w:rsidP="004000A8">
            <w:pPr>
              <w:jc w:val="both"/>
              <w:rPr>
                <w:rFonts w:asciiTheme="minorHAnsi" w:hAnsiTheme="minorHAnsi" w:cstheme="minorHAnsi"/>
                <w:sz w:val="22"/>
                <w:lang w:val="fr-BE"/>
              </w:rPr>
            </w:pPr>
          </w:p>
        </w:tc>
      </w:tr>
      <w:tr w:rsidR="004000A8" w:rsidRPr="00A80C6F" w14:paraId="1D50A526" w14:textId="77777777" w:rsidTr="0025113D">
        <w:tc>
          <w:tcPr>
            <w:tcW w:w="4508" w:type="dxa"/>
          </w:tcPr>
          <w:p w14:paraId="35CEA2A1" w14:textId="70F6B73A"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L’ancien article 127, § 2, contenait une interdiction pour les opérateurs de rendre difficile ou impossible l’identification des utilisateurs finaux. Le nouvel article  127 comprend dorénavant une obligation positive pour les opérateurs d’identifier leurs abonnés (méthode d’identification directe) ou à tout le moins de rendre cette identification possible (méthode d’identification indirecte).</w:t>
            </w:r>
          </w:p>
        </w:tc>
        <w:tc>
          <w:tcPr>
            <w:tcW w:w="4508" w:type="dxa"/>
          </w:tcPr>
          <w:p w14:paraId="5341C5DE" w14:textId="43E02049"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Het oude artikel 127, § 2, bevatte een verbod voor de operatoren om de identificatie van de eindgebruikers te bemoeilijken of onmogelijk te maken. Het nieuwe artikel 127 bevat nu een positieve verplichting voor de operatoren om hun abonnees te identificeren (directe identificatiemethode) of op zijn minst deze identificatie mogelijk te maken (indirecte identificatiemethode).</w:t>
            </w:r>
          </w:p>
        </w:tc>
      </w:tr>
      <w:tr w:rsidR="004000A8" w:rsidRPr="00A80C6F" w14:paraId="7C7192A9" w14:textId="77777777" w:rsidTr="0025113D">
        <w:tc>
          <w:tcPr>
            <w:tcW w:w="4508" w:type="dxa"/>
          </w:tcPr>
          <w:p w14:paraId="1EE6F9F9" w14:textId="77777777" w:rsidR="004000A8" w:rsidRPr="005C4713" w:rsidRDefault="004000A8" w:rsidP="004000A8">
            <w:pPr>
              <w:jc w:val="both"/>
              <w:rPr>
                <w:rFonts w:asciiTheme="minorHAnsi" w:hAnsiTheme="minorHAnsi" w:cstheme="minorHAnsi"/>
                <w:sz w:val="22"/>
              </w:rPr>
            </w:pPr>
          </w:p>
        </w:tc>
        <w:tc>
          <w:tcPr>
            <w:tcW w:w="4508" w:type="dxa"/>
          </w:tcPr>
          <w:p w14:paraId="1E109003" w14:textId="77777777" w:rsidR="004000A8" w:rsidRPr="005C4713" w:rsidRDefault="004000A8" w:rsidP="004000A8">
            <w:pPr>
              <w:jc w:val="both"/>
              <w:rPr>
                <w:rFonts w:asciiTheme="minorHAnsi" w:hAnsiTheme="minorHAnsi" w:cstheme="minorHAnsi"/>
                <w:sz w:val="22"/>
              </w:rPr>
            </w:pPr>
          </w:p>
        </w:tc>
      </w:tr>
      <w:tr w:rsidR="004000A8" w:rsidRPr="00A80C6F" w14:paraId="3EC426A4" w14:textId="77777777" w:rsidTr="0025113D">
        <w:tc>
          <w:tcPr>
            <w:tcW w:w="4508" w:type="dxa"/>
          </w:tcPr>
          <w:p w14:paraId="2ABE1510" w14:textId="08435FDF"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Les principes applicables sont que les opérateurs qui offrent des services de communications électroniques payants doivent identifier leurs abonnés par une méthode d’identification directe ou par la méthode d’identification par conservation de la référence de paiement (méthode indirecte), alors que les  opérateurs qui offrent des services de communications électroniques gratuits devront permettre aux autorités d’identifier leurs abonnés à l’aide d’une méthode d’identification indirecte. Le </w:t>
            </w:r>
            <w:r w:rsidRPr="005C4713">
              <w:rPr>
                <w:rFonts w:asciiTheme="minorHAnsi" w:hAnsiTheme="minorHAnsi" w:cstheme="minorHAnsi"/>
                <w:sz w:val="22"/>
                <w:lang w:val="fr-BE"/>
              </w:rPr>
              <w:lastRenderedPageBreak/>
              <w:t xml:space="preserve">raisonnement qui justifie une telle distinction est le suivant. </w:t>
            </w:r>
          </w:p>
        </w:tc>
        <w:tc>
          <w:tcPr>
            <w:tcW w:w="4508" w:type="dxa"/>
          </w:tcPr>
          <w:p w14:paraId="593AC5D3" w14:textId="1BC1AF34"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lastRenderedPageBreak/>
              <w:t xml:space="preserve">De toepasselijke principes zijn dat de operatoren die elektronische-communicatiebetaaldiensten aanbieden, hun abonnees moeten identificeren via een directe identificatiemethode of via de identificatiemethode op basis van bewaring van de referentie van de betaling (indirecte methode), terwijl de operatoren die gratis elektronische-communicatiediensten aanbieden, de autoriteiten de mogelijkheid zullen moeten bieden om hun abonnees te identificeren aan de hand van een indirecte </w:t>
            </w:r>
            <w:r w:rsidRPr="005C4713">
              <w:rPr>
                <w:rFonts w:asciiTheme="minorHAnsi" w:hAnsiTheme="minorHAnsi" w:cstheme="minorHAnsi"/>
                <w:sz w:val="22"/>
              </w:rPr>
              <w:lastRenderedPageBreak/>
              <w:t>identificatiemethode. De redenering die dat onderscheid rechtvaardigt, is als volgt.</w:t>
            </w:r>
          </w:p>
        </w:tc>
      </w:tr>
      <w:tr w:rsidR="004000A8" w:rsidRPr="00A80C6F" w14:paraId="5E1F875C" w14:textId="77777777" w:rsidTr="0025113D">
        <w:tc>
          <w:tcPr>
            <w:tcW w:w="4508" w:type="dxa"/>
          </w:tcPr>
          <w:p w14:paraId="43553057" w14:textId="77777777" w:rsidR="004000A8" w:rsidRPr="005C4713" w:rsidRDefault="004000A8" w:rsidP="004000A8">
            <w:pPr>
              <w:jc w:val="both"/>
              <w:rPr>
                <w:rFonts w:asciiTheme="minorHAnsi" w:hAnsiTheme="minorHAnsi" w:cstheme="minorHAnsi"/>
                <w:sz w:val="22"/>
                <w:lang w:val="fr-BE"/>
              </w:rPr>
            </w:pPr>
          </w:p>
        </w:tc>
        <w:tc>
          <w:tcPr>
            <w:tcW w:w="4508" w:type="dxa"/>
          </w:tcPr>
          <w:p w14:paraId="362C5757" w14:textId="77777777" w:rsidR="004000A8" w:rsidRPr="005C4713" w:rsidRDefault="004000A8" w:rsidP="004000A8">
            <w:pPr>
              <w:jc w:val="both"/>
              <w:rPr>
                <w:rFonts w:asciiTheme="minorHAnsi" w:hAnsiTheme="minorHAnsi" w:cstheme="minorHAnsi"/>
                <w:sz w:val="22"/>
              </w:rPr>
            </w:pPr>
          </w:p>
        </w:tc>
      </w:tr>
      <w:tr w:rsidR="004000A8" w:rsidRPr="00A80C6F" w14:paraId="753BB9EF" w14:textId="77777777" w:rsidTr="0025113D">
        <w:tc>
          <w:tcPr>
            <w:tcW w:w="4508" w:type="dxa"/>
          </w:tcPr>
          <w:p w14:paraId="060B2624" w14:textId="28293474"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Lorsque l’abonné souscrit à un service payant qui est facturé après la fourniture du service (« </w:t>
            </w:r>
            <w:proofErr w:type="spellStart"/>
            <w:r w:rsidRPr="005C4713">
              <w:rPr>
                <w:rFonts w:asciiTheme="minorHAnsi" w:hAnsiTheme="minorHAnsi" w:cstheme="minorHAnsi"/>
                <w:sz w:val="22"/>
                <w:lang w:val="fr-BE"/>
              </w:rPr>
              <w:t>postpaid</w:t>
            </w:r>
            <w:proofErr w:type="spellEnd"/>
            <w:r w:rsidRPr="005C4713">
              <w:rPr>
                <w:rFonts w:asciiTheme="minorHAnsi" w:hAnsiTheme="minorHAnsi" w:cstheme="minorHAnsi"/>
                <w:sz w:val="22"/>
                <w:lang w:val="fr-BE"/>
              </w:rPr>
              <w:t xml:space="preserve"> »), l’opérateur disposera généralement des données d’identité civile de l’abonné afin de pouvoir correspondre avec ce dernier (et entre autres lui envoyer les factures), afin d’installer des services fixes à son domicile (par exemple la télévision, l’internet ou la téléphonie) et afin de mener à bien une action en justice contre son abonné (par exemple dans le cadre d’un recouvrement de créances). </w:t>
            </w:r>
            <w:r w:rsidRPr="005C4713">
              <w:rPr>
                <w:rFonts w:asciiTheme="minorHAnsi" w:hAnsiTheme="minorHAnsi" w:cstheme="minorHAnsi"/>
                <w:spacing w:val="-3"/>
                <w:sz w:val="22"/>
                <w:lang w:val="fr-FR"/>
              </w:rPr>
              <w:t>Il faut aussi rappeler que les opérateurs qui offrent des services de communications électroniques qui doivent permettre à l’utilisateur final de contacter les services d’urgence qui offrent de l’aide sur place (généralement des services de communications électroniques payants)  doivent pouvoir leur envoyer, lors de l’appel d’urgence, le nom et le prénom de l’appelant, en vertu de l’article 107, § 4, alinéa 1</w:t>
            </w:r>
            <w:r w:rsidRPr="005C4713">
              <w:rPr>
                <w:rFonts w:asciiTheme="minorHAnsi" w:hAnsiTheme="minorHAnsi" w:cstheme="minorHAnsi"/>
                <w:spacing w:val="-3"/>
                <w:sz w:val="22"/>
                <w:vertAlign w:val="superscript"/>
                <w:lang w:val="fr-FR"/>
              </w:rPr>
              <w:t>er</w:t>
            </w:r>
            <w:r w:rsidRPr="005C4713">
              <w:rPr>
                <w:rFonts w:asciiTheme="minorHAnsi" w:hAnsiTheme="minorHAnsi" w:cstheme="minorHAnsi"/>
                <w:spacing w:val="-3"/>
                <w:sz w:val="22"/>
                <w:lang w:val="fr-FR"/>
              </w:rPr>
              <w:t xml:space="preserve">, de la LCE. </w:t>
            </w:r>
            <w:r w:rsidRPr="005C4713">
              <w:rPr>
                <w:rFonts w:asciiTheme="minorHAnsi" w:hAnsiTheme="minorHAnsi" w:cstheme="minorHAnsi"/>
                <w:sz w:val="22"/>
                <w:lang w:val="fr-BE"/>
              </w:rPr>
              <w:t>Pour ce qui concerne les services payants, le législateur ne souhaite pas une diminution de la fiabilité actuelle de l’identification par les opérateurs de leurs abonnés. Il convient d’éviter une trop grande application d’une méthode d’identification indirecte, étant donné que ce type de méthode rend la tâche plus difficile pour les autorités.</w:t>
            </w:r>
          </w:p>
        </w:tc>
        <w:tc>
          <w:tcPr>
            <w:tcW w:w="4508" w:type="dxa"/>
          </w:tcPr>
          <w:p w14:paraId="74C2EE45" w14:textId="4FCDFE30"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Wanneer de abonnee intekent op een betaaldienst die aangerekend wordt na de levering van de dienst (“</w:t>
            </w:r>
            <w:proofErr w:type="spellStart"/>
            <w:r w:rsidRPr="005C4713">
              <w:rPr>
                <w:rFonts w:asciiTheme="minorHAnsi" w:hAnsiTheme="minorHAnsi" w:cstheme="minorHAnsi"/>
                <w:sz w:val="22"/>
              </w:rPr>
              <w:t>postpaid</w:t>
            </w:r>
            <w:proofErr w:type="spellEnd"/>
            <w:r w:rsidRPr="005C4713">
              <w:rPr>
                <w:rFonts w:asciiTheme="minorHAnsi" w:hAnsiTheme="minorHAnsi" w:cstheme="minorHAnsi"/>
                <w:sz w:val="22"/>
              </w:rPr>
              <w:t>”), zal de operator doorgaans beschikken over de gegevens van burgerlijke identiteit van de abonnee om met die laatste te kunnen corresponderen (en onder andere facturen toesturen), om bij de persoon thuis vaste diensten te installeren (zoals televisie, internet of telefonie) en om een rechtszaak tegen zijn abonnee tot een goed einde te brengen (bijvoorbeeld in het kader van een invordering van schulden). Ook dient eraan te worden herinnerd dat de operatoren die elektronische-communicatiediensten aanbieden die voor de abonnee de toegang mogelijk moeten maken tot de nooddiensten die ter plaatse hulp bieden (doorgaans elektronische-communicatiebetaaldiensten), in geval van een noodoproep, aan die nooddiensten de naam en de voornaam van de beller moeten kunnen sturen, krachtens artikel 107, § 4, eerste lid, van de WEC. Wat de betaaldiensten betreft, wenst de wetgever niet dat de huidige betrouwbaarheid van de identificatie van de abonnees door de operatoren vermindert. Er moet vermeden worden dat een indirecte identificatiemethodes te vaak wordt toegepast, aangezien zo’n methode de taak voor de autoriteiten moeilijker maakt.</w:t>
            </w:r>
          </w:p>
        </w:tc>
      </w:tr>
      <w:tr w:rsidR="004000A8" w:rsidRPr="00A80C6F" w14:paraId="3A590A27" w14:textId="77777777" w:rsidTr="0025113D">
        <w:tc>
          <w:tcPr>
            <w:tcW w:w="4508" w:type="dxa"/>
          </w:tcPr>
          <w:p w14:paraId="06600C45" w14:textId="77777777" w:rsidR="004000A8" w:rsidRPr="00136EDB" w:rsidRDefault="004000A8" w:rsidP="004000A8">
            <w:pPr>
              <w:jc w:val="both"/>
              <w:rPr>
                <w:rFonts w:asciiTheme="minorHAnsi" w:hAnsiTheme="minorHAnsi" w:cstheme="minorHAnsi"/>
                <w:sz w:val="22"/>
              </w:rPr>
            </w:pPr>
          </w:p>
        </w:tc>
        <w:tc>
          <w:tcPr>
            <w:tcW w:w="4508" w:type="dxa"/>
          </w:tcPr>
          <w:p w14:paraId="2DC359CE" w14:textId="77777777" w:rsidR="004000A8" w:rsidRPr="005C4713" w:rsidRDefault="004000A8" w:rsidP="004000A8">
            <w:pPr>
              <w:jc w:val="both"/>
              <w:rPr>
                <w:rFonts w:asciiTheme="minorHAnsi" w:hAnsiTheme="minorHAnsi" w:cstheme="minorHAnsi"/>
                <w:sz w:val="22"/>
              </w:rPr>
            </w:pPr>
          </w:p>
        </w:tc>
      </w:tr>
      <w:tr w:rsidR="004000A8" w:rsidRPr="00A80C6F" w14:paraId="0A1E0593" w14:textId="77777777" w:rsidTr="0025113D">
        <w:tc>
          <w:tcPr>
            <w:tcW w:w="4508" w:type="dxa"/>
          </w:tcPr>
          <w:p w14:paraId="3E9FA80E" w14:textId="3CC89219"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Les opérateurs qui offrent des services gratuits sont généralement des opérateurs qui offrent des services de communications interpersonnelles qui ne sont pas basés sur la numérotation (les « OTT »). Ils ne disposent généralement pas des données d’identité civile de leurs abonnés (ou en tous cas pas de données dont la fiabilité a été vérifiée) ni de copie de leurs documents d’identité, vu que cela n’est pas nécessaire pour qu’ils offrent leurs services. Le chiffre d’affaires effectué par ce type d’opérateur provient généralement du traitement des données de l’abonné et de l’envoi de publicités à ce dernier. Le gouvernement  souhaite éviter que les opérateurs dont le modèle commercial est basé sur le traitement des données de l’abonné </w:t>
            </w:r>
            <w:r w:rsidRPr="005C4713">
              <w:rPr>
                <w:rFonts w:asciiTheme="minorHAnsi" w:hAnsiTheme="minorHAnsi" w:cstheme="minorHAnsi"/>
                <w:sz w:val="22"/>
                <w:lang w:val="fr-BE"/>
              </w:rPr>
              <w:lastRenderedPageBreak/>
              <w:t xml:space="preserve">mettent en place une méthode d’identification directe, étant donné que cela impliquerait qu’ils pourraient relier les (parfois nombreuses) données qu’il détienne déjà sur l’abonné avec l’identité de ce dernier, ce qui rendrait le traitement de ses données plus sensible. </w:t>
            </w:r>
            <w:r w:rsidRPr="005C4713">
              <w:rPr>
                <w:rFonts w:asciiTheme="minorHAnsi" w:hAnsiTheme="minorHAnsi" w:cstheme="minorHAnsi"/>
                <w:spacing w:val="-3"/>
                <w:sz w:val="22"/>
                <w:lang w:val="fr-FR"/>
              </w:rPr>
              <w:t>L’identification indirecte est plus appropriée pour les services gratuits, étant donné que cette méthode d’identification présente l’avantage que l’opérateur ne connaît pas lui-même l’identité de son abonné lorsqu’il n’est pas nécessaire qu’il la connaisse.</w:t>
            </w:r>
          </w:p>
        </w:tc>
        <w:tc>
          <w:tcPr>
            <w:tcW w:w="4508" w:type="dxa"/>
          </w:tcPr>
          <w:p w14:paraId="0DFEFC34" w14:textId="75999DAC"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lastRenderedPageBreak/>
              <w:t>De operatoren die gratis diensten aanbieden zijn over het algemeen operatoren die interpersoonlijke communicatiediensten aanbieden die nummeronafhankelijk zijn (de “</w:t>
            </w:r>
            <w:proofErr w:type="spellStart"/>
            <w:r w:rsidRPr="005C4713">
              <w:rPr>
                <w:rFonts w:asciiTheme="minorHAnsi" w:hAnsiTheme="minorHAnsi" w:cstheme="minorHAnsi"/>
                <w:sz w:val="22"/>
              </w:rPr>
              <w:t>OTT’s</w:t>
            </w:r>
            <w:proofErr w:type="spellEnd"/>
            <w:r w:rsidRPr="005C4713">
              <w:rPr>
                <w:rFonts w:asciiTheme="minorHAnsi" w:hAnsiTheme="minorHAnsi" w:cstheme="minorHAnsi"/>
                <w:sz w:val="22"/>
              </w:rPr>
              <w:t xml:space="preserve">”). Zij beschikken doorgaans niet over de gegevens van burgerlijke identiteit van hun abonnees (of toch niet over gegevens waarvan de betrouwbaarheid geverifieerd is) noch over een kopie van hun identificatiedocumenten, aangezien dat niet noodzakelijk is om hun diensten te kunnen aanbieden. De omzet die zulke operatoren boeken, komt over het algemeen van de verwerking van de gegevens van de abonnee en het verzenden van reclame naar die laatste. De regering wenst te vermijden dat de operatoren van wie het commerciële model gebaseerd is op de verwerking van de </w:t>
            </w:r>
            <w:r w:rsidRPr="005C4713">
              <w:rPr>
                <w:rFonts w:asciiTheme="minorHAnsi" w:hAnsiTheme="minorHAnsi" w:cstheme="minorHAnsi"/>
                <w:sz w:val="22"/>
              </w:rPr>
              <w:lastRenderedPageBreak/>
              <w:t>abonneegegevens, een directe identificatiemethode instellen, aangezien dat zou betekenen dat ze de (soms talrijke) gegevens die ze al over de abonnee in handen hebben, zouden kunnen in verband brengen met de identiteit van die abonnee, waardoor de verwerking van zijn gegevens gevoeliger zou worden. De indirecte identificatie is het meer geschikt voor de gratis diensten, aangezien deze identificatiemethode als voordeel heeft dat de operator zelf de identiteit van zijn abonnee niet kent wanneer het niet nodig is dat hij die kent.</w:t>
            </w:r>
          </w:p>
        </w:tc>
      </w:tr>
      <w:tr w:rsidR="004000A8" w:rsidRPr="00A80C6F" w14:paraId="304C56D4" w14:textId="77777777" w:rsidTr="0025113D">
        <w:tc>
          <w:tcPr>
            <w:tcW w:w="4508" w:type="dxa"/>
          </w:tcPr>
          <w:p w14:paraId="21DACA87" w14:textId="77777777" w:rsidR="004000A8" w:rsidRPr="00136EDB" w:rsidRDefault="004000A8" w:rsidP="004000A8">
            <w:pPr>
              <w:jc w:val="both"/>
              <w:rPr>
                <w:rFonts w:asciiTheme="minorHAnsi" w:hAnsiTheme="minorHAnsi" w:cstheme="minorHAnsi"/>
                <w:sz w:val="22"/>
              </w:rPr>
            </w:pPr>
          </w:p>
        </w:tc>
        <w:tc>
          <w:tcPr>
            <w:tcW w:w="4508" w:type="dxa"/>
          </w:tcPr>
          <w:p w14:paraId="619871A3" w14:textId="77777777" w:rsidR="004000A8" w:rsidRPr="005C4713" w:rsidRDefault="004000A8" w:rsidP="004000A8">
            <w:pPr>
              <w:jc w:val="both"/>
              <w:rPr>
                <w:rFonts w:asciiTheme="minorHAnsi" w:hAnsiTheme="minorHAnsi" w:cstheme="minorHAnsi"/>
                <w:sz w:val="22"/>
              </w:rPr>
            </w:pPr>
          </w:p>
        </w:tc>
      </w:tr>
      <w:tr w:rsidR="004000A8" w:rsidRPr="00A80C6F" w14:paraId="6CAECE09" w14:textId="77777777" w:rsidTr="0025113D">
        <w:tc>
          <w:tcPr>
            <w:tcW w:w="4508" w:type="dxa"/>
          </w:tcPr>
          <w:p w14:paraId="1B1BDC05" w14:textId="63DF5A01"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Alors que les opérateurs qui offrent des services payants ont généralement leur établissement principal en Belgique, les opérateurs qui offrent des services gratuit</w:t>
            </w:r>
            <w:r>
              <w:rPr>
                <w:rFonts w:asciiTheme="minorHAnsi" w:hAnsiTheme="minorHAnsi" w:cstheme="minorHAnsi"/>
                <w:sz w:val="22"/>
                <w:lang w:val="fr-BE"/>
              </w:rPr>
              <w:t>s</w:t>
            </w:r>
            <w:r w:rsidRPr="005C4713">
              <w:rPr>
                <w:rFonts w:asciiTheme="minorHAnsi" w:hAnsiTheme="minorHAnsi" w:cstheme="minorHAnsi"/>
                <w:sz w:val="22"/>
                <w:lang w:val="fr-BE"/>
              </w:rPr>
              <w:t xml:space="preserve"> ont généralement leur établissement principal en dehors de l’Union européenne. </w:t>
            </w:r>
          </w:p>
        </w:tc>
        <w:tc>
          <w:tcPr>
            <w:tcW w:w="4508" w:type="dxa"/>
          </w:tcPr>
          <w:p w14:paraId="16D4618B" w14:textId="2488163A"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Terwijl de operatoren die betaaldiensten aanbieden hun hoofdvestiging doorgaans in België hebben, hebben de operatoren die gratis diensten aanbieden hun hoofdvestiging meestal buiten de Europese Unie.</w:t>
            </w:r>
          </w:p>
        </w:tc>
      </w:tr>
      <w:tr w:rsidR="004000A8" w:rsidRPr="00A80C6F" w14:paraId="3CAA687C" w14:textId="77777777" w:rsidTr="0025113D">
        <w:tc>
          <w:tcPr>
            <w:tcW w:w="4508" w:type="dxa"/>
          </w:tcPr>
          <w:p w14:paraId="3AFD0F46" w14:textId="77777777" w:rsidR="004000A8" w:rsidRPr="00136EDB" w:rsidRDefault="004000A8" w:rsidP="004000A8">
            <w:pPr>
              <w:jc w:val="both"/>
              <w:rPr>
                <w:rFonts w:asciiTheme="minorHAnsi" w:hAnsiTheme="minorHAnsi" w:cstheme="minorHAnsi"/>
                <w:sz w:val="22"/>
              </w:rPr>
            </w:pPr>
          </w:p>
        </w:tc>
        <w:tc>
          <w:tcPr>
            <w:tcW w:w="4508" w:type="dxa"/>
          </w:tcPr>
          <w:p w14:paraId="193FB90A" w14:textId="77777777" w:rsidR="004000A8" w:rsidRPr="005C4713" w:rsidRDefault="004000A8" w:rsidP="004000A8">
            <w:pPr>
              <w:jc w:val="both"/>
              <w:rPr>
                <w:rFonts w:asciiTheme="minorHAnsi" w:hAnsiTheme="minorHAnsi" w:cstheme="minorHAnsi"/>
                <w:sz w:val="22"/>
              </w:rPr>
            </w:pPr>
          </w:p>
        </w:tc>
      </w:tr>
      <w:tr w:rsidR="004000A8" w:rsidRPr="00A80C6F" w14:paraId="535E2B6F" w14:textId="77777777" w:rsidTr="0025113D">
        <w:tc>
          <w:tcPr>
            <w:tcW w:w="4508" w:type="dxa"/>
          </w:tcPr>
          <w:p w14:paraId="29AF1B68" w14:textId="766CF05F" w:rsidR="004000A8" w:rsidRPr="005C4713" w:rsidRDefault="004000A8" w:rsidP="004000A8">
            <w:pPr>
              <w:jc w:val="both"/>
              <w:rPr>
                <w:rFonts w:asciiTheme="minorHAnsi" w:hAnsiTheme="minorHAnsi" w:cstheme="minorHAnsi"/>
                <w:sz w:val="22"/>
                <w:u w:val="single"/>
                <w:lang w:val="fr-BE"/>
              </w:rPr>
            </w:pPr>
            <w:r w:rsidRPr="005C4713">
              <w:rPr>
                <w:rFonts w:asciiTheme="minorHAnsi" w:hAnsiTheme="minorHAnsi" w:cstheme="minorHAnsi"/>
                <w:sz w:val="22"/>
                <w:u w:val="single"/>
                <w:lang w:val="fr-BE"/>
              </w:rPr>
              <w:t xml:space="preserve">Méthode d’identification directe </w:t>
            </w:r>
            <w:r w:rsidRPr="00136EDB">
              <w:rPr>
                <w:rFonts w:asciiTheme="minorHAnsi" w:hAnsiTheme="minorHAnsi" w:cstheme="minorHAnsi"/>
                <w:i/>
                <w:iCs/>
                <w:sz w:val="22"/>
                <w:u w:val="single"/>
                <w:lang w:val="fr-BE"/>
              </w:rPr>
              <w:t>vs</w:t>
            </w:r>
            <w:r w:rsidRPr="005C4713">
              <w:rPr>
                <w:rFonts w:asciiTheme="minorHAnsi" w:hAnsiTheme="minorHAnsi" w:cstheme="minorHAnsi"/>
                <w:sz w:val="22"/>
                <w:u w:val="single"/>
                <w:lang w:val="fr-BE"/>
              </w:rPr>
              <w:t xml:space="preserve"> méthode d’identification indirecte : les exceptions</w:t>
            </w:r>
          </w:p>
        </w:tc>
        <w:tc>
          <w:tcPr>
            <w:tcW w:w="4508" w:type="dxa"/>
          </w:tcPr>
          <w:p w14:paraId="3DBB3E9F" w14:textId="64CEACB4" w:rsidR="004000A8" w:rsidRPr="005C4713" w:rsidRDefault="004000A8" w:rsidP="004000A8">
            <w:pPr>
              <w:jc w:val="both"/>
              <w:rPr>
                <w:rFonts w:asciiTheme="minorHAnsi" w:hAnsiTheme="minorHAnsi" w:cstheme="minorHAnsi"/>
                <w:sz w:val="22"/>
                <w:u w:val="single"/>
              </w:rPr>
            </w:pPr>
            <w:r w:rsidRPr="005C4713">
              <w:rPr>
                <w:rFonts w:asciiTheme="minorHAnsi" w:hAnsiTheme="minorHAnsi" w:cstheme="minorHAnsi"/>
                <w:sz w:val="22"/>
                <w:u w:val="single"/>
              </w:rPr>
              <w:t>Directe identificatiemethode vs. indirecte identificatiemethode: de uitzonderingen</w:t>
            </w:r>
          </w:p>
        </w:tc>
      </w:tr>
      <w:tr w:rsidR="004000A8" w:rsidRPr="00A80C6F" w14:paraId="08A0B8AF" w14:textId="77777777" w:rsidTr="0025113D">
        <w:tc>
          <w:tcPr>
            <w:tcW w:w="4508" w:type="dxa"/>
          </w:tcPr>
          <w:p w14:paraId="68078F21" w14:textId="77777777" w:rsidR="004000A8" w:rsidRPr="005C4713" w:rsidRDefault="004000A8" w:rsidP="004000A8">
            <w:pPr>
              <w:jc w:val="both"/>
              <w:rPr>
                <w:rFonts w:asciiTheme="minorHAnsi" w:hAnsiTheme="minorHAnsi" w:cstheme="minorHAnsi"/>
                <w:sz w:val="22"/>
                <w:lang w:val="fr-BE"/>
              </w:rPr>
            </w:pPr>
          </w:p>
        </w:tc>
        <w:tc>
          <w:tcPr>
            <w:tcW w:w="4508" w:type="dxa"/>
          </w:tcPr>
          <w:p w14:paraId="050AC127" w14:textId="77777777" w:rsidR="004000A8" w:rsidRPr="005C4713" w:rsidRDefault="004000A8" w:rsidP="004000A8">
            <w:pPr>
              <w:jc w:val="both"/>
              <w:rPr>
                <w:rFonts w:asciiTheme="minorHAnsi" w:hAnsiTheme="minorHAnsi" w:cstheme="minorHAnsi"/>
                <w:sz w:val="22"/>
              </w:rPr>
            </w:pPr>
          </w:p>
        </w:tc>
      </w:tr>
      <w:tr w:rsidR="004000A8" w:rsidRPr="00A80C6F" w14:paraId="43ED2E4B" w14:textId="77777777" w:rsidTr="0025113D">
        <w:tc>
          <w:tcPr>
            <w:tcW w:w="4508" w:type="dxa"/>
          </w:tcPr>
          <w:p w14:paraId="129855C7" w14:textId="7D15BA33"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Pour les services payants, l’article 127, § 2,</w:t>
            </w:r>
            <w:r w:rsidRPr="005C4713">
              <w:rPr>
                <w:rFonts w:asciiTheme="minorHAnsi" w:hAnsiTheme="minorHAnsi" w:cstheme="minorHAnsi"/>
                <w:sz w:val="22"/>
                <w:vertAlign w:val="superscript"/>
                <w:lang w:val="fr-BE"/>
              </w:rPr>
              <w:t xml:space="preserve"> </w:t>
            </w:r>
            <w:r w:rsidRPr="005C4713">
              <w:rPr>
                <w:rFonts w:asciiTheme="minorHAnsi" w:hAnsiTheme="minorHAnsi" w:cstheme="minorHAnsi"/>
                <w:sz w:val="22"/>
                <w:lang w:val="fr-BE"/>
              </w:rPr>
              <w:t>alinéa 2,</w:t>
            </w:r>
            <w:r w:rsidRPr="005C4713">
              <w:rPr>
                <w:rFonts w:asciiTheme="minorHAnsi" w:hAnsiTheme="minorHAnsi" w:cstheme="minorHAnsi"/>
                <w:sz w:val="22"/>
                <w:vertAlign w:val="superscript"/>
                <w:lang w:val="fr-BE"/>
              </w:rPr>
              <w:t xml:space="preserve"> </w:t>
            </w:r>
            <w:r w:rsidRPr="005C4713">
              <w:rPr>
                <w:rFonts w:asciiTheme="minorHAnsi" w:hAnsiTheme="minorHAnsi" w:cstheme="minorHAnsi"/>
                <w:sz w:val="22"/>
                <w:lang w:val="fr-BE"/>
              </w:rPr>
              <w:t xml:space="preserve">prévoit plusieurs exceptions au principe de l’application de la méthode directe. </w:t>
            </w:r>
          </w:p>
        </w:tc>
        <w:tc>
          <w:tcPr>
            <w:tcW w:w="4508" w:type="dxa"/>
          </w:tcPr>
          <w:p w14:paraId="791F6185" w14:textId="45953741"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 xml:space="preserve">Wat de betaaldiensten betreft, voorziet artikel 127, § 2, tweede lid, in verschillende uitzonderingen op het principe van de toepassing van de directe methode. </w:t>
            </w:r>
          </w:p>
        </w:tc>
      </w:tr>
      <w:tr w:rsidR="004000A8" w:rsidRPr="00A80C6F" w14:paraId="068F7B94" w14:textId="77777777" w:rsidTr="0025113D">
        <w:tc>
          <w:tcPr>
            <w:tcW w:w="4508" w:type="dxa"/>
          </w:tcPr>
          <w:p w14:paraId="4C078562" w14:textId="77777777" w:rsidR="004000A8" w:rsidRPr="00136EDB" w:rsidRDefault="004000A8" w:rsidP="004000A8">
            <w:pPr>
              <w:jc w:val="both"/>
              <w:rPr>
                <w:rFonts w:asciiTheme="minorHAnsi" w:hAnsiTheme="minorHAnsi" w:cstheme="minorHAnsi"/>
                <w:sz w:val="22"/>
              </w:rPr>
            </w:pPr>
          </w:p>
        </w:tc>
        <w:tc>
          <w:tcPr>
            <w:tcW w:w="4508" w:type="dxa"/>
          </w:tcPr>
          <w:p w14:paraId="5794E7DA" w14:textId="77777777" w:rsidR="004000A8" w:rsidRPr="005C4713" w:rsidRDefault="004000A8" w:rsidP="004000A8">
            <w:pPr>
              <w:jc w:val="both"/>
              <w:rPr>
                <w:rFonts w:asciiTheme="minorHAnsi" w:hAnsiTheme="minorHAnsi" w:cstheme="minorHAnsi"/>
                <w:sz w:val="22"/>
              </w:rPr>
            </w:pPr>
          </w:p>
        </w:tc>
      </w:tr>
      <w:tr w:rsidR="004000A8" w:rsidRPr="00A80C6F" w14:paraId="12D87736" w14:textId="77777777" w:rsidTr="0025113D">
        <w:tc>
          <w:tcPr>
            <w:tcW w:w="4508" w:type="dxa"/>
          </w:tcPr>
          <w:p w14:paraId="189D6A75" w14:textId="15621767"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L’alinéa 2, 1°, renvoie aux services de communications électroniques pour lesquels une méthode d’identification directe entraîne des contraintes importantes pour les opérateurs et les abonnés et pour lesquels il existe des méthodes d’identification indirectes qui sont satisfaisantes pour les autorités. L’alinéa 2, 1°, premier tiret renvoie à l’offre de Wi-Fi (ou tout autre technologie) par un opérateur dans des lieux publics (hotspot). Généralement, une personne physique utilisera ce type de service de manière occasionnelle en dehors de sa résidence principale ou secondaire et du lieu où elle exerce une activité professionnelle. Soumettre ce type de service à une méthode directe d’identification créerait une barrière pour l’accès à ce type de service. </w:t>
            </w:r>
          </w:p>
        </w:tc>
        <w:tc>
          <w:tcPr>
            <w:tcW w:w="4508" w:type="dxa"/>
          </w:tcPr>
          <w:p w14:paraId="6A09BE5A" w14:textId="6F289A84"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 xml:space="preserve">Het tweede lid, 1°, verwijst naar de elektronische-communicatiediensten waarvoor een directe identificatiemethode hoge eisen met zich brengt voor de operatoren en abonnees en waarvoor indirecte identificatiemethodes bestaan die voor de autoriteiten voldoen. Het tweede lid, 1°, eerste streepje, verwijst naar het aanbod van wifi (of een andere technologie) door een operator op openbare plaatsen (hotspots). Gewoonlijk zal een natuurlijke persoon occasioneel van dergelijke diensten gebruikmaken buiten zijn hoofdverblijf of tweede verblijf en buiten de plaats waar hij zijn beroepsactiviteit uitoefent. Zo’n dienst aan een directe identificatiemethode onderwerpen zou een obstakel opwerpen om toegang te krijgen tot zo’n soort van dienst. </w:t>
            </w:r>
          </w:p>
        </w:tc>
      </w:tr>
      <w:tr w:rsidR="004000A8" w:rsidRPr="00A80C6F" w14:paraId="04D9073A" w14:textId="77777777" w:rsidTr="0025113D">
        <w:tc>
          <w:tcPr>
            <w:tcW w:w="4508" w:type="dxa"/>
          </w:tcPr>
          <w:p w14:paraId="401C28A5" w14:textId="77777777" w:rsidR="004000A8" w:rsidRPr="00136EDB" w:rsidRDefault="004000A8" w:rsidP="004000A8">
            <w:pPr>
              <w:jc w:val="both"/>
              <w:rPr>
                <w:rFonts w:asciiTheme="minorHAnsi" w:hAnsiTheme="minorHAnsi" w:cstheme="minorHAnsi"/>
                <w:sz w:val="22"/>
              </w:rPr>
            </w:pPr>
          </w:p>
        </w:tc>
        <w:tc>
          <w:tcPr>
            <w:tcW w:w="4508" w:type="dxa"/>
          </w:tcPr>
          <w:p w14:paraId="13502646" w14:textId="77777777" w:rsidR="004000A8" w:rsidRPr="005C4713" w:rsidRDefault="004000A8" w:rsidP="004000A8">
            <w:pPr>
              <w:jc w:val="both"/>
              <w:rPr>
                <w:rFonts w:asciiTheme="minorHAnsi" w:hAnsiTheme="minorHAnsi" w:cstheme="minorHAnsi"/>
                <w:sz w:val="22"/>
              </w:rPr>
            </w:pPr>
          </w:p>
        </w:tc>
      </w:tr>
      <w:tr w:rsidR="004000A8" w:rsidRPr="00A80C6F" w14:paraId="69217FAA" w14:textId="77777777" w:rsidTr="0025113D">
        <w:tc>
          <w:tcPr>
            <w:tcW w:w="4508" w:type="dxa"/>
          </w:tcPr>
          <w:p w14:paraId="11C164D4" w14:textId="1691B47E"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L’alinéa 2, 2°, reprend dans la loi une solution qui a été trouvée pour les étrangers qui résident dans des centres fermés ou des lieux d’hébergement </w:t>
            </w:r>
            <w:r w:rsidRPr="005C4713">
              <w:rPr>
                <w:rFonts w:asciiTheme="minorHAnsi" w:hAnsiTheme="minorHAnsi" w:cstheme="minorHAnsi"/>
                <w:color w:val="000000" w:themeColor="text1"/>
                <w:sz w:val="22"/>
                <w:lang w:val="fr-BE"/>
              </w:rPr>
              <w:t xml:space="preserve">au sens des articles 74/8 et 74/9 </w:t>
            </w:r>
            <w:r w:rsidRPr="005C4713">
              <w:rPr>
                <w:rFonts w:asciiTheme="minorHAnsi" w:hAnsiTheme="minorHAnsi" w:cstheme="minorHAnsi"/>
                <w:color w:val="000000" w:themeColor="text1"/>
                <w:sz w:val="22"/>
                <w:lang w:val="fr-BE"/>
              </w:rPr>
              <w:lastRenderedPageBreak/>
              <w:t xml:space="preserve">de la loi du </w:t>
            </w:r>
            <w:r w:rsidRPr="005C4713">
              <w:rPr>
                <w:rFonts w:asciiTheme="minorHAnsi" w:hAnsiTheme="minorHAnsi" w:cstheme="minorHAnsi"/>
                <w:color w:val="000000"/>
                <w:sz w:val="22"/>
                <w:lang w:val="fr-BE"/>
              </w:rPr>
              <w:t xml:space="preserve">15 décembre 1980 sur l'accès au territoire, le séjour, l'établissement et l'éloignement des étrangers. Cette solution </w:t>
            </w:r>
            <w:r w:rsidRPr="005C4713">
              <w:rPr>
                <w:rFonts w:asciiTheme="minorHAnsi" w:hAnsiTheme="minorHAnsi" w:cstheme="minorHAnsi"/>
                <w:sz w:val="22"/>
                <w:lang w:val="fr-BE"/>
              </w:rPr>
              <w:t>a été mise en place par l’arrêté ministériel du 31 août 2017 désignant en tant qu'autorité publique l'Office des étrangers du SPF Intérieur conformément à l'article 9, alinéa 2, de l'arrêté royal du 27 novembre 2016 relatif à l'identification de l'utilisateur final de services de communications électroniques publics mobiles fournis sur la base d'une carte prépayée  (MB 11/09/2017).</w:t>
            </w:r>
          </w:p>
        </w:tc>
        <w:tc>
          <w:tcPr>
            <w:tcW w:w="4508" w:type="dxa"/>
          </w:tcPr>
          <w:p w14:paraId="4345D5A2" w14:textId="506E39EB"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lastRenderedPageBreak/>
              <w:t xml:space="preserve">Het tweede lid, 2°, neemt in de wet een oplossing over die gevonden is voor vreemdelingen die verblijven in gesloten centra of woonunits in de zin van de artikelen 74/8 en </w:t>
            </w:r>
            <w:r w:rsidRPr="005C4713">
              <w:rPr>
                <w:rFonts w:asciiTheme="minorHAnsi" w:hAnsiTheme="minorHAnsi" w:cstheme="minorHAnsi"/>
                <w:sz w:val="22"/>
              </w:rPr>
              <w:lastRenderedPageBreak/>
              <w:t>74/9 van de wet van 15 december 1980 betreffende de toegang tot het grondgebied, het verblijf, de vestiging en de verwijdering van vreemdelingen.</w:t>
            </w:r>
            <w:r w:rsidRPr="005C4713">
              <w:rPr>
                <w:rFonts w:asciiTheme="minorHAnsi" w:hAnsiTheme="minorHAnsi" w:cstheme="minorHAnsi"/>
                <w:color w:val="000000"/>
                <w:sz w:val="22"/>
              </w:rPr>
              <w:t xml:space="preserve"> </w:t>
            </w:r>
            <w:r w:rsidRPr="005C4713">
              <w:rPr>
                <w:rFonts w:asciiTheme="minorHAnsi" w:hAnsiTheme="minorHAnsi" w:cstheme="minorHAnsi"/>
                <w:sz w:val="22"/>
              </w:rPr>
              <w:t xml:space="preserve">Deze oplossing is ingevoerd door het </w:t>
            </w:r>
            <w:r w:rsidRPr="005C4713">
              <w:rPr>
                <w:rFonts w:asciiTheme="minorHAnsi" w:hAnsiTheme="minorHAnsi" w:cstheme="minorHAnsi"/>
                <w:color w:val="000000"/>
                <w:sz w:val="22"/>
              </w:rPr>
              <w:t xml:space="preserve">ministerieel besluit van 31 augustus 2017 waarbij de FOD Binnenlandse zaken, Dienst Vreemdelingenzaken, wordt aangewezen als overheid overeenkomstig artikel 9, tweede lid, van het koninklijk besluit van 27 november 2016 betreffende de identificatie van de eindgebruiker van mobiele openbare elektronische-communicatiediensten die worden geleverd op basis van een </w:t>
            </w:r>
            <w:proofErr w:type="spellStart"/>
            <w:r w:rsidRPr="005C4713">
              <w:rPr>
                <w:rFonts w:asciiTheme="minorHAnsi" w:hAnsiTheme="minorHAnsi" w:cstheme="minorHAnsi"/>
                <w:color w:val="000000"/>
                <w:sz w:val="22"/>
              </w:rPr>
              <w:t>voorafbetaalde</w:t>
            </w:r>
            <w:proofErr w:type="spellEnd"/>
            <w:r w:rsidRPr="005C4713">
              <w:rPr>
                <w:rFonts w:asciiTheme="minorHAnsi" w:hAnsiTheme="minorHAnsi" w:cstheme="minorHAnsi"/>
                <w:color w:val="000000"/>
                <w:sz w:val="22"/>
              </w:rPr>
              <w:t xml:space="preserve"> kaart (</w:t>
            </w:r>
            <w:r>
              <w:rPr>
                <w:rFonts w:asciiTheme="minorHAnsi" w:hAnsiTheme="minorHAnsi" w:cstheme="minorHAnsi"/>
                <w:color w:val="000000"/>
                <w:sz w:val="22"/>
              </w:rPr>
              <w:t>BS</w:t>
            </w:r>
            <w:r w:rsidRPr="005C4713">
              <w:rPr>
                <w:rFonts w:asciiTheme="minorHAnsi" w:hAnsiTheme="minorHAnsi" w:cstheme="minorHAnsi"/>
                <w:color w:val="000000"/>
                <w:sz w:val="22"/>
              </w:rPr>
              <w:t xml:space="preserve"> 11/09/2017).</w:t>
            </w:r>
          </w:p>
        </w:tc>
      </w:tr>
      <w:tr w:rsidR="004000A8" w:rsidRPr="00A80C6F" w14:paraId="0F55087D" w14:textId="77777777" w:rsidTr="0025113D">
        <w:tc>
          <w:tcPr>
            <w:tcW w:w="4508" w:type="dxa"/>
          </w:tcPr>
          <w:p w14:paraId="47F79965" w14:textId="77777777" w:rsidR="004000A8" w:rsidRPr="00136EDB" w:rsidRDefault="004000A8" w:rsidP="004000A8">
            <w:pPr>
              <w:jc w:val="both"/>
              <w:rPr>
                <w:rFonts w:asciiTheme="minorHAnsi" w:hAnsiTheme="minorHAnsi" w:cstheme="minorHAnsi"/>
                <w:sz w:val="22"/>
              </w:rPr>
            </w:pPr>
          </w:p>
        </w:tc>
        <w:tc>
          <w:tcPr>
            <w:tcW w:w="4508" w:type="dxa"/>
          </w:tcPr>
          <w:p w14:paraId="00C48CAA" w14:textId="77777777" w:rsidR="004000A8" w:rsidRPr="005C4713" w:rsidRDefault="004000A8" w:rsidP="004000A8">
            <w:pPr>
              <w:jc w:val="both"/>
              <w:rPr>
                <w:rFonts w:asciiTheme="minorHAnsi" w:hAnsiTheme="minorHAnsi" w:cstheme="minorHAnsi"/>
                <w:sz w:val="22"/>
              </w:rPr>
            </w:pPr>
          </w:p>
        </w:tc>
      </w:tr>
      <w:tr w:rsidR="004000A8" w:rsidRPr="00A80C6F" w14:paraId="1AFB68A4" w14:textId="77777777" w:rsidTr="0025113D">
        <w:tc>
          <w:tcPr>
            <w:tcW w:w="4508" w:type="dxa"/>
          </w:tcPr>
          <w:p w14:paraId="5ED104DF" w14:textId="39EA18A5"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L’alinéa 2, 3°, laisse la possibilité au Roi de trouver des méthodes d’identification indirecte créatives pour des personnes qui ne disposent d’aucun des documents d’identité visés au paragraphe 5 de l’article 127 et qui ne résident pas dans des centres fermés ou des lieux d’hébergement.</w:t>
            </w:r>
          </w:p>
        </w:tc>
        <w:tc>
          <w:tcPr>
            <w:tcW w:w="4508" w:type="dxa"/>
          </w:tcPr>
          <w:p w14:paraId="13B4D27B" w14:textId="64C04D34"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Het tweede lid, 3°, laat de mogelijkheid aan de Koning om creatieve indirecte identificatiemethoden te vinden voor personen die over geen enkele van de identificatiedocumenten beschikken waarvan sprake in paragraaf 5 van artikel 127 en die niet in gesloten centra of woonunits verblijven.</w:t>
            </w:r>
          </w:p>
        </w:tc>
      </w:tr>
      <w:tr w:rsidR="004000A8" w:rsidRPr="00A80C6F" w14:paraId="35A5DE5D" w14:textId="77777777" w:rsidTr="0025113D">
        <w:tc>
          <w:tcPr>
            <w:tcW w:w="4508" w:type="dxa"/>
          </w:tcPr>
          <w:p w14:paraId="3F87A442" w14:textId="77777777" w:rsidR="004000A8" w:rsidRPr="00136EDB" w:rsidRDefault="004000A8" w:rsidP="004000A8">
            <w:pPr>
              <w:jc w:val="both"/>
              <w:rPr>
                <w:rFonts w:asciiTheme="minorHAnsi" w:hAnsiTheme="minorHAnsi" w:cstheme="minorHAnsi"/>
                <w:sz w:val="22"/>
              </w:rPr>
            </w:pPr>
          </w:p>
        </w:tc>
        <w:tc>
          <w:tcPr>
            <w:tcW w:w="4508" w:type="dxa"/>
          </w:tcPr>
          <w:p w14:paraId="51B55C61" w14:textId="77777777" w:rsidR="004000A8" w:rsidRPr="005C4713" w:rsidRDefault="004000A8" w:rsidP="004000A8">
            <w:pPr>
              <w:jc w:val="both"/>
              <w:rPr>
                <w:rFonts w:asciiTheme="minorHAnsi" w:hAnsiTheme="minorHAnsi" w:cstheme="minorHAnsi"/>
                <w:sz w:val="22"/>
              </w:rPr>
            </w:pPr>
          </w:p>
        </w:tc>
      </w:tr>
      <w:tr w:rsidR="004000A8" w:rsidRPr="00A80C6F" w14:paraId="3560F5E7" w14:textId="77777777" w:rsidTr="0025113D">
        <w:tc>
          <w:tcPr>
            <w:tcW w:w="4508" w:type="dxa"/>
          </w:tcPr>
          <w:p w14:paraId="4666C364" w14:textId="188CBA14" w:rsidR="004000A8" w:rsidRPr="005C4713" w:rsidRDefault="004000A8" w:rsidP="004000A8">
            <w:pPr>
              <w:jc w:val="both"/>
              <w:rPr>
                <w:rFonts w:asciiTheme="minorHAnsi" w:hAnsiTheme="minorHAnsi" w:cstheme="minorHAnsi"/>
                <w:b/>
                <w:bCs/>
                <w:sz w:val="22"/>
                <w:u w:val="single"/>
                <w:lang w:val="fr-BE"/>
              </w:rPr>
            </w:pPr>
            <w:bookmarkStart w:id="26" w:name="_Toc90638342"/>
            <w:bookmarkStart w:id="27" w:name="_Toc94800260"/>
            <w:r w:rsidRPr="005C4713">
              <w:rPr>
                <w:rFonts w:asciiTheme="minorHAnsi" w:hAnsiTheme="minorHAnsi" w:cstheme="minorHAnsi"/>
                <w:b/>
                <w:bCs/>
                <w:sz w:val="22"/>
                <w:u w:val="single"/>
                <w:lang w:val="fr-BE"/>
              </w:rPr>
              <w:t>Paragraphe 3 : conservation des données d’identification et de copies de documents d’identité par l’opérateur et durée de la conservation</w:t>
            </w:r>
            <w:bookmarkEnd w:id="26"/>
            <w:bookmarkEnd w:id="27"/>
            <w:r w:rsidRPr="005C4713">
              <w:rPr>
                <w:rFonts w:asciiTheme="minorHAnsi" w:hAnsiTheme="minorHAnsi" w:cstheme="minorHAnsi"/>
                <w:b/>
                <w:bCs/>
                <w:sz w:val="22"/>
                <w:u w:val="single"/>
                <w:lang w:val="fr-BE"/>
              </w:rPr>
              <w:t xml:space="preserve"> </w:t>
            </w:r>
          </w:p>
        </w:tc>
        <w:tc>
          <w:tcPr>
            <w:tcW w:w="4508" w:type="dxa"/>
          </w:tcPr>
          <w:p w14:paraId="6F629E54" w14:textId="69CB58BF" w:rsidR="004000A8" w:rsidRPr="00530AB0" w:rsidRDefault="004000A8" w:rsidP="004000A8">
            <w:pPr>
              <w:jc w:val="both"/>
              <w:rPr>
                <w:rFonts w:asciiTheme="minorHAnsi" w:hAnsiTheme="minorHAnsi" w:cstheme="minorHAnsi"/>
                <w:b/>
                <w:bCs/>
                <w:sz w:val="22"/>
                <w:u w:val="single"/>
              </w:rPr>
            </w:pPr>
            <w:bookmarkStart w:id="28" w:name="_Toc94800261"/>
            <w:r w:rsidRPr="00530AB0">
              <w:rPr>
                <w:rFonts w:asciiTheme="minorHAnsi" w:hAnsiTheme="minorHAnsi" w:cstheme="minorHAnsi"/>
                <w:b/>
                <w:bCs/>
                <w:sz w:val="22"/>
                <w:u w:val="single"/>
              </w:rPr>
              <w:t xml:space="preserve">Paragraaf 3: bewaring van de identificatiegegevens en </w:t>
            </w:r>
            <w:proofErr w:type="spellStart"/>
            <w:r w:rsidRPr="00530AB0">
              <w:rPr>
                <w:rFonts w:asciiTheme="minorHAnsi" w:hAnsiTheme="minorHAnsi" w:cstheme="minorHAnsi"/>
                <w:b/>
                <w:bCs/>
                <w:sz w:val="22"/>
                <w:u w:val="single"/>
              </w:rPr>
              <w:t>kopies</w:t>
            </w:r>
            <w:proofErr w:type="spellEnd"/>
            <w:r w:rsidRPr="00530AB0">
              <w:rPr>
                <w:rFonts w:asciiTheme="minorHAnsi" w:hAnsiTheme="minorHAnsi" w:cstheme="minorHAnsi"/>
                <w:b/>
                <w:bCs/>
                <w:sz w:val="22"/>
                <w:u w:val="single"/>
              </w:rPr>
              <w:t xml:space="preserve"> van identificatiedocumenten door de operator en duur van de bewaring</w:t>
            </w:r>
            <w:bookmarkEnd w:id="28"/>
            <w:r w:rsidRPr="00530AB0">
              <w:rPr>
                <w:rFonts w:asciiTheme="minorHAnsi" w:hAnsiTheme="minorHAnsi" w:cstheme="minorHAnsi"/>
                <w:b/>
                <w:bCs/>
                <w:sz w:val="22"/>
                <w:u w:val="single"/>
              </w:rPr>
              <w:t xml:space="preserve"> </w:t>
            </w:r>
          </w:p>
        </w:tc>
      </w:tr>
      <w:tr w:rsidR="004000A8" w:rsidRPr="00A80C6F" w14:paraId="455F75FF" w14:textId="77777777" w:rsidTr="0025113D">
        <w:tc>
          <w:tcPr>
            <w:tcW w:w="4508" w:type="dxa"/>
          </w:tcPr>
          <w:p w14:paraId="688C5203" w14:textId="77777777" w:rsidR="004000A8" w:rsidRPr="005C4713" w:rsidRDefault="004000A8" w:rsidP="004000A8">
            <w:pPr>
              <w:jc w:val="both"/>
              <w:rPr>
                <w:rFonts w:asciiTheme="minorHAnsi" w:hAnsiTheme="minorHAnsi" w:cstheme="minorHAnsi"/>
                <w:sz w:val="22"/>
              </w:rPr>
            </w:pPr>
          </w:p>
        </w:tc>
        <w:tc>
          <w:tcPr>
            <w:tcW w:w="4508" w:type="dxa"/>
          </w:tcPr>
          <w:p w14:paraId="6A331953" w14:textId="77777777" w:rsidR="004000A8" w:rsidRPr="005C4713" w:rsidRDefault="004000A8" w:rsidP="004000A8">
            <w:pPr>
              <w:jc w:val="both"/>
              <w:rPr>
                <w:rFonts w:asciiTheme="minorHAnsi" w:hAnsiTheme="minorHAnsi" w:cstheme="minorHAnsi"/>
                <w:sz w:val="22"/>
              </w:rPr>
            </w:pPr>
          </w:p>
        </w:tc>
      </w:tr>
      <w:tr w:rsidR="004000A8" w:rsidRPr="00A80C6F" w14:paraId="5EFF662A" w14:textId="77777777" w:rsidTr="0025113D">
        <w:tc>
          <w:tcPr>
            <w:tcW w:w="4508" w:type="dxa"/>
          </w:tcPr>
          <w:p w14:paraId="5F93217A" w14:textId="6329BB62"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L’alinéa 1</w:t>
            </w:r>
            <w:r w:rsidRPr="005C4713">
              <w:rPr>
                <w:rFonts w:asciiTheme="minorHAnsi" w:hAnsiTheme="minorHAnsi" w:cstheme="minorHAnsi"/>
                <w:sz w:val="22"/>
                <w:vertAlign w:val="superscript"/>
                <w:lang w:val="fr-BE"/>
              </w:rPr>
              <w:t>er</w:t>
            </w:r>
            <w:r w:rsidRPr="005C4713">
              <w:rPr>
                <w:rFonts w:asciiTheme="minorHAnsi" w:hAnsiTheme="minorHAnsi" w:cstheme="minorHAnsi"/>
                <w:sz w:val="22"/>
                <w:lang w:val="fr-BE"/>
              </w:rPr>
              <w:t xml:space="preserve"> reprend une disposition de l’actuel article 127, §</w:t>
            </w:r>
            <w:r>
              <w:rPr>
                <w:rFonts w:asciiTheme="minorHAnsi" w:hAnsiTheme="minorHAnsi" w:cstheme="minorHAnsi"/>
                <w:sz w:val="22"/>
                <w:lang w:val="fr-BE"/>
              </w:rPr>
              <w:t xml:space="preserve"> </w:t>
            </w:r>
            <w:r w:rsidRPr="005C4713">
              <w:rPr>
                <w:rFonts w:asciiTheme="minorHAnsi" w:hAnsiTheme="minorHAnsi" w:cstheme="minorHAnsi"/>
                <w:sz w:val="22"/>
                <w:lang w:val="fr-BE"/>
              </w:rPr>
              <w:t>1</w:t>
            </w:r>
            <w:r w:rsidRPr="005C4713">
              <w:rPr>
                <w:rFonts w:asciiTheme="minorHAnsi" w:hAnsiTheme="minorHAnsi" w:cstheme="minorHAnsi"/>
                <w:sz w:val="22"/>
                <w:vertAlign w:val="superscript"/>
                <w:lang w:val="fr-BE"/>
              </w:rPr>
              <w:t>er</w:t>
            </w:r>
            <w:r w:rsidRPr="005C4713">
              <w:rPr>
                <w:rFonts w:asciiTheme="minorHAnsi" w:hAnsiTheme="minorHAnsi" w:cstheme="minorHAnsi"/>
                <w:sz w:val="22"/>
                <w:lang w:val="fr-BE"/>
              </w:rPr>
              <w:t xml:space="preserve">. </w:t>
            </w:r>
          </w:p>
        </w:tc>
        <w:tc>
          <w:tcPr>
            <w:tcW w:w="4508" w:type="dxa"/>
          </w:tcPr>
          <w:p w14:paraId="2A782A66" w14:textId="46BEF656"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Het eerste lid neemt een bepaling over van het huidige artikel 127, § 1.</w:t>
            </w:r>
          </w:p>
        </w:tc>
      </w:tr>
      <w:tr w:rsidR="004000A8" w:rsidRPr="00A80C6F" w14:paraId="2D43C4A7" w14:textId="77777777" w:rsidTr="0025113D">
        <w:tc>
          <w:tcPr>
            <w:tcW w:w="4508" w:type="dxa"/>
          </w:tcPr>
          <w:p w14:paraId="0BA48D87" w14:textId="77777777" w:rsidR="004000A8" w:rsidRPr="00136EDB" w:rsidRDefault="004000A8" w:rsidP="004000A8">
            <w:pPr>
              <w:jc w:val="both"/>
              <w:rPr>
                <w:rFonts w:asciiTheme="minorHAnsi" w:hAnsiTheme="minorHAnsi" w:cstheme="minorHAnsi"/>
                <w:sz w:val="22"/>
              </w:rPr>
            </w:pPr>
          </w:p>
        </w:tc>
        <w:tc>
          <w:tcPr>
            <w:tcW w:w="4508" w:type="dxa"/>
          </w:tcPr>
          <w:p w14:paraId="42D62B31" w14:textId="77777777" w:rsidR="004000A8" w:rsidRPr="005C4713" w:rsidRDefault="004000A8" w:rsidP="004000A8">
            <w:pPr>
              <w:jc w:val="both"/>
              <w:rPr>
                <w:rFonts w:asciiTheme="minorHAnsi" w:hAnsiTheme="minorHAnsi" w:cstheme="minorHAnsi"/>
                <w:sz w:val="22"/>
              </w:rPr>
            </w:pPr>
          </w:p>
        </w:tc>
      </w:tr>
      <w:tr w:rsidR="004000A8" w:rsidRPr="00A80C6F" w14:paraId="7EBC0FBC" w14:textId="77777777" w:rsidTr="0025113D">
        <w:tc>
          <w:tcPr>
            <w:tcW w:w="4508" w:type="dxa"/>
          </w:tcPr>
          <w:p w14:paraId="53739A27" w14:textId="635DAF10"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L’alinéa 2 provient de l’actuel article 127, §</w:t>
            </w:r>
            <w:r>
              <w:rPr>
                <w:rFonts w:asciiTheme="minorHAnsi" w:hAnsiTheme="minorHAnsi" w:cstheme="minorHAnsi"/>
                <w:sz w:val="22"/>
                <w:lang w:val="fr-BE"/>
              </w:rPr>
              <w:t xml:space="preserve"> </w:t>
            </w:r>
            <w:r w:rsidRPr="005C4713">
              <w:rPr>
                <w:rFonts w:asciiTheme="minorHAnsi" w:hAnsiTheme="minorHAnsi" w:cstheme="minorHAnsi"/>
                <w:sz w:val="22"/>
                <w:lang w:val="fr-BE"/>
              </w:rPr>
              <w:t>1</w:t>
            </w:r>
            <w:r w:rsidRPr="005C4713">
              <w:rPr>
                <w:rFonts w:asciiTheme="minorHAnsi" w:hAnsiTheme="minorHAnsi" w:cstheme="minorHAnsi"/>
                <w:sz w:val="22"/>
                <w:vertAlign w:val="superscript"/>
                <w:lang w:val="fr-BE"/>
              </w:rPr>
              <w:t>er</w:t>
            </w:r>
            <w:r w:rsidRPr="005C4713">
              <w:rPr>
                <w:rFonts w:asciiTheme="minorHAnsi" w:hAnsiTheme="minorHAnsi" w:cstheme="minorHAnsi"/>
                <w:sz w:val="22"/>
                <w:lang w:val="fr-BE"/>
              </w:rPr>
              <w:t>.</w:t>
            </w:r>
          </w:p>
        </w:tc>
        <w:tc>
          <w:tcPr>
            <w:tcW w:w="4508" w:type="dxa"/>
          </w:tcPr>
          <w:p w14:paraId="14EDB817" w14:textId="56E247DA"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Het tweede lid komt uit het huidige artikel 127, § 1.</w:t>
            </w:r>
          </w:p>
        </w:tc>
      </w:tr>
      <w:tr w:rsidR="004000A8" w:rsidRPr="00A80C6F" w14:paraId="05A2970D" w14:textId="77777777" w:rsidTr="0025113D">
        <w:tc>
          <w:tcPr>
            <w:tcW w:w="4508" w:type="dxa"/>
          </w:tcPr>
          <w:p w14:paraId="16F3B42B" w14:textId="77777777" w:rsidR="004000A8" w:rsidRPr="00136EDB" w:rsidRDefault="004000A8" w:rsidP="004000A8">
            <w:pPr>
              <w:jc w:val="both"/>
              <w:rPr>
                <w:rFonts w:asciiTheme="minorHAnsi" w:hAnsiTheme="minorHAnsi" w:cstheme="minorHAnsi"/>
                <w:sz w:val="22"/>
              </w:rPr>
            </w:pPr>
          </w:p>
        </w:tc>
        <w:tc>
          <w:tcPr>
            <w:tcW w:w="4508" w:type="dxa"/>
          </w:tcPr>
          <w:p w14:paraId="1E53885A" w14:textId="77777777" w:rsidR="004000A8" w:rsidRPr="005C4713" w:rsidRDefault="004000A8" w:rsidP="004000A8">
            <w:pPr>
              <w:jc w:val="both"/>
              <w:rPr>
                <w:rFonts w:asciiTheme="minorHAnsi" w:hAnsiTheme="minorHAnsi" w:cstheme="minorHAnsi"/>
                <w:sz w:val="22"/>
              </w:rPr>
            </w:pPr>
          </w:p>
        </w:tc>
      </w:tr>
      <w:tr w:rsidR="004000A8" w:rsidRPr="00A80C6F" w14:paraId="5CA3617F" w14:textId="77777777" w:rsidTr="0025113D">
        <w:tc>
          <w:tcPr>
            <w:tcW w:w="4508" w:type="dxa"/>
          </w:tcPr>
          <w:p w14:paraId="1DA2FB08" w14:textId="41EB5AAD"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La durée de conservation des données d’identification et des copies de documents d’identité est de 12 mois après la fin du contrat comme dans l’article 127 actuel mais est dorénavant fixée directement dans cet article (et non plus par référence vers l’article 126). </w:t>
            </w:r>
          </w:p>
        </w:tc>
        <w:tc>
          <w:tcPr>
            <w:tcW w:w="4508" w:type="dxa"/>
          </w:tcPr>
          <w:p w14:paraId="108515D6" w14:textId="7D026893"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 xml:space="preserve">De duur van bewaring van de identificatiegegevens en van de </w:t>
            </w:r>
            <w:proofErr w:type="spellStart"/>
            <w:r w:rsidRPr="005C4713">
              <w:rPr>
                <w:rFonts w:asciiTheme="minorHAnsi" w:hAnsiTheme="minorHAnsi" w:cstheme="minorHAnsi"/>
                <w:sz w:val="22"/>
              </w:rPr>
              <w:t>kopies</w:t>
            </w:r>
            <w:proofErr w:type="spellEnd"/>
            <w:r w:rsidRPr="005C4713">
              <w:rPr>
                <w:rFonts w:asciiTheme="minorHAnsi" w:hAnsiTheme="minorHAnsi" w:cstheme="minorHAnsi"/>
                <w:sz w:val="22"/>
              </w:rPr>
              <w:t xml:space="preserve"> van identificatiedocumenten bedraagt 12 maanden na het einde van het contract, zoals in het huidige artikel 127, maar wordt voortaan rechtstreeks in dat artikel vastgesteld (en niet meer via verwijzing naar artikel 126).</w:t>
            </w:r>
          </w:p>
        </w:tc>
      </w:tr>
      <w:tr w:rsidR="004000A8" w:rsidRPr="00A80C6F" w14:paraId="16AFA705" w14:textId="77777777" w:rsidTr="0025113D">
        <w:tc>
          <w:tcPr>
            <w:tcW w:w="4508" w:type="dxa"/>
          </w:tcPr>
          <w:p w14:paraId="6DA5378C" w14:textId="77777777" w:rsidR="004000A8" w:rsidRPr="005C4713" w:rsidRDefault="004000A8" w:rsidP="004000A8">
            <w:pPr>
              <w:jc w:val="both"/>
              <w:rPr>
                <w:rFonts w:asciiTheme="minorHAnsi" w:hAnsiTheme="minorHAnsi" w:cstheme="minorHAnsi"/>
                <w:sz w:val="22"/>
              </w:rPr>
            </w:pPr>
          </w:p>
        </w:tc>
        <w:tc>
          <w:tcPr>
            <w:tcW w:w="4508" w:type="dxa"/>
          </w:tcPr>
          <w:p w14:paraId="7650D95C" w14:textId="77777777" w:rsidR="004000A8" w:rsidRPr="005C4713" w:rsidRDefault="004000A8" w:rsidP="004000A8">
            <w:pPr>
              <w:jc w:val="both"/>
              <w:rPr>
                <w:rFonts w:asciiTheme="minorHAnsi" w:hAnsiTheme="minorHAnsi" w:cstheme="minorHAnsi"/>
                <w:sz w:val="22"/>
              </w:rPr>
            </w:pPr>
          </w:p>
        </w:tc>
      </w:tr>
      <w:tr w:rsidR="004000A8" w:rsidRPr="00A80C6F" w14:paraId="7F4CC2AC" w14:textId="77777777" w:rsidTr="0025113D">
        <w:tc>
          <w:tcPr>
            <w:tcW w:w="4508" w:type="dxa"/>
          </w:tcPr>
          <w:p w14:paraId="5C83398A" w14:textId="472676A8" w:rsidR="004000A8" w:rsidRPr="005C4713" w:rsidRDefault="004000A8" w:rsidP="004000A8">
            <w:pPr>
              <w:jc w:val="both"/>
              <w:rPr>
                <w:rFonts w:asciiTheme="minorHAnsi" w:hAnsiTheme="minorHAnsi" w:cstheme="minorHAnsi"/>
                <w:b/>
                <w:bCs/>
                <w:sz w:val="22"/>
                <w:u w:val="single"/>
              </w:rPr>
            </w:pPr>
            <w:bookmarkStart w:id="29" w:name="_Toc90638343"/>
            <w:bookmarkStart w:id="30" w:name="_Toc94800262"/>
            <w:proofErr w:type="spellStart"/>
            <w:r w:rsidRPr="005C4713">
              <w:rPr>
                <w:rFonts w:asciiTheme="minorHAnsi" w:hAnsiTheme="minorHAnsi" w:cstheme="minorHAnsi"/>
                <w:b/>
                <w:bCs/>
                <w:sz w:val="22"/>
                <w:u w:val="single"/>
              </w:rPr>
              <w:t>Paragraphe</w:t>
            </w:r>
            <w:proofErr w:type="spellEnd"/>
            <w:r w:rsidRPr="005C4713">
              <w:rPr>
                <w:rFonts w:asciiTheme="minorHAnsi" w:hAnsiTheme="minorHAnsi" w:cstheme="minorHAnsi"/>
                <w:b/>
                <w:bCs/>
                <w:sz w:val="22"/>
                <w:u w:val="single"/>
              </w:rPr>
              <w:t xml:space="preserve"> 4 : </w:t>
            </w:r>
            <w:proofErr w:type="spellStart"/>
            <w:r w:rsidRPr="005C4713">
              <w:rPr>
                <w:rFonts w:asciiTheme="minorHAnsi" w:hAnsiTheme="minorHAnsi" w:cstheme="minorHAnsi"/>
                <w:b/>
                <w:bCs/>
                <w:sz w:val="22"/>
                <w:u w:val="single"/>
              </w:rPr>
              <w:t>fiabilité</w:t>
            </w:r>
            <w:proofErr w:type="spellEnd"/>
            <w:r w:rsidRPr="005C4713">
              <w:rPr>
                <w:rFonts w:asciiTheme="minorHAnsi" w:hAnsiTheme="minorHAnsi" w:cstheme="minorHAnsi"/>
                <w:b/>
                <w:bCs/>
                <w:sz w:val="22"/>
                <w:u w:val="single"/>
              </w:rPr>
              <w:t xml:space="preserve"> de </w:t>
            </w:r>
            <w:proofErr w:type="spellStart"/>
            <w:r w:rsidRPr="005C4713">
              <w:rPr>
                <w:rFonts w:asciiTheme="minorHAnsi" w:hAnsiTheme="minorHAnsi" w:cstheme="minorHAnsi"/>
                <w:b/>
                <w:bCs/>
                <w:sz w:val="22"/>
                <w:u w:val="single"/>
              </w:rPr>
              <w:t>l’identification</w:t>
            </w:r>
            <w:bookmarkEnd w:id="29"/>
            <w:bookmarkEnd w:id="30"/>
            <w:proofErr w:type="spellEnd"/>
          </w:p>
        </w:tc>
        <w:tc>
          <w:tcPr>
            <w:tcW w:w="4508" w:type="dxa"/>
          </w:tcPr>
          <w:p w14:paraId="31435626" w14:textId="29A2DF7A" w:rsidR="004000A8" w:rsidRPr="005C4713" w:rsidRDefault="004000A8" w:rsidP="004000A8">
            <w:pPr>
              <w:jc w:val="both"/>
              <w:rPr>
                <w:rFonts w:asciiTheme="minorHAnsi" w:hAnsiTheme="minorHAnsi" w:cstheme="minorHAnsi"/>
                <w:b/>
                <w:bCs/>
                <w:sz w:val="22"/>
                <w:u w:val="single"/>
              </w:rPr>
            </w:pPr>
            <w:bookmarkStart w:id="31" w:name="_Toc94800263"/>
            <w:r w:rsidRPr="005C4713">
              <w:rPr>
                <w:rFonts w:asciiTheme="minorHAnsi" w:hAnsiTheme="minorHAnsi" w:cstheme="minorHAnsi"/>
                <w:b/>
                <w:bCs/>
                <w:sz w:val="22"/>
                <w:u w:val="single"/>
              </w:rPr>
              <w:t>Paragraaf 4: betrouwbaarheid van de identificatie</w:t>
            </w:r>
            <w:bookmarkEnd w:id="31"/>
          </w:p>
        </w:tc>
      </w:tr>
      <w:tr w:rsidR="004000A8" w:rsidRPr="00A80C6F" w14:paraId="4B2B1720" w14:textId="77777777" w:rsidTr="0025113D">
        <w:tc>
          <w:tcPr>
            <w:tcW w:w="4508" w:type="dxa"/>
          </w:tcPr>
          <w:p w14:paraId="665931FD" w14:textId="77777777" w:rsidR="004000A8" w:rsidRPr="005C4713" w:rsidRDefault="004000A8" w:rsidP="004000A8">
            <w:pPr>
              <w:jc w:val="both"/>
              <w:rPr>
                <w:rFonts w:asciiTheme="minorHAnsi" w:hAnsiTheme="minorHAnsi" w:cstheme="minorHAnsi"/>
                <w:sz w:val="22"/>
              </w:rPr>
            </w:pPr>
          </w:p>
        </w:tc>
        <w:tc>
          <w:tcPr>
            <w:tcW w:w="4508" w:type="dxa"/>
          </w:tcPr>
          <w:p w14:paraId="06DF9A32" w14:textId="77777777" w:rsidR="004000A8" w:rsidRPr="005C4713" w:rsidRDefault="004000A8" w:rsidP="004000A8">
            <w:pPr>
              <w:jc w:val="both"/>
              <w:rPr>
                <w:rFonts w:asciiTheme="minorHAnsi" w:hAnsiTheme="minorHAnsi" w:cstheme="minorHAnsi"/>
                <w:sz w:val="22"/>
              </w:rPr>
            </w:pPr>
          </w:p>
        </w:tc>
      </w:tr>
      <w:tr w:rsidR="004000A8" w:rsidRPr="00A80C6F" w14:paraId="26A3D307" w14:textId="77777777" w:rsidTr="0025113D">
        <w:tc>
          <w:tcPr>
            <w:tcW w:w="4508" w:type="dxa"/>
          </w:tcPr>
          <w:p w14:paraId="29FE32C3" w14:textId="6FB3551D"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BE"/>
              </w:rPr>
              <w:t xml:space="preserve">Il est essentiel que les opérateurs assurent, dans les limites de leurs moyens, que l’identification de l’abonné qui est une personne physique est fiable. </w:t>
            </w:r>
          </w:p>
        </w:tc>
        <w:tc>
          <w:tcPr>
            <w:tcW w:w="4508" w:type="dxa"/>
          </w:tcPr>
          <w:p w14:paraId="17EE28E7" w14:textId="4DD51BD7"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 xml:space="preserve">Het is van fundamenteel belang dat de operatoren binnen de grenzen van hun middelen garanderen dat de identificatie van de abonnee die een natuurlijke persoon is, betrouwbaar is. </w:t>
            </w:r>
          </w:p>
        </w:tc>
      </w:tr>
      <w:tr w:rsidR="004000A8" w:rsidRPr="00A80C6F" w14:paraId="0E840DAA" w14:textId="77777777" w:rsidTr="0025113D">
        <w:tc>
          <w:tcPr>
            <w:tcW w:w="4508" w:type="dxa"/>
          </w:tcPr>
          <w:p w14:paraId="7C16E691" w14:textId="77777777" w:rsidR="004000A8" w:rsidRPr="00136EDB" w:rsidRDefault="004000A8" w:rsidP="004000A8">
            <w:pPr>
              <w:jc w:val="both"/>
              <w:rPr>
                <w:rFonts w:asciiTheme="minorHAnsi" w:hAnsiTheme="minorHAnsi" w:cstheme="minorHAnsi"/>
                <w:sz w:val="22"/>
              </w:rPr>
            </w:pPr>
          </w:p>
        </w:tc>
        <w:tc>
          <w:tcPr>
            <w:tcW w:w="4508" w:type="dxa"/>
          </w:tcPr>
          <w:p w14:paraId="15984B0E" w14:textId="77777777" w:rsidR="004000A8" w:rsidRPr="005C4713" w:rsidRDefault="004000A8" w:rsidP="004000A8">
            <w:pPr>
              <w:jc w:val="both"/>
              <w:rPr>
                <w:rFonts w:asciiTheme="minorHAnsi" w:hAnsiTheme="minorHAnsi" w:cstheme="minorHAnsi"/>
                <w:sz w:val="22"/>
              </w:rPr>
            </w:pPr>
          </w:p>
        </w:tc>
      </w:tr>
      <w:tr w:rsidR="004000A8" w:rsidRPr="00A80C6F" w14:paraId="5C8AC8E4" w14:textId="77777777" w:rsidTr="0025113D">
        <w:tc>
          <w:tcPr>
            <w:tcW w:w="4508" w:type="dxa"/>
          </w:tcPr>
          <w:p w14:paraId="4495BF05" w14:textId="2CFE60B2"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pacing w:val="-3"/>
                <w:sz w:val="22"/>
                <w:lang w:val="fr-FR"/>
              </w:rPr>
              <w:lastRenderedPageBreak/>
              <w:t xml:space="preserve">Afin de faciliter la tâche de l’opérateur d’assurer la fiabilité de l’identification,  l’article 127 vise dorénavant le recours au traitement automatisé de données biométriques. En pratique, l’opérateur peut comparer des photos que l’abonné prend lui-même de son visage avec la photo figurant sur son </w:t>
            </w:r>
            <w:r>
              <w:rPr>
                <w:rFonts w:asciiTheme="minorHAnsi" w:hAnsiTheme="minorHAnsi" w:cstheme="minorHAnsi"/>
                <w:spacing w:val="-3"/>
                <w:sz w:val="22"/>
                <w:lang w:val="fr-FR"/>
              </w:rPr>
              <w:t>document d’identification</w:t>
            </w:r>
            <w:r w:rsidRPr="005C4713">
              <w:rPr>
                <w:rFonts w:asciiTheme="minorHAnsi" w:hAnsiTheme="minorHAnsi" w:cstheme="minorHAnsi"/>
                <w:spacing w:val="-3"/>
                <w:sz w:val="22"/>
                <w:lang w:val="fr-FR"/>
              </w:rPr>
              <w:t xml:space="preserve">. De la sorte, l’opérateur peut s’assurer que la personne qui entend s’identifier est bien la même personne que la personne dont la photo se trouve sur le </w:t>
            </w:r>
            <w:r>
              <w:rPr>
                <w:rFonts w:asciiTheme="minorHAnsi" w:hAnsiTheme="minorHAnsi" w:cstheme="minorHAnsi"/>
                <w:spacing w:val="-3"/>
                <w:sz w:val="22"/>
                <w:lang w:val="fr-FR"/>
              </w:rPr>
              <w:t>document d’identification</w:t>
            </w:r>
            <w:r w:rsidRPr="005C4713">
              <w:rPr>
                <w:rFonts w:asciiTheme="minorHAnsi" w:hAnsiTheme="minorHAnsi" w:cstheme="minorHAnsi"/>
                <w:spacing w:val="-3"/>
                <w:sz w:val="22"/>
                <w:lang w:val="fr-FR"/>
              </w:rPr>
              <w:t>.</w:t>
            </w:r>
          </w:p>
        </w:tc>
        <w:tc>
          <w:tcPr>
            <w:tcW w:w="4508" w:type="dxa"/>
          </w:tcPr>
          <w:p w14:paraId="3FCDFDB4" w14:textId="0F5DFF67"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pacing w:val="-3"/>
                <w:sz w:val="22"/>
              </w:rPr>
              <w:t xml:space="preserve">Teneinde de taak van de operator om de betrouwbaarheid van de identificatie te waarborgen, te vergemakkelijken, beoogt artikel 127 voortaan het gebruik van de geautomatiseerde verwerking van biometrische gegevens. In de praktijk kan de operator foto’s die de abonnee zelf van zijn gezicht neemt vergelijken met de foto die op zijn </w:t>
            </w:r>
            <w:r>
              <w:rPr>
                <w:rFonts w:asciiTheme="minorHAnsi" w:hAnsiTheme="minorHAnsi" w:cstheme="minorHAnsi"/>
                <w:color w:val="000000" w:themeColor="text1"/>
                <w:sz w:val="22"/>
              </w:rPr>
              <w:t>identificatiedocument</w:t>
            </w:r>
            <w:r w:rsidRPr="005C4713">
              <w:rPr>
                <w:rFonts w:asciiTheme="minorHAnsi" w:hAnsiTheme="minorHAnsi" w:cstheme="minorHAnsi"/>
                <w:spacing w:val="-3"/>
                <w:sz w:val="22"/>
              </w:rPr>
              <w:t xml:space="preserve">staat. Op die manier kan de operator zich ervan vergewissen dat de persoon die zich wil identificeren wel degelijk dezelfde persoon is als diegene van wie de foto op het </w:t>
            </w:r>
            <w:r>
              <w:rPr>
                <w:rFonts w:asciiTheme="minorHAnsi" w:hAnsiTheme="minorHAnsi" w:cstheme="minorHAnsi"/>
                <w:color w:val="000000" w:themeColor="text1"/>
                <w:sz w:val="22"/>
              </w:rPr>
              <w:t>identificatiedocument</w:t>
            </w:r>
            <w:r w:rsidRPr="005C4713">
              <w:rPr>
                <w:rFonts w:asciiTheme="minorHAnsi" w:hAnsiTheme="minorHAnsi" w:cstheme="minorHAnsi"/>
                <w:spacing w:val="-3"/>
                <w:sz w:val="22"/>
              </w:rPr>
              <w:t>staat.</w:t>
            </w:r>
          </w:p>
        </w:tc>
      </w:tr>
      <w:tr w:rsidR="004000A8" w:rsidRPr="00A80C6F" w14:paraId="7CC520E4" w14:textId="77777777" w:rsidTr="0025113D">
        <w:tc>
          <w:tcPr>
            <w:tcW w:w="4508" w:type="dxa"/>
          </w:tcPr>
          <w:p w14:paraId="049DDA7F" w14:textId="77777777" w:rsidR="004000A8" w:rsidRPr="00136EDB" w:rsidRDefault="004000A8" w:rsidP="004000A8">
            <w:pPr>
              <w:jc w:val="both"/>
              <w:rPr>
                <w:rFonts w:asciiTheme="minorHAnsi" w:hAnsiTheme="minorHAnsi" w:cstheme="minorHAnsi"/>
                <w:spacing w:val="-3"/>
                <w:sz w:val="22"/>
              </w:rPr>
            </w:pPr>
          </w:p>
        </w:tc>
        <w:tc>
          <w:tcPr>
            <w:tcW w:w="4508" w:type="dxa"/>
          </w:tcPr>
          <w:p w14:paraId="36D3F75B" w14:textId="77777777" w:rsidR="004000A8" w:rsidRPr="005C4713" w:rsidRDefault="004000A8" w:rsidP="004000A8">
            <w:pPr>
              <w:jc w:val="both"/>
              <w:rPr>
                <w:rFonts w:asciiTheme="minorHAnsi" w:hAnsiTheme="minorHAnsi" w:cstheme="minorHAnsi"/>
                <w:spacing w:val="-3"/>
                <w:sz w:val="22"/>
              </w:rPr>
            </w:pPr>
          </w:p>
        </w:tc>
      </w:tr>
      <w:tr w:rsidR="004000A8" w:rsidRPr="00A80C6F" w14:paraId="54D2888A" w14:textId="77777777" w:rsidTr="0025113D">
        <w:tc>
          <w:tcPr>
            <w:tcW w:w="4508" w:type="dxa"/>
          </w:tcPr>
          <w:p w14:paraId="7FED90E8" w14:textId="3F490363"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pacing w:val="-3"/>
                <w:sz w:val="22"/>
                <w:lang w:val="fr-FR"/>
              </w:rPr>
              <w:t xml:space="preserve">Lorsque les résultats du traitement automatisé de données biométriques ne sont pas concluants pour une personne spécifique, l’opérateur pourra faire examiner par ses experts l’identification de cette personne.  </w:t>
            </w:r>
          </w:p>
        </w:tc>
        <w:tc>
          <w:tcPr>
            <w:tcW w:w="4508" w:type="dxa"/>
          </w:tcPr>
          <w:p w14:paraId="57DD0340" w14:textId="6F13D0C4"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Wanneer de resultaten van de geautomatiseerde verwerking van biometrische gegevens niet overtuigend zijn voor een specifieke persoon, zal de operator de identificatie van deze persoon kunnen doen onderzoeken door zijn experten.</w:t>
            </w:r>
          </w:p>
        </w:tc>
      </w:tr>
      <w:tr w:rsidR="004000A8" w:rsidRPr="00A80C6F" w14:paraId="5579A880" w14:textId="77777777" w:rsidTr="0025113D">
        <w:tc>
          <w:tcPr>
            <w:tcW w:w="4508" w:type="dxa"/>
          </w:tcPr>
          <w:p w14:paraId="6C08FA59" w14:textId="77777777" w:rsidR="004000A8" w:rsidRPr="005C4713" w:rsidRDefault="004000A8" w:rsidP="004000A8">
            <w:pPr>
              <w:jc w:val="both"/>
              <w:rPr>
                <w:rFonts w:asciiTheme="minorHAnsi" w:hAnsiTheme="minorHAnsi" w:cstheme="minorHAnsi"/>
                <w:sz w:val="22"/>
              </w:rPr>
            </w:pPr>
          </w:p>
        </w:tc>
        <w:tc>
          <w:tcPr>
            <w:tcW w:w="4508" w:type="dxa"/>
          </w:tcPr>
          <w:p w14:paraId="2F79247D" w14:textId="77777777" w:rsidR="004000A8" w:rsidRPr="005C4713" w:rsidRDefault="004000A8" w:rsidP="004000A8">
            <w:pPr>
              <w:jc w:val="both"/>
              <w:rPr>
                <w:rFonts w:asciiTheme="minorHAnsi" w:hAnsiTheme="minorHAnsi" w:cstheme="minorHAnsi"/>
                <w:sz w:val="22"/>
              </w:rPr>
            </w:pPr>
          </w:p>
        </w:tc>
      </w:tr>
      <w:tr w:rsidR="004000A8" w:rsidRPr="00A80C6F" w14:paraId="5933446C" w14:textId="77777777" w:rsidTr="0025113D">
        <w:tc>
          <w:tcPr>
            <w:tcW w:w="4508" w:type="dxa"/>
          </w:tcPr>
          <w:p w14:paraId="50F31B3B" w14:textId="27DE40FE"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pacing w:val="-3"/>
                <w:sz w:val="22"/>
                <w:lang w:val="fr-FR"/>
              </w:rPr>
              <w:t>La modification législative est introduite pour tenir compte de l’article 6, § 4, de la loi du 19 juillet 1991 relative aux registres de la population, aux cartes d'identité, aux cartes des étrangers et aux documents de séjour, tel que modifié par la loi du 25/11/2018. Il ressort de cet article que la photographie du titulaire ne peut être utilisée que si cette utilisation est autorisée par ou en vertu d'une loi, d'un décret ou d'une ordonnance.</w:t>
            </w:r>
          </w:p>
        </w:tc>
        <w:tc>
          <w:tcPr>
            <w:tcW w:w="4508" w:type="dxa"/>
          </w:tcPr>
          <w:p w14:paraId="19688140" w14:textId="14700626"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pacing w:val="-3"/>
                <w:sz w:val="22"/>
              </w:rPr>
              <w:t>De wetswijziging wordt ingevoerd om rekening te houden met artikel 6, § 4, van de wet van 19 juli 1991 betreffende de bevolkingsregisters, de identiteitskaarten, de vreemdelingenkaarten en de verblijfsdocumenten, zoals gewijzigd bij de wet van 25/11/2018. Uit dat artikel blijkt dat de foto van de houder maar mag worden gebruikt als dat gebruik is toegestaan door of krachtens een wet, een decreet of een ordonnantie.</w:t>
            </w:r>
          </w:p>
        </w:tc>
      </w:tr>
      <w:tr w:rsidR="004000A8" w:rsidRPr="00A80C6F" w14:paraId="543DDDE7" w14:textId="77777777" w:rsidTr="0025113D">
        <w:tc>
          <w:tcPr>
            <w:tcW w:w="4508" w:type="dxa"/>
          </w:tcPr>
          <w:p w14:paraId="275A31F3" w14:textId="77777777" w:rsidR="004000A8" w:rsidRPr="00136EDB" w:rsidRDefault="004000A8" w:rsidP="004000A8">
            <w:pPr>
              <w:jc w:val="both"/>
              <w:rPr>
                <w:rFonts w:asciiTheme="minorHAnsi" w:hAnsiTheme="minorHAnsi" w:cstheme="minorHAnsi"/>
                <w:spacing w:val="-3"/>
                <w:sz w:val="22"/>
              </w:rPr>
            </w:pPr>
          </w:p>
        </w:tc>
        <w:tc>
          <w:tcPr>
            <w:tcW w:w="4508" w:type="dxa"/>
          </w:tcPr>
          <w:p w14:paraId="4A3AFE62" w14:textId="77777777" w:rsidR="004000A8" w:rsidRPr="005C4713" w:rsidRDefault="004000A8" w:rsidP="004000A8">
            <w:pPr>
              <w:jc w:val="both"/>
              <w:rPr>
                <w:rFonts w:asciiTheme="minorHAnsi" w:hAnsiTheme="minorHAnsi" w:cstheme="minorHAnsi"/>
                <w:spacing w:val="-3"/>
                <w:sz w:val="22"/>
              </w:rPr>
            </w:pPr>
          </w:p>
        </w:tc>
      </w:tr>
      <w:tr w:rsidR="004000A8" w:rsidRPr="00A80C6F" w14:paraId="4F9C9775" w14:textId="77777777" w:rsidTr="0025113D">
        <w:tc>
          <w:tcPr>
            <w:tcW w:w="4508" w:type="dxa"/>
          </w:tcPr>
          <w:p w14:paraId="68D2AF18" w14:textId="63C3C535"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pacing w:val="-3"/>
                <w:sz w:val="22"/>
                <w:lang w:val="fr-FR"/>
              </w:rPr>
              <w:t xml:space="preserve">Au point 104 de son avis sur l’avant-projet de loi « conservation des données », l’Autorité de protection des données  indique ce qui suit : </w:t>
            </w:r>
          </w:p>
        </w:tc>
        <w:tc>
          <w:tcPr>
            <w:tcW w:w="4508" w:type="dxa"/>
          </w:tcPr>
          <w:p w14:paraId="759426AC" w14:textId="7A6D331E"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 xml:space="preserve">In punt 104 van haar advies over het voorontwerp van wet “gegevensbewaring” geeft de Gegevensbeschermingsautoriteit het volgende aan: </w:t>
            </w:r>
          </w:p>
        </w:tc>
      </w:tr>
      <w:tr w:rsidR="004000A8" w:rsidRPr="00A80C6F" w14:paraId="0F395E05" w14:textId="77777777" w:rsidTr="0025113D">
        <w:tc>
          <w:tcPr>
            <w:tcW w:w="4508" w:type="dxa"/>
          </w:tcPr>
          <w:p w14:paraId="662942A9" w14:textId="77777777" w:rsidR="004000A8" w:rsidRPr="005C4713" w:rsidRDefault="004000A8" w:rsidP="004000A8">
            <w:pPr>
              <w:jc w:val="both"/>
              <w:rPr>
                <w:rFonts w:asciiTheme="minorHAnsi" w:hAnsiTheme="minorHAnsi" w:cstheme="minorHAnsi"/>
                <w:sz w:val="22"/>
              </w:rPr>
            </w:pPr>
          </w:p>
        </w:tc>
        <w:tc>
          <w:tcPr>
            <w:tcW w:w="4508" w:type="dxa"/>
          </w:tcPr>
          <w:p w14:paraId="57EF37B7" w14:textId="77777777" w:rsidR="004000A8" w:rsidRPr="005C4713" w:rsidRDefault="004000A8" w:rsidP="004000A8">
            <w:pPr>
              <w:jc w:val="both"/>
              <w:rPr>
                <w:rFonts w:asciiTheme="minorHAnsi" w:hAnsiTheme="minorHAnsi" w:cstheme="minorHAnsi"/>
                <w:sz w:val="22"/>
              </w:rPr>
            </w:pPr>
          </w:p>
        </w:tc>
      </w:tr>
      <w:tr w:rsidR="004000A8" w:rsidRPr="00673C92" w14:paraId="3106A636" w14:textId="77777777" w:rsidTr="0025113D">
        <w:tc>
          <w:tcPr>
            <w:tcW w:w="4508" w:type="dxa"/>
          </w:tcPr>
          <w:p w14:paraId="3645718D" w14:textId="4FE3771A"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pacing w:val="-3"/>
                <w:sz w:val="22"/>
                <w:lang w:val="fr-FR"/>
              </w:rPr>
              <w:t>« </w:t>
            </w:r>
            <w:r w:rsidRPr="005C4713">
              <w:rPr>
                <w:rFonts w:asciiTheme="minorHAnsi" w:hAnsiTheme="minorHAnsi" w:cstheme="minorHAnsi"/>
                <w:i/>
                <w:iCs/>
                <w:sz w:val="22"/>
                <w:lang w:val="fr-FR"/>
              </w:rPr>
              <w:t xml:space="preserve">l’Autorité constate que le nouvel article 127 § 2 de la loi télécom entend permettre l’utilisation d’une technologie de reconnaissance faciale à des fins d’identification de l’abonné. Le recours à des techniques de reconnaissance faciale pour identifier les abonnés excède ce qui est nécessaire dans une société démocratique alors qu’il existe, en Belgique, d’autres </w:t>
            </w:r>
            <w:r w:rsidRPr="005C4713">
              <w:rPr>
                <w:rFonts w:asciiTheme="minorHAnsi" w:hAnsiTheme="minorHAnsi" w:cstheme="minorHAnsi"/>
                <w:i/>
                <w:iCs/>
                <w:spacing w:val="-2"/>
                <w:sz w:val="22"/>
                <w:lang w:val="fr-FR"/>
              </w:rPr>
              <w:t xml:space="preserve">moyens plus surs et moins intrusifs (l’utilisation de </w:t>
            </w:r>
            <w:proofErr w:type="spellStart"/>
            <w:r w:rsidRPr="005C4713">
              <w:rPr>
                <w:rFonts w:asciiTheme="minorHAnsi" w:hAnsiTheme="minorHAnsi" w:cstheme="minorHAnsi"/>
                <w:i/>
                <w:iCs/>
                <w:spacing w:val="-2"/>
                <w:sz w:val="22"/>
                <w:lang w:val="fr-FR"/>
              </w:rPr>
              <w:t>l’eID</w:t>
            </w:r>
            <w:proofErr w:type="spellEnd"/>
            <w:r w:rsidRPr="005C4713">
              <w:rPr>
                <w:rFonts w:asciiTheme="minorHAnsi" w:hAnsiTheme="minorHAnsi" w:cstheme="minorHAnsi"/>
                <w:i/>
                <w:iCs/>
                <w:spacing w:val="-2"/>
                <w:sz w:val="22"/>
                <w:lang w:val="fr-FR"/>
              </w:rPr>
              <w:t xml:space="preserve"> ou d’</w:t>
            </w:r>
            <w:proofErr w:type="spellStart"/>
            <w:r w:rsidRPr="005C4713">
              <w:rPr>
                <w:rFonts w:asciiTheme="minorHAnsi" w:hAnsiTheme="minorHAnsi" w:cstheme="minorHAnsi"/>
                <w:i/>
                <w:iCs/>
                <w:spacing w:val="-2"/>
                <w:sz w:val="22"/>
                <w:lang w:val="fr-FR"/>
              </w:rPr>
              <w:t>Itsme</w:t>
            </w:r>
            <w:proofErr w:type="spellEnd"/>
            <w:r w:rsidRPr="005C4713">
              <w:rPr>
                <w:rFonts w:asciiTheme="minorHAnsi" w:hAnsiTheme="minorHAnsi" w:cstheme="minorHAnsi"/>
                <w:i/>
                <w:iCs/>
                <w:spacing w:val="-2"/>
                <w:sz w:val="22"/>
                <w:lang w:val="fr-FR"/>
              </w:rPr>
              <w:t xml:space="preserve">) pour authentifier électroniquement </w:t>
            </w:r>
            <w:r w:rsidRPr="005C4713">
              <w:rPr>
                <w:rFonts w:asciiTheme="minorHAnsi" w:hAnsiTheme="minorHAnsi" w:cstheme="minorHAnsi"/>
                <w:i/>
                <w:iCs/>
                <w:sz w:val="22"/>
                <w:lang w:val="fr-FR"/>
              </w:rPr>
              <w:t xml:space="preserve">des personnes. Cette possibilité d’utiliser la reconnaissance faciale comme moyen d’identification sera dès lors supprimée de l’avant-projet de loi. L’Autorité souligne, en outre, que l’utilisation d’autres données </w:t>
            </w:r>
            <w:r w:rsidRPr="005C4713">
              <w:rPr>
                <w:rFonts w:asciiTheme="minorHAnsi" w:hAnsiTheme="minorHAnsi" w:cstheme="minorHAnsi"/>
                <w:i/>
                <w:iCs/>
                <w:sz w:val="22"/>
                <w:lang w:val="fr-FR"/>
              </w:rPr>
              <w:lastRenderedPageBreak/>
              <w:t>biométriques, à l’instar des empreintes digitales, excèderait également ce qui est nécessaire et admissible dans une société démocratique</w:t>
            </w:r>
            <w:r w:rsidRPr="005C4713">
              <w:rPr>
                <w:rFonts w:asciiTheme="minorHAnsi" w:hAnsiTheme="minorHAnsi" w:cstheme="minorHAnsi"/>
                <w:sz w:val="22"/>
                <w:lang w:val="fr-FR"/>
              </w:rPr>
              <w:t>. »</w:t>
            </w:r>
          </w:p>
        </w:tc>
        <w:tc>
          <w:tcPr>
            <w:tcW w:w="4508" w:type="dxa"/>
          </w:tcPr>
          <w:p w14:paraId="2122042B" w14:textId="6160C6B3"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lastRenderedPageBreak/>
              <w:t>"</w:t>
            </w:r>
            <w:r w:rsidRPr="005C4713">
              <w:rPr>
                <w:rFonts w:asciiTheme="minorHAnsi" w:hAnsiTheme="minorHAnsi" w:cstheme="minorHAnsi"/>
                <w:i/>
                <w:iCs/>
                <w:sz w:val="22"/>
              </w:rPr>
              <w:t xml:space="preserve">De Autoriteit [stelt] vast dat het nieuwe artikel 127 § 2 van de telecomwet het gebruik van een gezichtsherkenningstechnologie voor het identificeren van de abonnee wil toelaten. Het gebruik van gezichtsherkenningstechnieken om abonnees te identificeren gaat verder dan wat nodig is in een democratische samenleving, terwijl er in België andere, veiliger en minder indringende middelen zijn (het gebruik van </w:t>
            </w:r>
            <w:proofErr w:type="spellStart"/>
            <w:r w:rsidRPr="005C4713">
              <w:rPr>
                <w:rFonts w:asciiTheme="minorHAnsi" w:hAnsiTheme="minorHAnsi" w:cstheme="minorHAnsi"/>
                <w:i/>
                <w:iCs/>
                <w:sz w:val="22"/>
              </w:rPr>
              <w:t>eID</w:t>
            </w:r>
            <w:proofErr w:type="spellEnd"/>
            <w:r w:rsidRPr="005C4713">
              <w:rPr>
                <w:rFonts w:asciiTheme="minorHAnsi" w:hAnsiTheme="minorHAnsi" w:cstheme="minorHAnsi"/>
                <w:i/>
                <w:iCs/>
                <w:sz w:val="22"/>
              </w:rPr>
              <w:t xml:space="preserve"> of </w:t>
            </w:r>
            <w:proofErr w:type="spellStart"/>
            <w:r w:rsidRPr="005C4713">
              <w:rPr>
                <w:rFonts w:asciiTheme="minorHAnsi" w:hAnsiTheme="minorHAnsi" w:cstheme="minorHAnsi"/>
                <w:i/>
                <w:iCs/>
                <w:sz w:val="22"/>
              </w:rPr>
              <w:t>Itsme</w:t>
            </w:r>
            <w:proofErr w:type="spellEnd"/>
            <w:r w:rsidRPr="005C4713">
              <w:rPr>
                <w:rFonts w:asciiTheme="minorHAnsi" w:hAnsiTheme="minorHAnsi" w:cstheme="minorHAnsi"/>
                <w:i/>
                <w:iCs/>
                <w:sz w:val="22"/>
              </w:rPr>
              <w:t xml:space="preserve">) om mensen elektronisch te authentiseren. Deze mogelijkheid om gezichtsherkenning als identificatiemiddel te gebruiken, zal derhalve uit het voorontwerp van wet worden geschrapt. De Autoriteit beklemtoont voorts dat het gebruik van andere biometrische gegevens, zoals </w:t>
            </w:r>
            <w:r w:rsidRPr="005C4713">
              <w:rPr>
                <w:rFonts w:asciiTheme="minorHAnsi" w:hAnsiTheme="minorHAnsi" w:cstheme="minorHAnsi"/>
                <w:i/>
                <w:iCs/>
                <w:sz w:val="22"/>
              </w:rPr>
              <w:lastRenderedPageBreak/>
              <w:t>vingerafdrukken, ook verder zou gaan dan wat in een democratische samenleving noodzakelijk en toelaatbaar is</w:t>
            </w:r>
            <w:r w:rsidRPr="005C4713">
              <w:rPr>
                <w:rFonts w:asciiTheme="minorHAnsi" w:hAnsiTheme="minorHAnsi" w:cstheme="minorHAnsi"/>
                <w:sz w:val="22"/>
              </w:rPr>
              <w:t>.”</w:t>
            </w:r>
          </w:p>
        </w:tc>
      </w:tr>
      <w:tr w:rsidR="004000A8" w:rsidRPr="00673C92" w14:paraId="671701E9" w14:textId="77777777" w:rsidTr="0025113D">
        <w:tc>
          <w:tcPr>
            <w:tcW w:w="4508" w:type="dxa"/>
          </w:tcPr>
          <w:p w14:paraId="7536B494" w14:textId="77777777" w:rsidR="004000A8" w:rsidRPr="005C4713" w:rsidRDefault="004000A8" w:rsidP="004000A8">
            <w:pPr>
              <w:jc w:val="both"/>
              <w:rPr>
                <w:rFonts w:asciiTheme="minorHAnsi" w:hAnsiTheme="minorHAnsi" w:cstheme="minorHAnsi"/>
                <w:sz w:val="22"/>
              </w:rPr>
            </w:pPr>
          </w:p>
        </w:tc>
        <w:tc>
          <w:tcPr>
            <w:tcW w:w="4508" w:type="dxa"/>
          </w:tcPr>
          <w:p w14:paraId="4EBA95F0" w14:textId="77777777" w:rsidR="004000A8" w:rsidRPr="005C4713" w:rsidRDefault="004000A8" w:rsidP="004000A8">
            <w:pPr>
              <w:jc w:val="both"/>
              <w:rPr>
                <w:rFonts w:asciiTheme="minorHAnsi" w:hAnsiTheme="minorHAnsi" w:cstheme="minorHAnsi"/>
                <w:sz w:val="22"/>
              </w:rPr>
            </w:pPr>
          </w:p>
        </w:tc>
      </w:tr>
      <w:tr w:rsidR="004000A8" w:rsidRPr="00673C92" w14:paraId="3C3DF8CE" w14:textId="77777777" w:rsidTr="0025113D">
        <w:tc>
          <w:tcPr>
            <w:tcW w:w="4508" w:type="dxa"/>
          </w:tcPr>
          <w:p w14:paraId="309AE0D5" w14:textId="735E509D"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FR"/>
              </w:rPr>
              <w:t>Le gouvernement ne partage pas le point de vue de l’Autorité de protection des données pour les raisons suivantes.</w:t>
            </w:r>
          </w:p>
        </w:tc>
        <w:tc>
          <w:tcPr>
            <w:tcW w:w="4508" w:type="dxa"/>
          </w:tcPr>
          <w:p w14:paraId="40B0085F" w14:textId="044793DF"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pacing w:val="-3"/>
                <w:sz w:val="22"/>
              </w:rPr>
              <w:t>De regering deelt het standpunt van de Gegevensbeschermingsautoriteit niet om de volgende redenen.</w:t>
            </w:r>
          </w:p>
        </w:tc>
      </w:tr>
      <w:tr w:rsidR="004000A8" w:rsidRPr="00673C92" w14:paraId="4F4613E7" w14:textId="77777777" w:rsidTr="0025113D">
        <w:tc>
          <w:tcPr>
            <w:tcW w:w="4508" w:type="dxa"/>
          </w:tcPr>
          <w:p w14:paraId="3D121DB3" w14:textId="77777777" w:rsidR="004000A8" w:rsidRPr="00136EDB" w:rsidRDefault="004000A8" w:rsidP="004000A8">
            <w:pPr>
              <w:jc w:val="both"/>
              <w:rPr>
                <w:rFonts w:asciiTheme="minorHAnsi" w:hAnsiTheme="minorHAnsi" w:cstheme="minorHAnsi"/>
                <w:sz w:val="22"/>
              </w:rPr>
            </w:pPr>
          </w:p>
        </w:tc>
        <w:tc>
          <w:tcPr>
            <w:tcW w:w="4508" w:type="dxa"/>
          </w:tcPr>
          <w:p w14:paraId="7B0A254E" w14:textId="77777777" w:rsidR="004000A8" w:rsidRPr="005C4713" w:rsidRDefault="004000A8" w:rsidP="004000A8">
            <w:pPr>
              <w:jc w:val="both"/>
              <w:rPr>
                <w:rFonts w:asciiTheme="minorHAnsi" w:hAnsiTheme="minorHAnsi" w:cstheme="minorHAnsi"/>
                <w:spacing w:val="-3"/>
                <w:sz w:val="22"/>
              </w:rPr>
            </w:pPr>
          </w:p>
        </w:tc>
      </w:tr>
      <w:tr w:rsidR="004000A8" w:rsidRPr="00673C92" w14:paraId="6CED2475" w14:textId="77777777" w:rsidTr="0025113D">
        <w:tc>
          <w:tcPr>
            <w:tcW w:w="4508" w:type="dxa"/>
          </w:tcPr>
          <w:p w14:paraId="4AEB104F" w14:textId="490076CD"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z w:val="22"/>
                <w:lang w:val="fr-FR"/>
              </w:rPr>
              <w:t xml:space="preserve">Une technologie n’est pas intrusive dans la vie privée des abonnés en raison de sa nature mais peut l’être selon ses conditions de mise en œuvre et son utilisation. Le gouvernement est d’avis que la comparaison faciale qui est mise en œuvre pour l’identification de l’utilisateur final ne constitue pas une intrusion dans la vie privée des abonnés. En effet, les données biométriques ne seront en pratique pas conservées. Le gouvernement est d’avis que le traitement de données biométriques prévu par l’article 127 est moins sensible d’un point de vue vie privée que la reconnaissance faciale ou des empreintes digitales qui permettent de déverrouiller un smartphone, étant donné que dans le deuxième cas de figure, les données biométriques doivent être conservées. Il n’est pas admissible que la législation soit plus stricte pour une finalité publique (identification de l’abonné dans le cadre de l’article 127) que pour des usages du secteur privé (ex. déverrouiller un smartphone). Par ailleurs, le secteur bancaire dispose déjà de la possibilité d’utiliser les paramètres biométriques en vertu de sa législation sectorielle spécifique. </w:t>
            </w:r>
          </w:p>
        </w:tc>
        <w:tc>
          <w:tcPr>
            <w:tcW w:w="4508" w:type="dxa"/>
          </w:tcPr>
          <w:p w14:paraId="36DD9014" w14:textId="31DA776E"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z w:val="22"/>
              </w:rPr>
              <w:t xml:space="preserve">Een technologie is niet indringend in de persoonlijke levenssfeer van de abonnees wegens de aard ervan maar kan dat zijn naargelang van de voorwaarden voor de uitvoering en het gebruik ervan. De regering is van mening dat de gezichtsvergelijking die wordt aangewend voor de identificatie van de eindgebruiker geen indringing vormt in de privacy van de abonnees. De biometrische gegevens zullen immers in de praktijk niet worden bewaard. De </w:t>
            </w:r>
            <w:r w:rsidRPr="005C4713">
              <w:rPr>
                <w:rFonts w:asciiTheme="minorHAnsi" w:hAnsiTheme="minorHAnsi" w:cstheme="minorHAnsi"/>
                <w:spacing w:val="-3"/>
                <w:sz w:val="22"/>
              </w:rPr>
              <w:t xml:space="preserve"> regering</w:t>
            </w:r>
            <w:r w:rsidRPr="005C4713">
              <w:rPr>
                <w:rFonts w:asciiTheme="minorHAnsi" w:hAnsiTheme="minorHAnsi" w:cstheme="minorHAnsi"/>
                <w:sz w:val="22"/>
              </w:rPr>
              <w:t xml:space="preserve"> is van mening dat de verwerking van biometrische gegevens waarin artikel 127 voorziet, minder gevoelig is vanuit </w:t>
            </w:r>
            <w:proofErr w:type="spellStart"/>
            <w:r w:rsidRPr="005C4713">
              <w:rPr>
                <w:rFonts w:asciiTheme="minorHAnsi" w:hAnsiTheme="minorHAnsi" w:cstheme="minorHAnsi"/>
                <w:sz w:val="22"/>
              </w:rPr>
              <w:t>privacystandpunt</w:t>
            </w:r>
            <w:proofErr w:type="spellEnd"/>
            <w:r w:rsidRPr="005C4713">
              <w:rPr>
                <w:rFonts w:asciiTheme="minorHAnsi" w:hAnsiTheme="minorHAnsi" w:cstheme="minorHAnsi"/>
                <w:sz w:val="22"/>
              </w:rPr>
              <w:t xml:space="preserve"> dan gezichtsherkenning of vingerafdrukken, waarmee een smartphone ontgrendeld kan worden, aangezien in het tweede geval de biometrische gegevens bewaard moeten worden. Het is niet toelaatbaar dat de wetgeving strikter is voor een openbaar doel (identificatie van de abonnee in het kader van artikel 127) dan voor toepassingen van de privésector (bijv. ontgrendelen van een smartphone). Bovendien beschikt de banksector reeds over de mogelijkheid om de biometrische parameters te gebruiken krachtens de specifieke sectorale wetgeving.</w:t>
            </w:r>
          </w:p>
        </w:tc>
      </w:tr>
      <w:tr w:rsidR="004000A8" w:rsidRPr="00673C92" w14:paraId="405F19A2" w14:textId="77777777" w:rsidTr="0025113D">
        <w:tc>
          <w:tcPr>
            <w:tcW w:w="4508" w:type="dxa"/>
          </w:tcPr>
          <w:p w14:paraId="2E9E2A4C" w14:textId="77777777" w:rsidR="004000A8" w:rsidRPr="005C4713" w:rsidRDefault="004000A8" w:rsidP="004000A8">
            <w:pPr>
              <w:jc w:val="both"/>
              <w:rPr>
                <w:rFonts w:asciiTheme="minorHAnsi" w:hAnsiTheme="minorHAnsi" w:cstheme="minorHAnsi"/>
                <w:sz w:val="22"/>
              </w:rPr>
            </w:pPr>
          </w:p>
        </w:tc>
        <w:tc>
          <w:tcPr>
            <w:tcW w:w="4508" w:type="dxa"/>
          </w:tcPr>
          <w:p w14:paraId="04C97A22" w14:textId="77777777" w:rsidR="004000A8" w:rsidRPr="005C4713" w:rsidRDefault="004000A8" w:rsidP="004000A8">
            <w:pPr>
              <w:jc w:val="both"/>
              <w:rPr>
                <w:rFonts w:asciiTheme="minorHAnsi" w:hAnsiTheme="minorHAnsi" w:cstheme="minorHAnsi"/>
                <w:sz w:val="22"/>
              </w:rPr>
            </w:pPr>
          </w:p>
        </w:tc>
      </w:tr>
      <w:tr w:rsidR="004000A8" w:rsidRPr="00673C92" w14:paraId="2024F594" w14:textId="77777777" w:rsidTr="0025113D">
        <w:tc>
          <w:tcPr>
            <w:tcW w:w="4508" w:type="dxa"/>
          </w:tcPr>
          <w:p w14:paraId="4F24A27A" w14:textId="356763A0" w:rsidR="004000A8" w:rsidRPr="005C4713" w:rsidRDefault="004000A8" w:rsidP="004000A8">
            <w:pPr>
              <w:jc w:val="both"/>
              <w:rPr>
                <w:rFonts w:asciiTheme="minorHAnsi" w:hAnsiTheme="minorHAnsi" w:cstheme="minorHAnsi"/>
                <w:sz w:val="22"/>
                <w:lang w:val="fr-BE"/>
              </w:rPr>
            </w:pPr>
            <w:r w:rsidRPr="005C4713">
              <w:rPr>
                <w:rFonts w:asciiTheme="minorHAnsi" w:hAnsiTheme="minorHAnsi" w:cstheme="minorHAnsi"/>
                <w:spacing w:val="-3"/>
                <w:sz w:val="22"/>
                <w:lang w:val="fr-FR"/>
              </w:rPr>
              <w:t xml:space="preserve">Par ailleurs, le traitement de données biométriques bénéficie d’un haut niveau de protection à l’article 9 du RGPD, qui s’applique en l’espèce. En effet, en vertu de cet article, l’abonné de l’opérateur devra donner son consentement explicite au traitement de ses données, ce que l’article 127 rappelle explicitement. Pour que ce consentement soit libre, l’abonné doit avoir la possibilité de s’identifier autrement que via un traitement automatisé de ses données biométriques, ce que l’article 127 prévoit également de manière explicite. Par exemple, si l’abonné refuse la technique de comparaison faciale, l’opérateur peut l’inviter à s’identifier auprès </w:t>
            </w:r>
            <w:r>
              <w:rPr>
                <w:rFonts w:asciiTheme="minorHAnsi" w:hAnsiTheme="minorHAnsi" w:cstheme="minorHAnsi"/>
                <w:spacing w:val="-3"/>
                <w:sz w:val="22"/>
                <w:lang w:val="fr-FR"/>
              </w:rPr>
              <w:t>de l’</w:t>
            </w:r>
            <w:r w:rsidRPr="005C4713">
              <w:rPr>
                <w:rFonts w:asciiTheme="minorHAnsi" w:hAnsiTheme="minorHAnsi" w:cstheme="minorHAnsi"/>
                <w:spacing w:val="-3"/>
                <w:sz w:val="22"/>
                <w:lang w:val="fr-FR"/>
              </w:rPr>
              <w:t xml:space="preserve">un de ses points de vente. Dans ce cas, </w:t>
            </w:r>
            <w:r w:rsidRPr="005C4713">
              <w:rPr>
                <w:rFonts w:asciiTheme="minorHAnsi" w:hAnsiTheme="minorHAnsi" w:cstheme="minorHAnsi"/>
                <w:spacing w:val="-3"/>
                <w:sz w:val="22"/>
                <w:lang w:val="fr-FR"/>
              </w:rPr>
              <w:lastRenderedPageBreak/>
              <w:t xml:space="preserve">cela sera le personnel de ce point de vente qui devra s’assurer que la personne qui présente le document d’identité correspond bien à la personne qui y figure (« procédure manuelle »). Il convient cependant de rappeler qu’en cas d’utilisation de </w:t>
            </w:r>
            <w:proofErr w:type="spellStart"/>
            <w:r w:rsidRPr="005C4713">
              <w:rPr>
                <w:rFonts w:asciiTheme="minorHAnsi" w:hAnsiTheme="minorHAnsi" w:cstheme="minorHAnsi"/>
                <w:spacing w:val="-3"/>
                <w:sz w:val="22"/>
                <w:lang w:val="fr-FR"/>
              </w:rPr>
              <w:t>l’eID</w:t>
            </w:r>
            <w:proofErr w:type="spellEnd"/>
            <w:r w:rsidRPr="005C4713">
              <w:rPr>
                <w:rFonts w:asciiTheme="minorHAnsi" w:hAnsiTheme="minorHAnsi" w:cstheme="minorHAnsi"/>
                <w:spacing w:val="-3"/>
                <w:sz w:val="22"/>
                <w:lang w:val="fr-FR"/>
              </w:rPr>
              <w:t xml:space="preserve"> pour s’identifier, le point de vente peut demander l’introduction du code PIN (ce qui permet d’éviter tout type de fraude). De plus, en vertu du principe de minimisation des données visé à l’article 5 du RGPD, le traitement des données devra être limité à ce qui est nécessaire au regard des finalités pour lesquelles elles sont traitées, à savoir dans ce cas-ci s’assurer que la personne qui prend la photo correspond à la personne sur le </w:t>
            </w:r>
            <w:r>
              <w:rPr>
                <w:rFonts w:asciiTheme="minorHAnsi" w:hAnsiTheme="minorHAnsi" w:cstheme="minorHAnsi"/>
                <w:spacing w:val="-3"/>
                <w:sz w:val="22"/>
                <w:lang w:val="fr-FR"/>
              </w:rPr>
              <w:t>document d’identification</w:t>
            </w:r>
            <w:r w:rsidRPr="005C4713">
              <w:rPr>
                <w:rFonts w:asciiTheme="minorHAnsi" w:hAnsiTheme="minorHAnsi" w:cstheme="minorHAnsi"/>
                <w:spacing w:val="-3"/>
                <w:sz w:val="22"/>
                <w:lang w:val="fr-FR"/>
              </w:rPr>
              <w:t xml:space="preserve">.  </w:t>
            </w:r>
          </w:p>
        </w:tc>
        <w:tc>
          <w:tcPr>
            <w:tcW w:w="4508" w:type="dxa"/>
          </w:tcPr>
          <w:p w14:paraId="4B79F125" w14:textId="30A18147" w:rsidR="004000A8" w:rsidRPr="005C4713" w:rsidRDefault="004000A8" w:rsidP="004000A8">
            <w:pPr>
              <w:jc w:val="both"/>
              <w:rPr>
                <w:rFonts w:asciiTheme="minorHAnsi" w:hAnsiTheme="minorHAnsi" w:cstheme="minorHAnsi"/>
                <w:sz w:val="22"/>
              </w:rPr>
            </w:pPr>
            <w:r w:rsidRPr="005C4713">
              <w:rPr>
                <w:rFonts w:asciiTheme="minorHAnsi" w:hAnsiTheme="minorHAnsi" w:cstheme="minorHAnsi"/>
                <w:spacing w:val="-3"/>
                <w:sz w:val="22"/>
              </w:rPr>
              <w:lastRenderedPageBreak/>
              <w:t xml:space="preserve">Bovendien wordt de verwerking van biometrische gegevens sterk beveiligd door artikel 9 van de AVG, dat hier van toepassing is. Krachtens dat artikel moet de abonnee van de operator immers zijn uitdrukkelijke toestemming geven voor de verwerking van zijn gegevens, waaraan artikel 127 uitdrukkelijk herinnert. Om te kunnen spreken van een vrije toestemming moet de abonnee de mogelijkheid hebben om zich op een andere manier te identificeren dan via een geautomatiseerde verwerking van zijn biometrische gegevens, hetgeen artikel 127 ook expliciet voorschrijft. </w:t>
            </w:r>
            <w:r w:rsidRPr="005C4713">
              <w:rPr>
                <w:rFonts w:asciiTheme="minorHAnsi" w:hAnsiTheme="minorHAnsi" w:cstheme="minorHAnsi"/>
                <w:sz w:val="22"/>
              </w:rPr>
              <w:t xml:space="preserve"> Als de abonnee bijvoorbeeld de gezichtsvergelijkingstechniek weigert, kan de operator hem of haar uitnodigen </w:t>
            </w:r>
            <w:r w:rsidRPr="005C4713">
              <w:rPr>
                <w:rFonts w:asciiTheme="minorHAnsi" w:hAnsiTheme="minorHAnsi" w:cstheme="minorHAnsi"/>
                <w:sz w:val="22"/>
              </w:rPr>
              <w:lastRenderedPageBreak/>
              <w:t xml:space="preserve">om zich te identificeren bij een van zijn verkooppunten. In dat geval zal het personeel van dat verkooppunt moeten nagaan of de persoon die het </w:t>
            </w:r>
            <w:proofErr w:type="spellStart"/>
            <w:r>
              <w:rPr>
                <w:rFonts w:asciiTheme="minorHAnsi" w:hAnsiTheme="minorHAnsi" w:cstheme="minorHAnsi"/>
                <w:color w:val="000000" w:themeColor="text1"/>
                <w:sz w:val="22"/>
              </w:rPr>
              <w:t>identificatiedocument</w:t>
            </w:r>
            <w:r w:rsidRPr="005C4713">
              <w:rPr>
                <w:rFonts w:asciiTheme="minorHAnsi" w:hAnsiTheme="minorHAnsi" w:cstheme="minorHAnsi"/>
                <w:sz w:val="22"/>
              </w:rPr>
              <w:t>voorlegt</w:t>
            </w:r>
            <w:proofErr w:type="spellEnd"/>
            <w:r w:rsidRPr="005C4713">
              <w:rPr>
                <w:rFonts w:asciiTheme="minorHAnsi" w:hAnsiTheme="minorHAnsi" w:cstheme="minorHAnsi"/>
                <w:sz w:val="22"/>
              </w:rPr>
              <w:t xml:space="preserve">, wel degelijk overeenstemt met de persoon die daarop vermeld is (“manuele procedure”). Er moet evenwel aan worden herinnerd dat in geval van gebruik van de </w:t>
            </w:r>
            <w:proofErr w:type="spellStart"/>
            <w:r w:rsidRPr="005C4713">
              <w:rPr>
                <w:rFonts w:asciiTheme="minorHAnsi" w:hAnsiTheme="minorHAnsi" w:cstheme="minorHAnsi"/>
                <w:sz w:val="22"/>
              </w:rPr>
              <w:t>eID</w:t>
            </w:r>
            <w:proofErr w:type="spellEnd"/>
            <w:r w:rsidRPr="005C4713">
              <w:rPr>
                <w:rFonts w:asciiTheme="minorHAnsi" w:hAnsiTheme="minorHAnsi" w:cstheme="minorHAnsi"/>
                <w:sz w:val="22"/>
              </w:rPr>
              <w:t xml:space="preserve"> om zich te identificeren, het verkooppunt kan vragen om de pincode in te tikken (waardoor elke vorm van fraude kan worden vermeden). </w:t>
            </w:r>
            <w:r w:rsidRPr="005C4713">
              <w:rPr>
                <w:rFonts w:asciiTheme="minorHAnsi" w:hAnsiTheme="minorHAnsi" w:cstheme="minorHAnsi"/>
                <w:spacing w:val="-3"/>
                <w:sz w:val="22"/>
              </w:rPr>
              <w:t xml:space="preserve">Krachtens het principe van de minimale gegevensverwerking waarvan sprake in artikel 5 van de AVG, moet de gegevensverwerking beperkt worden tot wat noodzakelijk is voor de doeleinden waarvoor zij worden verwerkt; in dit geval betekent dat: zich ervan vergewissen dat de persoon die de foto neemt overeenstemt met de persoon op het </w:t>
            </w:r>
            <w:r>
              <w:rPr>
                <w:rFonts w:asciiTheme="minorHAnsi" w:hAnsiTheme="minorHAnsi" w:cstheme="minorHAnsi"/>
                <w:color w:val="000000" w:themeColor="text1"/>
                <w:sz w:val="22"/>
              </w:rPr>
              <w:t>identificatiedocument</w:t>
            </w:r>
            <w:r w:rsidRPr="005C4713">
              <w:rPr>
                <w:rFonts w:asciiTheme="minorHAnsi" w:hAnsiTheme="minorHAnsi" w:cstheme="minorHAnsi"/>
                <w:spacing w:val="-3"/>
                <w:sz w:val="22"/>
              </w:rPr>
              <w:t>.</w:t>
            </w:r>
          </w:p>
        </w:tc>
      </w:tr>
      <w:tr w:rsidR="004000A8" w:rsidRPr="00673C92" w14:paraId="38BF67C0" w14:textId="77777777" w:rsidTr="0025113D">
        <w:tc>
          <w:tcPr>
            <w:tcW w:w="4508" w:type="dxa"/>
          </w:tcPr>
          <w:p w14:paraId="0A086837" w14:textId="77777777" w:rsidR="004000A8" w:rsidRPr="000B3975" w:rsidRDefault="004000A8" w:rsidP="004000A8">
            <w:pPr>
              <w:rPr>
                <w:rFonts w:asciiTheme="minorHAnsi" w:hAnsiTheme="minorHAnsi" w:cstheme="minorHAnsi"/>
                <w:sz w:val="22"/>
              </w:rPr>
            </w:pPr>
          </w:p>
        </w:tc>
        <w:tc>
          <w:tcPr>
            <w:tcW w:w="4508" w:type="dxa"/>
          </w:tcPr>
          <w:p w14:paraId="7F92AB37" w14:textId="77777777" w:rsidR="004000A8" w:rsidRPr="000B3975" w:rsidRDefault="004000A8" w:rsidP="004000A8">
            <w:pPr>
              <w:rPr>
                <w:rFonts w:asciiTheme="minorHAnsi" w:hAnsiTheme="minorHAnsi" w:cstheme="minorHAnsi"/>
                <w:sz w:val="22"/>
              </w:rPr>
            </w:pPr>
          </w:p>
        </w:tc>
      </w:tr>
      <w:tr w:rsidR="004000A8" w:rsidRPr="00673C92" w14:paraId="7F85567D" w14:textId="77777777" w:rsidTr="0025113D">
        <w:tc>
          <w:tcPr>
            <w:tcW w:w="4508" w:type="dxa"/>
          </w:tcPr>
          <w:p w14:paraId="55F8ECD6" w14:textId="7489A218"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FR"/>
              </w:rPr>
              <w:t xml:space="preserve">La méthode d’identification basée sur le traitement de données biométriques a été introduite dans l’article 127 à la demande de certains opérateurs, ce qui montre une demande du marché. Les opérateurs constatent que le nombre d’achats effectués à l’aide de téléphones intelligents augmente significativement, ce qui s’explique probablement par la pandémie COVID. Il est important de leur permettre de faciliter la souscription par le biais d’un téléphone intelligent à des services de communications électroniques. </w:t>
            </w:r>
          </w:p>
        </w:tc>
        <w:tc>
          <w:tcPr>
            <w:tcW w:w="4508" w:type="dxa"/>
          </w:tcPr>
          <w:p w14:paraId="49A2A449" w14:textId="5F1C6A3A"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De identificatiemethode die gebaseerd is op de verwerking van biometrische gegevens is ingevoerd in artikel 127 op vraag van sommige operatoren, wat wijst op een vraag vanwege de markt. De operatoren stellen vast dat het aantal aankopen met behulp van smartphones aanzienlijk stijgt, hetgeen waarschijnlijk wordt verklaard door de COVID-pandemie. Het is belangrijk dat ze de mogelijkheid krijgen om de inschrijving via een smartphone op elektronische-communicatiediensten te vergemakkelijken.</w:t>
            </w:r>
          </w:p>
        </w:tc>
      </w:tr>
      <w:tr w:rsidR="004000A8" w:rsidRPr="00673C92" w14:paraId="0B8A2375" w14:textId="77777777" w:rsidTr="0025113D">
        <w:tc>
          <w:tcPr>
            <w:tcW w:w="4508" w:type="dxa"/>
          </w:tcPr>
          <w:p w14:paraId="6A01DF09" w14:textId="77777777" w:rsidR="004000A8" w:rsidRPr="00136EDB" w:rsidRDefault="004000A8" w:rsidP="004000A8">
            <w:pPr>
              <w:jc w:val="both"/>
              <w:rPr>
                <w:rFonts w:asciiTheme="minorHAnsi" w:hAnsiTheme="minorHAnsi" w:cstheme="minorHAnsi"/>
                <w:sz w:val="22"/>
              </w:rPr>
            </w:pPr>
          </w:p>
        </w:tc>
        <w:tc>
          <w:tcPr>
            <w:tcW w:w="4508" w:type="dxa"/>
          </w:tcPr>
          <w:p w14:paraId="64D647B7" w14:textId="77777777" w:rsidR="004000A8" w:rsidRPr="000B3975" w:rsidRDefault="004000A8" w:rsidP="004000A8">
            <w:pPr>
              <w:jc w:val="both"/>
              <w:rPr>
                <w:rFonts w:asciiTheme="minorHAnsi" w:hAnsiTheme="minorHAnsi" w:cstheme="minorHAnsi"/>
                <w:sz w:val="22"/>
              </w:rPr>
            </w:pPr>
          </w:p>
        </w:tc>
      </w:tr>
      <w:tr w:rsidR="004000A8" w:rsidRPr="00673C92" w14:paraId="6367A458" w14:textId="77777777" w:rsidTr="0025113D">
        <w:tc>
          <w:tcPr>
            <w:tcW w:w="4508" w:type="dxa"/>
          </w:tcPr>
          <w:p w14:paraId="308292CF" w14:textId="6024287B"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Étant donné que la loi oblige les opérateurs à identifier leurs abonnés de manière fiable au bénéfice des autorités et qu’il convient d’éviter des fraudes en matière d’identité, il est essentiel de permettre aux opérateurs de pouvoir remplir ces tâches au moyen des méthodes d’identification les plus appropriées et fiables convenant au contexte de chaque canal numérique et à tous les groupes cibles. À titre d’exemple, la méthode proposée empêchera qu’une personne puisse s’identifier à l’aide d’une </w:t>
            </w:r>
            <w:proofErr w:type="spellStart"/>
            <w:r w:rsidRPr="000B3975">
              <w:rPr>
                <w:rFonts w:asciiTheme="minorHAnsi" w:hAnsiTheme="minorHAnsi" w:cstheme="minorHAnsi"/>
                <w:sz w:val="22"/>
                <w:lang w:val="fr-BE"/>
              </w:rPr>
              <w:t>eID</w:t>
            </w:r>
            <w:proofErr w:type="spellEnd"/>
            <w:r w:rsidRPr="000B3975">
              <w:rPr>
                <w:rFonts w:asciiTheme="minorHAnsi" w:hAnsiTheme="minorHAnsi" w:cstheme="minorHAnsi"/>
                <w:sz w:val="22"/>
                <w:lang w:val="fr-BE"/>
              </w:rPr>
              <w:t xml:space="preserve"> volé ou d’un passeport volé.</w:t>
            </w:r>
          </w:p>
        </w:tc>
        <w:tc>
          <w:tcPr>
            <w:tcW w:w="4508" w:type="dxa"/>
          </w:tcPr>
          <w:p w14:paraId="1C46CE5E" w14:textId="6631E8B9"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Aangezien de wet de operatoren verplicht om hun abonnees op een betrouwbare manier te identificeren ten voordele van de autoriteiten en dat identiteitsfraude moet worden vermeden, is het van fundamenteel belang dat de operatoren in staat worden gesteld om deze taken te vervullen via de meest geschikte en betrouwbare identificatiemethodes die passen binnen de context van elk digitaal kanaal en voor alle doelgroepen. De voorgestelde methode zal bijvoorbeeld verhinderen dat iemand zich kan identificeren met behulp van een gestolen </w:t>
            </w:r>
            <w:proofErr w:type="spellStart"/>
            <w:r w:rsidRPr="000B3975">
              <w:rPr>
                <w:rFonts w:asciiTheme="minorHAnsi" w:hAnsiTheme="minorHAnsi" w:cstheme="minorHAnsi"/>
                <w:sz w:val="22"/>
              </w:rPr>
              <w:t>eID</w:t>
            </w:r>
            <w:proofErr w:type="spellEnd"/>
            <w:r w:rsidRPr="000B3975">
              <w:rPr>
                <w:rFonts w:asciiTheme="minorHAnsi" w:hAnsiTheme="minorHAnsi" w:cstheme="minorHAnsi"/>
                <w:sz w:val="22"/>
              </w:rPr>
              <w:t xml:space="preserve"> of een gestolen paspoort.</w:t>
            </w:r>
          </w:p>
        </w:tc>
      </w:tr>
      <w:tr w:rsidR="004000A8" w:rsidRPr="00673C92" w14:paraId="62A17E2C" w14:textId="77777777" w:rsidTr="0025113D">
        <w:tc>
          <w:tcPr>
            <w:tcW w:w="4508" w:type="dxa"/>
          </w:tcPr>
          <w:p w14:paraId="7CD02B91" w14:textId="77777777" w:rsidR="004000A8" w:rsidRPr="000B3975" w:rsidRDefault="004000A8" w:rsidP="004000A8">
            <w:pPr>
              <w:jc w:val="both"/>
              <w:rPr>
                <w:rFonts w:asciiTheme="minorHAnsi" w:hAnsiTheme="minorHAnsi" w:cstheme="minorHAnsi"/>
                <w:sz w:val="22"/>
              </w:rPr>
            </w:pPr>
          </w:p>
        </w:tc>
        <w:tc>
          <w:tcPr>
            <w:tcW w:w="4508" w:type="dxa"/>
          </w:tcPr>
          <w:p w14:paraId="59245A1A" w14:textId="77777777" w:rsidR="004000A8" w:rsidRPr="000B3975" w:rsidRDefault="004000A8" w:rsidP="004000A8">
            <w:pPr>
              <w:jc w:val="both"/>
              <w:rPr>
                <w:rFonts w:asciiTheme="minorHAnsi" w:hAnsiTheme="minorHAnsi" w:cstheme="minorHAnsi"/>
                <w:sz w:val="22"/>
              </w:rPr>
            </w:pPr>
          </w:p>
        </w:tc>
      </w:tr>
      <w:tr w:rsidR="004000A8" w:rsidRPr="00673C92" w14:paraId="27509E77" w14:textId="77777777" w:rsidTr="0025113D">
        <w:tc>
          <w:tcPr>
            <w:tcW w:w="4508" w:type="dxa"/>
          </w:tcPr>
          <w:p w14:paraId="585BCCF3" w14:textId="61DE77F8"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pacing w:val="-3"/>
                <w:sz w:val="22"/>
                <w:lang w:val="fr-FR"/>
              </w:rPr>
              <w:t xml:space="preserve">Cette méthode innovante offre de multiples avantages à l’abonné :  il ne doit plus se rendre dans un point de vente de l’opérateur en vue de </w:t>
            </w:r>
            <w:r w:rsidRPr="000B3975">
              <w:rPr>
                <w:rFonts w:asciiTheme="minorHAnsi" w:hAnsiTheme="minorHAnsi" w:cstheme="minorHAnsi"/>
                <w:spacing w:val="-3"/>
                <w:sz w:val="22"/>
                <w:lang w:val="fr-FR"/>
              </w:rPr>
              <w:lastRenderedPageBreak/>
              <w:t>son identification, cette méthode est simple d’utilisation et ne requiert pas l’installation préalable d’applications sur le téléphone intelligent</w:t>
            </w:r>
            <w:r w:rsidRPr="000B3975">
              <w:rPr>
                <w:rFonts w:asciiTheme="minorHAnsi" w:hAnsiTheme="minorHAnsi" w:cstheme="minorHAnsi"/>
                <w:sz w:val="22"/>
                <w:lang w:val="fr-FR"/>
              </w:rPr>
              <w:t>.</w:t>
            </w:r>
          </w:p>
        </w:tc>
        <w:tc>
          <w:tcPr>
            <w:tcW w:w="4508" w:type="dxa"/>
          </w:tcPr>
          <w:p w14:paraId="54D26A9B" w14:textId="2EAD41C8"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pacing w:val="-3"/>
                <w:sz w:val="22"/>
              </w:rPr>
              <w:lastRenderedPageBreak/>
              <w:t xml:space="preserve">Deze innoverende methode biedt de abonnee talrijke voordelen: hij of zij hoeft niet meer naar een verkooppunt van de operator te gaan om zich </w:t>
            </w:r>
            <w:r w:rsidRPr="000B3975">
              <w:rPr>
                <w:rFonts w:asciiTheme="minorHAnsi" w:hAnsiTheme="minorHAnsi" w:cstheme="minorHAnsi"/>
                <w:spacing w:val="-3"/>
                <w:sz w:val="22"/>
              </w:rPr>
              <w:lastRenderedPageBreak/>
              <w:t xml:space="preserve">te identificeren, </w:t>
            </w:r>
            <w:r w:rsidRPr="000B3975">
              <w:rPr>
                <w:rFonts w:asciiTheme="minorHAnsi" w:hAnsiTheme="minorHAnsi" w:cstheme="minorHAnsi"/>
                <w:sz w:val="22"/>
              </w:rPr>
              <w:t xml:space="preserve"> </w:t>
            </w:r>
            <w:r w:rsidRPr="000B3975">
              <w:rPr>
                <w:rFonts w:asciiTheme="minorHAnsi" w:hAnsiTheme="minorHAnsi" w:cstheme="minorHAnsi"/>
                <w:spacing w:val="-3"/>
                <w:sz w:val="22"/>
              </w:rPr>
              <w:t>deze methode is eenvoudig in gebruik en vereist geen voorafgaande installatie van applicaties op de smartphone.</w:t>
            </w:r>
          </w:p>
        </w:tc>
      </w:tr>
      <w:tr w:rsidR="004000A8" w:rsidRPr="00673C92" w14:paraId="576ADFC5" w14:textId="77777777" w:rsidTr="0025113D">
        <w:tc>
          <w:tcPr>
            <w:tcW w:w="4508" w:type="dxa"/>
          </w:tcPr>
          <w:p w14:paraId="63D5BF93" w14:textId="77777777" w:rsidR="004000A8" w:rsidRPr="00136EDB" w:rsidRDefault="004000A8" w:rsidP="004000A8">
            <w:pPr>
              <w:jc w:val="both"/>
              <w:rPr>
                <w:rFonts w:asciiTheme="minorHAnsi" w:hAnsiTheme="minorHAnsi" w:cstheme="minorHAnsi"/>
                <w:spacing w:val="-3"/>
                <w:sz w:val="22"/>
              </w:rPr>
            </w:pPr>
          </w:p>
        </w:tc>
        <w:tc>
          <w:tcPr>
            <w:tcW w:w="4508" w:type="dxa"/>
          </w:tcPr>
          <w:p w14:paraId="1A234DC3" w14:textId="77777777" w:rsidR="004000A8" w:rsidRPr="000B3975" w:rsidRDefault="004000A8" w:rsidP="004000A8">
            <w:pPr>
              <w:jc w:val="both"/>
              <w:rPr>
                <w:rFonts w:asciiTheme="minorHAnsi" w:hAnsiTheme="minorHAnsi" w:cstheme="minorHAnsi"/>
                <w:spacing w:val="-3"/>
                <w:sz w:val="22"/>
              </w:rPr>
            </w:pPr>
          </w:p>
        </w:tc>
      </w:tr>
      <w:tr w:rsidR="004000A8" w:rsidRPr="00673C92" w14:paraId="382078BF" w14:textId="77777777" w:rsidTr="0025113D">
        <w:tc>
          <w:tcPr>
            <w:tcW w:w="4508" w:type="dxa"/>
          </w:tcPr>
          <w:p w14:paraId="7A7A5384" w14:textId="47C16395"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Il est vrai que le client peut toujours revenir à des méthodes alternatives telles qu’ITSME et le lecteur </w:t>
            </w:r>
            <w:proofErr w:type="spellStart"/>
            <w:r w:rsidRPr="000B3975">
              <w:rPr>
                <w:rFonts w:asciiTheme="minorHAnsi" w:hAnsiTheme="minorHAnsi" w:cstheme="minorHAnsi"/>
                <w:sz w:val="22"/>
                <w:lang w:val="fr-BE"/>
              </w:rPr>
              <w:t>eID</w:t>
            </w:r>
            <w:proofErr w:type="spellEnd"/>
            <w:r w:rsidRPr="000B3975">
              <w:rPr>
                <w:rFonts w:asciiTheme="minorHAnsi" w:hAnsiTheme="minorHAnsi" w:cstheme="minorHAnsi"/>
                <w:sz w:val="22"/>
                <w:lang w:val="fr-BE"/>
              </w:rPr>
              <w:t xml:space="preserve">, ainsi qu’à d’autres méthodes alternatives dans d’autres canaux de vente tels que le magasin physique. </w:t>
            </w:r>
          </w:p>
        </w:tc>
        <w:tc>
          <w:tcPr>
            <w:tcW w:w="4508" w:type="dxa"/>
          </w:tcPr>
          <w:p w14:paraId="41E2E2B8" w14:textId="6116215F"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Het is waar dat de klant altijd kan terugvallen op alternatieve methodes zoals ITSME en de </w:t>
            </w:r>
            <w:proofErr w:type="spellStart"/>
            <w:r w:rsidRPr="000B3975">
              <w:rPr>
                <w:rFonts w:asciiTheme="minorHAnsi" w:hAnsiTheme="minorHAnsi" w:cstheme="minorHAnsi"/>
                <w:sz w:val="22"/>
              </w:rPr>
              <w:t>eID</w:t>
            </w:r>
            <w:proofErr w:type="spellEnd"/>
            <w:r w:rsidRPr="000B3975">
              <w:rPr>
                <w:rFonts w:asciiTheme="minorHAnsi" w:hAnsiTheme="minorHAnsi" w:cstheme="minorHAnsi"/>
                <w:sz w:val="22"/>
              </w:rPr>
              <w:t xml:space="preserve"> reader en ook op alternatieve methodes in andere verkoopkanalen zoals in de fysische winkel. </w:t>
            </w:r>
          </w:p>
        </w:tc>
      </w:tr>
      <w:tr w:rsidR="004000A8" w:rsidRPr="00673C92" w14:paraId="07FCA2E5" w14:textId="77777777" w:rsidTr="0025113D">
        <w:tc>
          <w:tcPr>
            <w:tcW w:w="4508" w:type="dxa"/>
          </w:tcPr>
          <w:p w14:paraId="226C57D5" w14:textId="77777777" w:rsidR="004000A8" w:rsidRPr="00136EDB" w:rsidRDefault="004000A8" w:rsidP="004000A8">
            <w:pPr>
              <w:jc w:val="both"/>
              <w:rPr>
                <w:rFonts w:asciiTheme="minorHAnsi" w:hAnsiTheme="minorHAnsi" w:cstheme="minorHAnsi"/>
                <w:sz w:val="22"/>
              </w:rPr>
            </w:pPr>
          </w:p>
        </w:tc>
        <w:tc>
          <w:tcPr>
            <w:tcW w:w="4508" w:type="dxa"/>
          </w:tcPr>
          <w:p w14:paraId="31724638" w14:textId="77777777" w:rsidR="004000A8" w:rsidRPr="000B3975" w:rsidRDefault="004000A8" w:rsidP="004000A8">
            <w:pPr>
              <w:jc w:val="both"/>
              <w:rPr>
                <w:rFonts w:asciiTheme="minorHAnsi" w:hAnsiTheme="minorHAnsi" w:cstheme="minorHAnsi"/>
                <w:sz w:val="22"/>
              </w:rPr>
            </w:pPr>
          </w:p>
        </w:tc>
      </w:tr>
      <w:tr w:rsidR="004000A8" w:rsidRPr="00673C92" w14:paraId="285D62F7" w14:textId="77777777" w:rsidTr="0025113D">
        <w:tc>
          <w:tcPr>
            <w:tcW w:w="4508" w:type="dxa"/>
          </w:tcPr>
          <w:p w14:paraId="6043C26D" w14:textId="290B15FA"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Toutefois, ces méthodes ne sont pas toujours les plus appropriées pour offrir une réponse dans chaque contexte numérique. L’identification sur la base de la comparaison faciale est complémentaire et constitue un complément nécessaire aux méthodes existantes. </w:t>
            </w:r>
          </w:p>
        </w:tc>
        <w:tc>
          <w:tcPr>
            <w:tcW w:w="4508" w:type="dxa"/>
          </w:tcPr>
          <w:p w14:paraId="2286CC6E" w14:textId="2956D0D8"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Evenwel zijn deze methodes niet steeds het meest geschikt om een antwoord te bieden in elke digitale context. De identificatie op basis van gezichtsvergelijking is complementair en een noodzakelijke aanvulling voor de reeds bestaande methodes.</w:t>
            </w:r>
          </w:p>
        </w:tc>
      </w:tr>
      <w:tr w:rsidR="004000A8" w:rsidRPr="00673C92" w14:paraId="176B9FF5" w14:textId="77777777" w:rsidTr="0025113D">
        <w:tc>
          <w:tcPr>
            <w:tcW w:w="4508" w:type="dxa"/>
          </w:tcPr>
          <w:p w14:paraId="644C24AF" w14:textId="77777777" w:rsidR="004000A8" w:rsidRPr="00136EDB" w:rsidRDefault="004000A8" w:rsidP="004000A8">
            <w:pPr>
              <w:jc w:val="both"/>
              <w:rPr>
                <w:rFonts w:asciiTheme="minorHAnsi" w:hAnsiTheme="minorHAnsi" w:cstheme="minorHAnsi"/>
                <w:sz w:val="22"/>
              </w:rPr>
            </w:pPr>
          </w:p>
        </w:tc>
        <w:tc>
          <w:tcPr>
            <w:tcW w:w="4508" w:type="dxa"/>
          </w:tcPr>
          <w:p w14:paraId="582826F6" w14:textId="77777777" w:rsidR="004000A8" w:rsidRPr="000B3975" w:rsidRDefault="004000A8" w:rsidP="004000A8">
            <w:pPr>
              <w:jc w:val="both"/>
              <w:rPr>
                <w:rFonts w:asciiTheme="minorHAnsi" w:hAnsiTheme="minorHAnsi" w:cstheme="minorHAnsi"/>
                <w:sz w:val="22"/>
              </w:rPr>
            </w:pPr>
          </w:p>
        </w:tc>
      </w:tr>
      <w:tr w:rsidR="004000A8" w:rsidRPr="00673C92" w14:paraId="7BD99474" w14:textId="77777777" w:rsidTr="0025113D">
        <w:tc>
          <w:tcPr>
            <w:tcW w:w="4508" w:type="dxa"/>
          </w:tcPr>
          <w:p w14:paraId="21AA70C1" w14:textId="0296AAB7"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Il est ainsi difficile d’estimer la croissance que connaîtra la méthode ITSME. Celle-ci est facile d’utilisation mais nécessite une activation préalable, ce qui n’est pas le cas lors de l’utilisation des données biométriques. Les opérateurs estiment ainsi que les clients ne disposeront pas toujours d’ITSME.</w:t>
            </w:r>
          </w:p>
        </w:tc>
        <w:tc>
          <w:tcPr>
            <w:tcW w:w="4508" w:type="dxa"/>
          </w:tcPr>
          <w:p w14:paraId="22B4597B" w14:textId="691FE374"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Zo is het moeilijk in te schatten welke groei de ITSME-methode nog zal kennen. ITSME is gemakkelijk in gebruik maar vereist wel een voorafgaande activatie. Dit is niet het geval bij het gebruik van de biometrische gegevens. Zo zijn de operatoren van oordeel dat klanten niet steeds over ITSME zullen beschikken.</w:t>
            </w:r>
          </w:p>
        </w:tc>
      </w:tr>
      <w:tr w:rsidR="004000A8" w:rsidRPr="00673C92" w14:paraId="0711BE68" w14:textId="77777777" w:rsidTr="0025113D">
        <w:tc>
          <w:tcPr>
            <w:tcW w:w="4508" w:type="dxa"/>
          </w:tcPr>
          <w:p w14:paraId="6E92041A" w14:textId="77777777" w:rsidR="004000A8" w:rsidRPr="00136EDB" w:rsidRDefault="004000A8" w:rsidP="004000A8">
            <w:pPr>
              <w:jc w:val="both"/>
              <w:rPr>
                <w:rFonts w:asciiTheme="minorHAnsi" w:hAnsiTheme="minorHAnsi" w:cstheme="minorHAnsi"/>
                <w:sz w:val="22"/>
              </w:rPr>
            </w:pPr>
          </w:p>
        </w:tc>
        <w:tc>
          <w:tcPr>
            <w:tcW w:w="4508" w:type="dxa"/>
          </w:tcPr>
          <w:p w14:paraId="72B43993" w14:textId="77777777" w:rsidR="004000A8" w:rsidRPr="000B3975" w:rsidRDefault="004000A8" w:rsidP="004000A8">
            <w:pPr>
              <w:jc w:val="both"/>
              <w:rPr>
                <w:rFonts w:asciiTheme="minorHAnsi" w:hAnsiTheme="minorHAnsi" w:cstheme="minorHAnsi"/>
                <w:sz w:val="22"/>
              </w:rPr>
            </w:pPr>
          </w:p>
        </w:tc>
      </w:tr>
      <w:tr w:rsidR="004000A8" w:rsidRPr="00673C92" w14:paraId="52E0F68D" w14:textId="77777777" w:rsidTr="0025113D">
        <w:tc>
          <w:tcPr>
            <w:tcW w:w="4508" w:type="dxa"/>
          </w:tcPr>
          <w:p w14:paraId="65211EFF" w14:textId="0765C318"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Il est possible d’utiliser le lecteur </w:t>
            </w:r>
            <w:proofErr w:type="spellStart"/>
            <w:r w:rsidRPr="000B3975">
              <w:rPr>
                <w:rFonts w:asciiTheme="minorHAnsi" w:hAnsiTheme="minorHAnsi" w:cstheme="minorHAnsi"/>
                <w:sz w:val="22"/>
                <w:lang w:val="fr-BE"/>
              </w:rPr>
              <w:t>eID</w:t>
            </w:r>
            <w:proofErr w:type="spellEnd"/>
            <w:r w:rsidRPr="000B3975">
              <w:rPr>
                <w:rFonts w:asciiTheme="minorHAnsi" w:hAnsiTheme="minorHAnsi" w:cstheme="minorHAnsi"/>
                <w:sz w:val="22"/>
                <w:lang w:val="fr-BE"/>
              </w:rPr>
              <w:t xml:space="preserve"> via un ordinateur mais pas via un smartphone, ce qui limite les possibilités de vérification de l’identité d’un client via un smartphone. </w:t>
            </w:r>
          </w:p>
        </w:tc>
        <w:tc>
          <w:tcPr>
            <w:tcW w:w="4508" w:type="dxa"/>
          </w:tcPr>
          <w:p w14:paraId="42AF1C64" w14:textId="65FA340D"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Het gebruik van de </w:t>
            </w:r>
            <w:proofErr w:type="spellStart"/>
            <w:r w:rsidRPr="000B3975">
              <w:rPr>
                <w:rFonts w:asciiTheme="minorHAnsi" w:hAnsiTheme="minorHAnsi" w:cstheme="minorHAnsi"/>
                <w:sz w:val="22"/>
              </w:rPr>
              <w:t>eID</w:t>
            </w:r>
            <w:proofErr w:type="spellEnd"/>
            <w:r w:rsidRPr="000B3975">
              <w:rPr>
                <w:rFonts w:asciiTheme="minorHAnsi" w:hAnsiTheme="minorHAnsi" w:cstheme="minorHAnsi"/>
                <w:sz w:val="22"/>
              </w:rPr>
              <w:t>-lezer is mogelijk via een computer maar niet via een smartphone. De mogelijkheden voor de verificatie van de identiteit van een klant via smartphone zijn daardoor beperkt.</w:t>
            </w:r>
          </w:p>
        </w:tc>
      </w:tr>
      <w:tr w:rsidR="004000A8" w:rsidRPr="00673C92" w14:paraId="4C9E818B" w14:textId="77777777" w:rsidTr="0025113D">
        <w:tc>
          <w:tcPr>
            <w:tcW w:w="4508" w:type="dxa"/>
          </w:tcPr>
          <w:p w14:paraId="770A1D11" w14:textId="77777777" w:rsidR="004000A8" w:rsidRPr="00136EDB" w:rsidRDefault="004000A8" w:rsidP="004000A8">
            <w:pPr>
              <w:jc w:val="both"/>
              <w:rPr>
                <w:rFonts w:asciiTheme="minorHAnsi" w:hAnsiTheme="minorHAnsi" w:cstheme="minorHAnsi"/>
                <w:sz w:val="22"/>
              </w:rPr>
            </w:pPr>
          </w:p>
        </w:tc>
        <w:tc>
          <w:tcPr>
            <w:tcW w:w="4508" w:type="dxa"/>
          </w:tcPr>
          <w:p w14:paraId="5A09FF93" w14:textId="77777777" w:rsidR="004000A8" w:rsidRPr="000B3975" w:rsidRDefault="004000A8" w:rsidP="004000A8">
            <w:pPr>
              <w:jc w:val="both"/>
              <w:rPr>
                <w:rFonts w:asciiTheme="minorHAnsi" w:hAnsiTheme="minorHAnsi" w:cstheme="minorHAnsi"/>
                <w:sz w:val="22"/>
              </w:rPr>
            </w:pPr>
          </w:p>
        </w:tc>
      </w:tr>
      <w:tr w:rsidR="004000A8" w:rsidRPr="00673C92" w14:paraId="0C804F04" w14:textId="77777777" w:rsidTr="0025113D">
        <w:tc>
          <w:tcPr>
            <w:tcW w:w="4508" w:type="dxa"/>
          </w:tcPr>
          <w:p w14:paraId="1B5F7157" w14:textId="4AABC9BD"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De plus, l’utilisation des données biométriques est une solution pour les résidents non belges sans carte électronique belge pour étrangers ou pour les étrangers en visite en Belgique. </w:t>
            </w:r>
            <w:proofErr w:type="spellStart"/>
            <w:r w:rsidRPr="000B3975">
              <w:rPr>
                <w:rFonts w:asciiTheme="minorHAnsi" w:hAnsiTheme="minorHAnsi" w:cstheme="minorHAnsi"/>
                <w:sz w:val="22"/>
                <w:lang w:val="fr-BE"/>
              </w:rPr>
              <w:t>L’eID</w:t>
            </w:r>
            <w:proofErr w:type="spellEnd"/>
            <w:r w:rsidRPr="000B3975">
              <w:rPr>
                <w:rFonts w:asciiTheme="minorHAnsi" w:hAnsiTheme="minorHAnsi" w:cstheme="minorHAnsi"/>
                <w:sz w:val="22"/>
                <w:lang w:val="fr-BE"/>
              </w:rPr>
              <w:t xml:space="preserve"> et ITSME ne sont pas disponibles pour ces clients.</w:t>
            </w:r>
          </w:p>
        </w:tc>
        <w:tc>
          <w:tcPr>
            <w:tcW w:w="4508" w:type="dxa"/>
          </w:tcPr>
          <w:p w14:paraId="378BE295" w14:textId="3B672A88"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Het gebruik van de biometrische gegevens is bovendien een oplossing voor niet-Belgische inwoners zonder Belgische elektronische kaart voor buitenlanders of voor buitenlanders op bezoek in België. Voor deze klanten zijn de </w:t>
            </w:r>
            <w:proofErr w:type="spellStart"/>
            <w:r w:rsidRPr="000B3975">
              <w:rPr>
                <w:rFonts w:asciiTheme="minorHAnsi" w:hAnsiTheme="minorHAnsi" w:cstheme="minorHAnsi"/>
                <w:sz w:val="22"/>
              </w:rPr>
              <w:t>eID</w:t>
            </w:r>
            <w:proofErr w:type="spellEnd"/>
            <w:r w:rsidRPr="000B3975">
              <w:rPr>
                <w:rFonts w:asciiTheme="minorHAnsi" w:hAnsiTheme="minorHAnsi" w:cstheme="minorHAnsi"/>
                <w:sz w:val="22"/>
              </w:rPr>
              <w:t xml:space="preserve"> reader en ITSME niet beschikbaar.</w:t>
            </w:r>
          </w:p>
        </w:tc>
      </w:tr>
      <w:tr w:rsidR="004000A8" w:rsidRPr="00673C92" w14:paraId="6D63B2E8" w14:textId="77777777" w:rsidTr="0025113D">
        <w:tc>
          <w:tcPr>
            <w:tcW w:w="4508" w:type="dxa"/>
          </w:tcPr>
          <w:p w14:paraId="7B085876" w14:textId="77777777" w:rsidR="004000A8" w:rsidRPr="00136EDB" w:rsidRDefault="004000A8" w:rsidP="004000A8">
            <w:pPr>
              <w:jc w:val="both"/>
              <w:rPr>
                <w:rFonts w:asciiTheme="minorHAnsi" w:hAnsiTheme="minorHAnsi" w:cstheme="minorHAnsi"/>
                <w:sz w:val="22"/>
              </w:rPr>
            </w:pPr>
          </w:p>
        </w:tc>
        <w:tc>
          <w:tcPr>
            <w:tcW w:w="4508" w:type="dxa"/>
          </w:tcPr>
          <w:p w14:paraId="0A36A4FA" w14:textId="77777777" w:rsidR="004000A8" w:rsidRPr="000B3975" w:rsidRDefault="004000A8" w:rsidP="004000A8">
            <w:pPr>
              <w:jc w:val="both"/>
              <w:rPr>
                <w:rFonts w:asciiTheme="minorHAnsi" w:hAnsiTheme="minorHAnsi" w:cstheme="minorHAnsi"/>
                <w:sz w:val="22"/>
              </w:rPr>
            </w:pPr>
          </w:p>
        </w:tc>
      </w:tr>
      <w:tr w:rsidR="004000A8" w:rsidRPr="00673C92" w14:paraId="7455D680" w14:textId="77777777" w:rsidTr="0025113D">
        <w:tc>
          <w:tcPr>
            <w:tcW w:w="4508" w:type="dxa"/>
          </w:tcPr>
          <w:p w14:paraId="3163FA9C" w14:textId="7FD77932"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pacing w:val="-3"/>
                <w:sz w:val="22"/>
                <w:lang w:val="fr-FR"/>
              </w:rPr>
              <w:t xml:space="preserve">Les avancées technologiques en la matière ont augmenté la fiabilité de cette méthode.  L’autorisation ministérielle prévue pour valider cette méthode d’identification au cas par cas ne porte que sur la question de savoir si cette méthode est suffisamment fiable pour les services de sécurité (en particulier la police et les services de renseignement et de sécurité). Cette autorisation n’a pas pour objet de se prononcer sur le respect de la législation visant à protéger la vie privée des abonnés.  </w:t>
            </w:r>
          </w:p>
        </w:tc>
        <w:tc>
          <w:tcPr>
            <w:tcW w:w="4508" w:type="dxa"/>
          </w:tcPr>
          <w:p w14:paraId="63920850" w14:textId="0851728C"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pacing w:val="-3"/>
                <w:sz w:val="22"/>
              </w:rPr>
              <w:t xml:space="preserve">De technologische vooruitgang op dat gebied heeft de betrouwbaarheid van die methode vergroot. </w:t>
            </w:r>
            <w:r w:rsidRPr="000B3975">
              <w:rPr>
                <w:rFonts w:asciiTheme="minorHAnsi" w:hAnsiTheme="minorHAnsi" w:cstheme="minorHAnsi"/>
                <w:sz w:val="22"/>
              </w:rPr>
              <w:t xml:space="preserve"> </w:t>
            </w:r>
            <w:r w:rsidRPr="000B3975">
              <w:rPr>
                <w:rFonts w:asciiTheme="minorHAnsi" w:hAnsiTheme="minorHAnsi" w:cstheme="minorHAnsi"/>
                <w:spacing w:val="-3"/>
                <w:sz w:val="22"/>
              </w:rPr>
              <w:t>De ministeriële machtiging die wordt bepaald om deze identificatiemethode te valideren per geval, heeft enkel betrekking op de vraag of deze methode voldoende betrouwbaar is voor de veiligheidsdiensten (in het bijzonder de politie en de inlichtingen- en veiligheidsdiensten). Deze machtiging heeft niet tot doel een uitspraak te doen over de naleving van de wetgeving die tot doel heeft de privacy van de abonnees te beschermen.</w:t>
            </w:r>
          </w:p>
        </w:tc>
      </w:tr>
      <w:tr w:rsidR="004000A8" w:rsidRPr="00673C92" w14:paraId="544CFDDA" w14:textId="77777777" w:rsidTr="0025113D">
        <w:tc>
          <w:tcPr>
            <w:tcW w:w="4508" w:type="dxa"/>
          </w:tcPr>
          <w:p w14:paraId="1C12ECDB" w14:textId="77777777" w:rsidR="004000A8" w:rsidRPr="000B3975" w:rsidRDefault="004000A8" w:rsidP="004000A8">
            <w:pPr>
              <w:jc w:val="both"/>
              <w:rPr>
                <w:rFonts w:asciiTheme="minorHAnsi" w:hAnsiTheme="minorHAnsi" w:cstheme="minorHAnsi"/>
                <w:sz w:val="22"/>
              </w:rPr>
            </w:pPr>
          </w:p>
        </w:tc>
        <w:tc>
          <w:tcPr>
            <w:tcW w:w="4508" w:type="dxa"/>
          </w:tcPr>
          <w:p w14:paraId="1D1546E2" w14:textId="77777777" w:rsidR="004000A8" w:rsidRPr="000B3975" w:rsidRDefault="004000A8" w:rsidP="004000A8">
            <w:pPr>
              <w:jc w:val="both"/>
              <w:rPr>
                <w:rFonts w:asciiTheme="minorHAnsi" w:hAnsiTheme="minorHAnsi" w:cstheme="minorHAnsi"/>
                <w:sz w:val="22"/>
              </w:rPr>
            </w:pPr>
          </w:p>
        </w:tc>
      </w:tr>
      <w:tr w:rsidR="004000A8" w:rsidRPr="00673C92" w14:paraId="6E7AA4D3" w14:textId="77777777" w:rsidTr="0025113D">
        <w:tc>
          <w:tcPr>
            <w:tcW w:w="4508" w:type="dxa"/>
          </w:tcPr>
          <w:p w14:paraId="28B3856A" w14:textId="484D415B"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FR"/>
              </w:rPr>
              <w:t xml:space="preserve">Pour répondre aux préoccupations de l’Autorité de protection des données, certaines conditions entourant l’usage de cette technologie ont été précisées dans l’article même, le RGPD restant d’application. L’abonné doit donner son consentement (au sens du </w:t>
            </w:r>
            <w:r>
              <w:rPr>
                <w:rFonts w:asciiTheme="minorHAnsi" w:hAnsiTheme="minorHAnsi" w:cstheme="minorHAnsi"/>
                <w:sz w:val="22"/>
                <w:lang w:val="fr-FR"/>
              </w:rPr>
              <w:t>RGPD</w:t>
            </w:r>
            <w:r w:rsidRPr="000B3975">
              <w:rPr>
                <w:rFonts w:asciiTheme="minorHAnsi" w:hAnsiTheme="minorHAnsi" w:cstheme="minorHAnsi"/>
                <w:sz w:val="22"/>
                <w:lang w:val="fr-FR"/>
              </w:rPr>
              <w:t xml:space="preserve">) et pour que le consentement soit valable,  l’opérateur doit lui offrir une alternative pour s’identifier. L’opérateur ne pourra pas communiquer les données biométriques à un tiers au sens du RGPD. Il convient à cet égard de noter que l’opérateur fera généralement appel à un ou plusieurs sous-traitants pour la mise en place de la solution de la comparaison faciale. </w:t>
            </w:r>
            <w:bookmarkStart w:id="32" w:name="_Hlk81237324"/>
            <w:r w:rsidRPr="000B3975">
              <w:rPr>
                <w:rFonts w:asciiTheme="minorHAnsi" w:hAnsiTheme="minorHAnsi" w:cstheme="minorHAnsi"/>
                <w:sz w:val="22"/>
                <w:lang w:val="fr-FR"/>
              </w:rPr>
              <w:t xml:space="preserve">Ces sous-traitants ne sont pas considérés comme des tiers, puisque leur rôle est essentiel pour le fonctionnement de la solution. </w:t>
            </w:r>
            <w:bookmarkEnd w:id="32"/>
            <w:r>
              <w:rPr>
                <w:rFonts w:asciiTheme="minorHAnsi" w:hAnsiTheme="minorHAnsi" w:cstheme="minorHAnsi"/>
                <w:sz w:val="22"/>
                <w:lang w:val="fr-FR"/>
              </w:rPr>
              <w:t xml:space="preserve">En vertu des principes de finalité et de nécessité du GDPR, l’opérateur ne pourra traiter les données que dans la mesure nécessaire pour le traitement prévu par la loi, à savoir la comparaison faciale employée uniquement afin de vérifier la fiabilité de l’identité. Par conséquent, </w:t>
            </w:r>
            <w:r>
              <w:rPr>
                <w:rFonts w:asciiTheme="minorHAnsi" w:hAnsiTheme="minorHAnsi" w:cstheme="minorHAnsi"/>
                <w:sz w:val="22"/>
                <w:lang w:val="fr-BE"/>
              </w:rPr>
              <w:t>l’opérateur ne peut pas conserver l</w:t>
            </w:r>
            <w:r w:rsidRPr="00792142">
              <w:rPr>
                <w:rFonts w:asciiTheme="minorHAnsi" w:hAnsiTheme="minorHAnsi" w:cstheme="minorHAnsi"/>
                <w:color w:val="000000" w:themeColor="text1"/>
                <w:sz w:val="22"/>
                <w:lang w:val="fr-FR"/>
              </w:rPr>
              <w:t xml:space="preserve">es paramètres biométriques </w:t>
            </w:r>
            <w:r>
              <w:rPr>
                <w:rFonts w:asciiTheme="minorHAnsi" w:hAnsiTheme="minorHAnsi" w:cstheme="minorHAnsi"/>
                <w:color w:val="000000" w:themeColor="text1"/>
                <w:sz w:val="22"/>
                <w:lang w:val="fr-FR"/>
              </w:rPr>
              <w:t xml:space="preserve">du visage de la personne. Cependant, ce principe ne peut pas aller jusqu’à rendre la comparaison faciale en pratique techniquement impossible à réaliser. </w:t>
            </w:r>
            <w:r w:rsidRPr="000B3975">
              <w:rPr>
                <w:rFonts w:asciiTheme="minorHAnsi" w:hAnsiTheme="minorHAnsi" w:cstheme="minorHAnsi"/>
                <w:sz w:val="22"/>
                <w:lang w:val="fr-BE"/>
              </w:rPr>
              <w:t xml:space="preserve"> Seules les données nécessaires de la carte </w:t>
            </w:r>
            <w:proofErr w:type="spellStart"/>
            <w:r w:rsidRPr="000B3975">
              <w:rPr>
                <w:rFonts w:asciiTheme="minorHAnsi" w:hAnsiTheme="minorHAnsi" w:cstheme="minorHAnsi"/>
                <w:sz w:val="22"/>
                <w:lang w:val="fr-BE"/>
              </w:rPr>
              <w:t>eID</w:t>
            </w:r>
            <w:proofErr w:type="spellEnd"/>
            <w:r w:rsidRPr="000B3975">
              <w:rPr>
                <w:rFonts w:asciiTheme="minorHAnsi" w:hAnsiTheme="minorHAnsi" w:cstheme="minorHAnsi"/>
                <w:sz w:val="22"/>
                <w:lang w:val="fr-BE"/>
              </w:rPr>
              <w:t xml:space="preserve"> sont conservées en vue de l’identification du client.</w:t>
            </w:r>
          </w:p>
        </w:tc>
        <w:tc>
          <w:tcPr>
            <w:tcW w:w="4508" w:type="dxa"/>
          </w:tcPr>
          <w:p w14:paraId="0A11F898" w14:textId="27E0CD5B"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Om op de bezorgdheid van de Gegevensbeschermingsautoriteit te antwoorden, zijn een aantal voorwaarden voor het gebruik van deze technologie gepreciseerd in het artikel zelf, waarbij de AVG van toepassing blijft. De abonnee moet toestemming geven (in de zin van de AVG) en opdat de toestemming geldig is, moet de operator hem of haar een alternatief bieden om zich te identificeren. De operator zal de biometrische gegevens niet mogen meedelen aan een derde zoals bedoeld in de AVG. Wat dat betreft moet worden opgemerkt dat de operator doorgaans een beroep zal doen op een of meer onderaannemers voor de invoering van de oplossing van de gezichtsvergelijking. Deze onderaannemers worden niet beschouwd als derden, aangezien hun rol essentieel is voor de werking van de oplossing.</w:t>
            </w:r>
            <w:r w:rsidR="0062099D">
              <w:rPr>
                <w:rFonts w:asciiTheme="minorHAnsi" w:hAnsiTheme="minorHAnsi" w:cstheme="minorHAnsi"/>
                <w:sz w:val="22"/>
              </w:rPr>
              <w:t xml:space="preserve"> </w:t>
            </w:r>
            <w:r w:rsidRPr="00281341">
              <w:rPr>
                <w:rFonts w:asciiTheme="minorHAnsi" w:hAnsiTheme="minorHAnsi"/>
                <w:sz w:val="22"/>
              </w:rPr>
              <w:t>Krachtens de principes inzake doel en noodzaak van de AVG mag de operator de gegevens maar verwerken voor zover dit noodzakelijk is voor de wettelijk bepaalde verwerking, namelijk de gezichtsvergelijking die enkel toegepast wordt om de betrouwbaarheid van de identiteit na te gaan. Bijgevolg mag de operator de biometrische parameters van het gezicht van de persoon niet bewaren</w:t>
            </w:r>
            <w:r>
              <w:rPr>
                <w:rFonts w:asciiTheme="minorHAnsi" w:hAnsiTheme="minorHAnsi"/>
                <w:sz w:val="22"/>
              </w:rPr>
              <w:t>.</w:t>
            </w:r>
            <w:r>
              <w:rPr>
                <w:rFonts w:asciiTheme="minorHAnsi" w:hAnsiTheme="minorHAnsi"/>
                <w:color w:val="000000" w:themeColor="text1"/>
                <w:sz w:val="22"/>
              </w:rPr>
              <w:t xml:space="preserve"> Dat principe mag echter niet zo ver gaan dat de gezichtsvergelijking in de praktijk technisch onmogelijk wordt.</w:t>
            </w:r>
            <w:r>
              <w:rPr>
                <w:rFonts w:asciiTheme="minorHAnsi" w:hAnsiTheme="minorHAnsi" w:cstheme="minorHAnsi"/>
                <w:sz w:val="22"/>
              </w:rPr>
              <w:t xml:space="preserve"> </w:t>
            </w:r>
            <w:r w:rsidRPr="000B3975">
              <w:rPr>
                <w:rFonts w:asciiTheme="minorHAnsi" w:hAnsiTheme="minorHAnsi" w:cstheme="minorHAnsi"/>
                <w:sz w:val="22"/>
              </w:rPr>
              <w:t xml:space="preserve">Enkel de noodzakelijke gegevens van de </w:t>
            </w:r>
            <w:proofErr w:type="spellStart"/>
            <w:r w:rsidRPr="000B3975">
              <w:rPr>
                <w:rFonts w:asciiTheme="minorHAnsi" w:hAnsiTheme="minorHAnsi" w:cstheme="minorHAnsi"/>
                <w:sz w:val="22"/>
              </w:rPr>
              <w:t>eID</w:t>
            </w:r>
            <w:proofErr w:type="spellEnd"/>
            <w:r w:rsidRPr="000B3975">
              <w:rPr>
                <w:rFonts w:asciiTheme="minorHAnsi" w:hAnsiTheme="minorHAnsi" w:cstheme="minorHAnsi"/>
                <w:sz w:val="22"/>
              </w:rPr>
              <w:t>-kaart worden bewaard met het oog op de identificatie van de klant.</w:t>
            </w:r>
          </w:p>
        </w:tc>
      </w:tr>
      <w:tr w:rsidR="004000A8" w:rsidRPr="00673C92" w14:paraId="5970042A" w14:textId="77777777" w:rsidTr="0025113D">
        <w:tc>
          <w:tcPr>
            <w:tcW w:w="4508" w:type="dxa"/>
          </w:tcPr>
          <w:p w14:paraId="39682957" w14:textId="77777777" w:rsidR="004000A8" w:rsidRPr="000B3975" w:rsidRDefault="004000A8" w:rsidP="004000A8">
            <w:pPr>
              <w:jc w:val="both"/>
              <w:rPr>
                <w:rFonts w:asciiTheme="minorHAnsi" w:hAnsiTheme="minorHAnsi" w:cstheme="minorHAnsi"/>
                <w:sz w:val="22"/>
              </w:rPr>
            </w:pPr>
          </w:p>
        </w:tc>
        <w:tc>
          <w:tcPr>
            <w:tcW w:w="4508" w:type="dxa"/>
          </w:tcPr>
          <w:p w14:paraId="6C06BC3B" w14:textId="77777777" w:rsidR="004000A8" w:rsidRPr="000B3975" w:rsidRDefault="004000A8" w:rsidP="004000A8">
            <w:pPr>
              <w:jc w:val="both"/>
              <w:rPr>
                <w:rFonts w:asciiTheme="minorHAnsi" w:hAnsiTheme="minorHAnsi" w:cstheme="minorHAnsi"/>
                <w:sz w:val="22"/>
              </w:rPr>
            </w:pPr>
          </w:p>
        </w:tc>
      </w:tr>
      <w:tr w:rsidR="004000A8" w:rsidRPr="00673C92" w14:paraId="39A11A83" w14:textId="77777777" w:rsidTr="0025113D">
        <w:tc>
          <w:tcPr>
            <w:tcW w:w="4508" w:type="dxa"/>
          </w:tcPr>
          <w:p w14:paraId="395CAC47" w14:textId="4C28E13C" w:rsidR="004000A8" w:rsidRPr="00D45090" w:rsidRDefault="004000A8" w:rsidP="004000A8">
            <w:pPr>
              <w:jc w:val="both"/>
              <w:rPr>
                <w:rFonts w:asciiTheme="minorHAnsi" w:hAnsiTheme="minorHAnsi" w:cstheme="minorHAnsi"/>
                <w:sz w:val="22"/>
                <w:lang w:val="fr-BE"/>
              </w:rPr>
            </w:pPr>
            <w:r w:rsidRPr="00D45090">
              <w:rPr>
                <w:rFonts w:asciiTheme="minorHAnsi" w:hAnsiTheme="minorHAnsi" w:cstheme="minorHAnsi"/>
                <w:sz w:val="22"/>
                <w:lang w:val="fr-FR"/>
              </w:rPr>
              <w:t xml:space="preserve">L’autorisation des ministres peut porter sur une demande d’un opérateur ou d’un fournisseur de solution de comparaison faciale. Dans ce dernier cas, les opérateurs qui font appel à ce fournisseur bénéficieront en pratique de l’autorisation. </w:t>
            </w:r>
          </w:p>
        </w:tc>
        <w:tc>
          <w:tcPr>
            <w:tcW w:w="4508" w:type="dxa"/>
          </w:tcPr>
          <w:p w14:paraId="334A04A6" w14:textId="575589D8" w:rsidR="004000A8" w:rsidRPr="00D45090" w:rsidRDefault="004000A8" w:rsidP="004000A8">
            <w:pPr>
              <w:jc w:val="both"/>
              <w:rPr>
                <w:rFonts w:asciiTheme="minorHAnsi" w:hAnsiTheme="minorHAnsi" w:cstheme="minorHAnsi"/>
                <w:sz w:val="22"/>
              </w:rPr>
            </w:pPr>
            <w:r w:rsidRPr="00D45090">
              <w:rPr>
                <w:rFonts w:asciiTheme="minorHAnsi" w:hAnsiTheme="minorHAnsi" w:cstheme="minorHAnsi"/>
                <w:sz w:val="22"/>
              </w:rPr>
              <w:t xml:space="preserve">De machtiging van de ministers kan slaan op een verzoek van een operator of van een aanbieder van oplossingen voor gezichtsvergelijking. In dat laatste geval zullen de operatoren die op die aanbieder een beroep doen in de praktijk de machtiging hebben. </w:t>
            </w:r>
          </w:p>
        </w:tc>
      </w:tr>
      <w:tr w:rsidR="004000A8" w:rsidRPr="00673C92" w14:paraId="46C4F546" w14:textId="77777777" w:rsidTr="0025113D">
        <w:tc>
          <w:tcPr>
            <w:tcW w:w="4508" w:type="dxa"/>
          </w:tcPr>
          <w:p w14:paraId="7482F4FE" w14:textId="77777777" w:rsidR="004000A8" w:rsidRPr="00D45090" w:rsidRDefault="004000A8" w:rsidP="004000A8">
            <w:pPr>
              <w:jc w:val="both"/>
              <w:rPr>
                <w:rFonts w:asciiTheme="minorHAnsi" w:hAnsiTheme="minorHAnsi" w:cstheme="minorHAnsi"/>
                <w:sz w:val="22"/>
              </w:rPr>
            </w:pPr>
          </w:p>
        </w:tc>
        <w:tc>
          <w:tcPr>
            <w:tcW w:w="4508" w:type="dxa"/>
          </w:tcPr>
          <w:p w14:paraId="5EFDB992" w14:textId="77777777" w:rsidR="004000A8" w:rsidRPr="00D45090" w:rsidRDefault="004000A8" w:rsidP="004000A8">
            <w:pPr>
              <w:jc w:val="both"/>
              <w:rPr>
                <w:rFonts w:asciiTheme="minorHAnsi" w:hAnsiTheme="minorHAnsi" w:cstheme="minorHAnsi"/>
                <w:sz w:val="22"/>
              </w:rPr>
            </w:pPr>
          </w:p>
        </w:tc>
      </w:tr>
      <w:tr w:rsidR="004000A8" w:rsidRPr="00121BCF" w14:paraId="1882343F" w14:textId="77777777" w:rsidTr="0025113D">
        <w:tc>
          <w:tcPr>
            <w:tcW w:w="4508" w:type="dxa"/>
          </w:tcPr>
          <w:p w14:paraId="0A3F0279" w14:textId="2A3FB6F1" w:rsidR="004000A8" w:rsidRPr="00CA2966" w:rsidRDefault="004000A8" w:rsidP="004000A8">
            <w:pPr>
              <w:jc w:val="both"/>
              <w:rPr>
                <w:rFonts w:asciiTheme="minorHAnsi" w:hAnsiTheme="minorHAnsi" w:cstheme="minorHAnsi"/>
                <w:sz w:val="22"/>
                <w:lang w:val="fr-BE"/>
              </w:rPr>
            </w:pPr>
            <w:r w:rsidRPr="00CA2966">
              <w:rPr>
                <w:rFonts w:asciiTheme="minorHAnsi" w:hAnsiTheme="minorHAnsi" w:cstheme="minorHAnsi"/>
                <w:sz w:val="22"/>
                <w:lang w:val="fr-BE"/>
              </w:rPr>
              <w:t>L</w:t>
            </w:r>
            <w:r>
              <w:rPr>
                <w:rFonts w:asciiTheme="minorHAnsi" w:hAnsiTheme="minorHAnsi" w:cstheme="minorHAnsi"/>
                <w:sz w:val="22"/>
                <w:lang w:val="fr-BE"/>
              </w:rPr>
              <w:t xml:space="preserve">a possibilité pour l’opérateur d’exiger l’introduction du </w:t>
            </w:r>
            <w:r w:rsidRPr="00CA2966">
              <w:rPr>
                <w:rFonts w:asciiTheme="minorHAnsi" w:hAnsiTheme="minorHAnsi" w:cstheme="minorHAnsi"/>
                <w:sz w:val="22"/>
                <w:lang w:val="fr-BE"/>
              </w:rPr>
              <w:t xml:space="preserve"> code PIN lorsqu’un </w:t>
            </w:r>
            <w:r w:rsidRPr="005012B8">
              <w:rPr>
                <w:rFonts w:asciiTheme="minorHAnsi" w:hAnsiTheme="minorHAnsi" w:cstheme="minorHAnsi"/>
                <w:sz w:val="22"/>
                <w:lang w:val="fr-BE"/>
              </w:rPr>
              <w:t xml:space="preserve">abonné s’identifie à l’aide de sa carte </w:t>
            </w:r>
            <w:proofErr w:type="spellStart"/>
            <w:r w:rsidRPr="005012B8">
              <w:rPr>
                <w:rFonts w:asciiTheme="minorHAnsi" w:hAnsiTheme="minorHAnsi" w:cstheme="minorHAnsi"/>
                <w:sz w:val="22"/>
                <w:lang w:val="fr-BE"/>
              </w:rPr>
              <w:t>eID</w:t>
            </w:r>
            <w:proofErr w:type="spellEnd"/>
            <w:r w:rsidRPr="005012B8">
              <w:rPr>
                <w:rFonts w:asciiTheme="minorHAnsi" w:hAnsiTheme="minorHAnsi" w:cstheme="minorHAnsi"/>
                <w:sz w:val="22"/>
                <w:lang w:val="fr-BE"/>
              </w:rPr>
              <w:t xml:space="preserve"> permet d’éviter que l’opérateur ou le point de vente ne doive faire un contrôle de la correspondance entre le porteur de la carte et la carte elle-même et permet également de vérifier l'authenticité du</w:t>
            </w:r>
            <w:r>
              <w:rPr>
                <w:rFonts w:asciiTheme="minorHAnsi" w:hAnsiTheme="minorHAnsi" w:cstheme="minorHAnsi"/>
                <w:sz w:val="22"/>
                <w:lang w:val="fr-BE"/>
              </w:rPr>
              <w:t xml:space="preserve"> document. </w:t>
            </w:r>
          </w:p>
        </w:tc>
        <w:tc>
          <w:tcPr>
            <w:tcW w:w="4508" w:type="dxa"/>
          </w:tcPr>
          <w:p w14:paraId="2E4E9A4C" w14:textId="3D83AB10" w:rsidR="004000A8" w:rsidRPr="00121BCF" w:rsidRDefault="004000A8" w:rsidP="004000A8">
            <w:pPr>
              <w:jc w:val="both"/>
              <w:rPr>
                <w:rFonts w:asciiTheme="minorHAnsi" w:hAnsiTheme="minorHAnsi" w:cstheme="minorHAnsi"/>
                <w:sz w:val="22"/>
              </w:rPr>
            </w:pPr>
            <w:r>
              <w:rPr>
                <w:rFonts w:asciiTheme="minorHAnsi" w:hAnsiTheme="minorHAnsi"/>
                <w:sz w:val="22"/>
              </w:rPr>
              <w:t xml:space="preserve">Door de mogelijkheid voor de operator om te eisen dat de pincode wordt ingetikt wanneer een abonnee zich aan de hand van zijn </w:t>
            </w:r>
            <w:proofErr w:type="spellStart"/>
            <w:r>
              <w:rPr>
                <w:rFonts w:asciiTheme="minorHAnsi" w:hAnsiTheme="minorHAnsi"/>
                <w:sz w:val="22"/>
              </w:rPr>
              <w:t>eID</w:t>
            </w:r>
            <w:proofErr w:type="spellEnd"/>
            <w:r>
              <w:rPr>
                <w:rFonts w:asciiTheme="minorHAnsi" w:hAnsiTheme="minorHAnsi"/>
                <w:sz w:val="22"/>
              </w:rPr>
              <w:t>-kaart identificeert, kan de operator of het verkooppunt vermijden de overeenstemming te moeten nagaan tussen de kaarthouder en de kaart zelf en kan eveneens de authenticiteit van het document nagegaan worden.</w:t>
            </w:r>
          </w:p>
        </w:tc>
      </w:tr>
      <w:tr w:rsidR="004000A8" w:rsidRPr="00121BCF" w14:paraId="6EACA524" w14:textId="77777777" w:rsidTr="0025113D">
        <w:tc>
          <w:tcPr>
            <w:tcW w:w="4508" w:type="dxa"/>
          </w:tcPr>
          <w:p w14:paraId="4994033A" w14:textId="77777777" w:rsidR="004000A8" w:rsidRPr="00121BCF" w:rsidRDefault="004000A8" w:rsidP="004000A8">
            <w:pPr>
              <w:jc w:val="both"/>
              <w:rPr>
                <w:rFonts w:asciiTheme="minorHAnsi" w:hAnsiTheme="minorHAnsi" w:cstheme="minorHAnsi"/>
                <w:sz w:val="22"/>
              </w:rPr>
            </w:pPr>
          </w:p>
        </w:tc>
        <w:tc>
          <w:tcPr>
            <w:tcW w:w="4508" w:type="dxa"/>
          </w:tcPr>
          <w:p w14:paraId="4E4CAD99" w14:textId="77777777" w:rsidR="004000A8" w:rsidRPr="00121BCF" w:rsidRDefault="004000A8" w:rsidP="004000A8">
            <w:pPr>
              <w:jc w:val="both"/>
              <w:rPr>
                <w:rFonts w:asciiTheme="minorHAnsi" w:hAnsiTheme="minorHAnsi" w:cstheme="minorHAnsi"/>
                <w:sz w:val="22"/>
              </w:rPr>
            </w:pPr>
          </w:p>
        </w:tc>
      </w:tr>
      <w:tr w:rsidR="004000A8" w:rsidRPr="00673C92" w14:paraId="43574198" w14:textId="77777777" w:rsidTr="0025113D">
        <w:tc>
          <w:tcPr>
            <w:tcW w:w="4508" w:type="dxa"/>
          </w:tcPr>
          <w:p w14:paraId="0D02531A" w14:textId="451357CF" w:rsidR="004000A8" w:rsidRPr="000B3975" w:rsidRDefault="004000A8" w:rsidP="004000A8">
            <w:pPr>
              <w:jc w:val="both"/>
              <w:rPr>
                <w:rFonts w:asciiTheme="minorHAnsi" w:hAnsiTheme="minorHAnsi" w:cstheme="minorHAnsi"/>
                <w:b/>
                <w:bCs/>
                <w:sz w:val="22"/>
                <w:u w:val="single"/>
                <w:lang w:val="fr-BE"/>
              </w:rPr>
            </w:pPr>
            <w:bookmarkStart w:id="33" w:name="_Toc90638344"/>
            <w:bookmarkStart w:id="34" w:name="_Toc94800264"/>
            <w:r w:rsidRPr="000B3975">
              <w:rPr>
                <w:rFonts w:asciiTheme="minorHAnsi" w:hAnsiTheme="minorHAnsi" w:cstheme="minorHAnsi"/>
                <w:b/>
                <w:bCs/>
                <w:sz w:val="22"/>
                <w:u w:val="single"/>
                <w:lang w:val="fr-BE"/>
              </w:rPr>
              <w:lastRenderedPageBreak/>
              <w:t>Paragraphe 5 : méthode d’identification directe : documents d’identification  admis pour les personnes physiques</w:t>
            </w:r>
            <w:bookmarkEnd w:id="33"/>
            <w:bookmarkEnd w:id="34"/>
          </w:p>
        </w:tc>
        <w:tc>
          <w:tcPr>
            <w:tcW w:w="4508" w:type="dxa"/>
          </w:tcPr>
          <w:p w14:paraId="2D3AC9AA" w14:textId="121C71F3" w:rsidR="004000A8" w:rsidRPr="00215790" w:rsidRDefault="004000A8" w:rsidP="004000A8">
            <w:pPr>
              <w:jc w:val="both"/>
              <w:rPr>
                <w:rFonts w:asciiTheme="minorHAnsi" w:hAnsiTheme="minorHAnsi" w:cstheme="minorHAnsi"/>
                <w:b/>
                <w:bCs/>
                <w:sz w:val="22"/>
                <w:u w:val="single"/>
              </w:rPr>
            </w:pPr>
            <w:bookmarkStart w:id="35" w:name="_Toc94800265"/>
            <w:r w:rsidRPr="00215790">
              <w:rPr>
                <w:rFonts w:asciiTheme="minorHAnsi" w:hAnsiTheme="minorHAnsi" w:cstheme="minorHAnsi"/>
                <w:b/>
                <w:bCs/>
                <w:sz w:val="22"/>
                <w:u w:val="single"/>
              </w:rPr>
              <w:t>Paragraaf 5: directe identificatiemethode: identificatiedocumenten die toegestaan zijn voor natuurlijke personen</w:t>
            </w:r>
            <w:bookmarkEnd w:id="35"/>
          </w:p>
        </w:tc>
      </w:tr>
      <w:tr w:rsidR="004000A8" w:rsidRPr="00673C92" w14:paraId="21B05057" w14:textId="77777777" w:rsidTr="0025113D">
        <w:tc>
          <w:tcPr>
            <w:tcW w:w="4508" w:type="dxa"/>
          </w:tcPr>
          <w:p w14:paraId="057C3EF6" w14:textId="77777777" w:rsidR="004000A8" w:rsidRPr="000B3975" w:rsidRDefault="004000A8" w:rsidP="004000A8">
            <w:pPr>
              <w:jc w:val="both"/>
              <w:rPr>
                <w:rFonts w:asciiTheme="minorHAnsi" w:hAnsiTheme="minorHAnsi" w:cstheme="minorHAnsi"/>
                <w:sz w:val="22"/>
              </w:rPr>
            </w:pPr>
          </w:p>
        </w:tc>
        <w:tc>
          <w:tcPr>
            <w:tcW w:w="4508" w:type="dxa"/>
          </w:tcPr>
          <w:p w14:paraId="0A881593" w14:textId="77777777" w:rsidR="004000A8" w:rsidRPr="000B3975" w:rsidRDefault="004000A8" w:rsidP="004000A8">
            <w:pPr>
              <w:jc w:val="both"/>
              <w:rPr>
                <w:rFonts w:asciiTheme="minorHAnsi" w:hAnsiTheme="minorHAnsi" w:cstheme="minorHAnsi"/>
                <w:sz w:val="22"/>
              </w:rPr>
            </w:pPr>
          </w:p>
        </w:tc>
      </w:tr>
      <w:tr w:rsidR="004000A8" w:rsidRPr="00673C92" w14:paraId="10F18FC6" w14:textId="77777777" w:rsidTr="0025113D">
        <w:tc>
          <w:tcPr>
            <w:tcW w:w="4508" w:type="dxa"/>
          </w:tcPr>
          <w:p w14:paraId="0406EC55" w14:textId="2EED236B"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Pour répondre à l’arrêt de la Cour constitutionnelle du 18 novembre 2021, l’article 127 reprend dorénavant une liste de document</w:t>
            </w:r>
            <w:r>
              <w:rPr>
                <w:rFonts w:asciiTheme="minorHAnsi" w:hAnsiTheme="minorHAnsi" w:cstheme="minorHAnsi"/>
                <w:sz w:val="22"/>
                <w:lang w:val="fr-BE"/>
              </w:rPr>
              <w:t>s</w:t>
            </w:r>
            <w:r w:rsidRPr="000B3975">
              <w:rPr>
                <w:rFonts w:asciiTheme="minorHAnsi" w:hAnsiTheme="minorHAnsi" w:cstheme="minorHAnsi"/>
                <w:sz w:val="22"/>
                <w:lang w:val="fr-BE"/>
              </w:rPr>
              <w:t xml:space="preserve"> d’identification admis. </w:t>
            </w:r>
          </w:p>
        </w:tc>
        <w:tc>
          <w:tcPr>
            <w:tcW w:w="4508" w:type="dxa"/>
          </w:tcPr>
          <w:p w14:paraId="18A51A60" w14:textId="760CA99F"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Om te beantwoorden aan het arrest van het Grondwettelijk Hof van 18 november 2021 bevat artikel 127 voortaan een lijst van toegestane identificatiedocumenten. </w:t>
            </w:r>
          </w:p>
        </w:tc>
      </w:tr>
      <w:tr w:rsidR="004000A8" w:rsidRPr="00673C92" w14:paraId="527E84E4" w14:textId="77777777" w:rsidTr="0025113D">
        <w:tc>
          <w:tcPr>
            <w:tcW w:w="4508" w:type="dxa"/>
          </w:tcPr>
          <w:p w14:paraId="276FB917" w14:textId="77777777" w:rsidR="004000A8" w:rsidRPr="00136EDB" w:rsidRDefault="004000A8" w:rsidP="004000A8">
            <w:pPr>
              <w:jc w:val="both"/>
              <w:rPr>
                <w:rFonts w:asciiTheme="minorHAnsi" w:hAnsiTheme="minorHAnsi" w:cstheme="minorHAnsi"/>
                <w:sz w:val="22"/>
              </w:rPr>
            </w:pPr>
          </w:p>
        </w:tc>
        <w:tc>
          <w:tcPr>
            <w:tcW w:w="4508" w:type="dxa"/>
          </w:tcPr>
          <w:p w14:paraId="041C7343" w14:textId="77777777" w:rsidR="004000A8" w:rsidRPr="000B3975" w:rsidRDefault="004000A8" w:rsidP="004000A8">
            <w:pPr>
              <w:jc w:val="both"/>
              <w:rPr>
                <w:rFonts w:asciiTheme="minorHAnsi" w:hAnsiTheme="minorHAnsi" w:cstheme="minorHAnsi"/>
                <w:sz w:val="22"/>
              </w:rPr>
            </w:pPr>
          </w:p>
        </w:tc>
      </w:tr>
      <w:tr w:rsidR="004000A8" w:rsidRPr="00673C92" w14:paraId="3E1C396F" w14:textId="77777777" w:rsidTr="0025113D">
        <w:tc>
          <w:tcPr>
            <w:tcW w:w="4508" w:type="dxa"/>
          </w:tcPr>
          <w:p w14:paraId="1E254991" w14:textId="3A7B2DA1"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Dans le point B.8.4.1. de son arrêt précité, la Cour constitutionnelle indique que « Pour ce qui est des données d’identification et des documents d’identification concernés, l’article 127 de la loi attaquée dispose qu’il doit s’agir de documents comportant le numéro de registre national […]</w:t>
            </w:r>
            <w:r>
              <w:rPr>
                <w:rFonts w:asciiTheme="minorHAnsi" w:hAnsiTheme="minorHAnsi" w:cstheme="minorHAnsi"/>
                <w:sz w:val="22"/>
                <w:lang w:val="fr-BE"/>
              </w:rPr>
              <w:t xml:space="preserve"> </w:t>
            </w:r>
            <w:r w:rsidRPr="000B3975">
              <w:rPr>
                <w:rFonts w:asciiTheme="minorHAnsi" w:hAnsiTheme="minorHAnsi" w:cstheme="minorHAnsi"/>
                <w:sz w:val="22"/>
                <w:lang w:val="fr-BE"/>
              </w:rPr>
              <w:t xml:space="preserve">». </w:t>
            </w:r>
          </w:p>
        </w:tc>
        <w:tc>
          <w:tcPr>
            <w:tcW w:w="4508" w:type="dxa"/>
          </w:tcPr>
          <w:p w14:paraId="178400B7" w14:textId="0D5DFBB5"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In punt B.8.4.1. van zijn voormelde arrest zegt het Grondwettelijk Hof: “Wat de betrokken identificatiegegevens en identificatiedocumenten betreft, bepaalt artikel 127 van de bestreden wet dat het moet gaan om documenten die het rijksregisternummer bevatten [...]”.</w:t>
            </w:r>
          </w:p>
        </w:tc>
      </w:tr>
      <w:tr w:rsidR="004000A8" w:rsidRPr="00673C92" w14:paraId="29D7702A" w14:textId="77777777" w:rsidTr="0025113D">
        <w:tc>
          <w:tcPr>
            <w:tcW w:w="4508" w:type="dxa"/>
          </w:tcPr>
          <w:p w14:paraId="707847FF" w14:textId="77777777" w:rsidR="004000A8" w:rsidRPr="00136EDB" w:rsidRDefault="004000A8" w:rsidP="004000A8">
            <w:pPr>
              <w:jc w:val="both"/>
              <w:rPr>
                <w:rFonts w:asciiTheme="minorHAnsi" w:hAnsiTheme="minorHAnsi" w:cstheme="minorHAnsi"/>
                <w:sz w:val="22"/>
              </w:rPr>
            </w:pPr>
          </w:p>
        </w:tc>
        <w:tc>
          <w:tcPr>
            <w:tcW w:w="4508" w:type="dxa"/>
          </w:tcPr>
          <w:p w14:paraId="516EFC72" w14:textId="77777777" w:rsidR="004000A8" w:rsidRPr="000B3975" w:rsidRDefault="004000A8" w:rsidP="004000A8">
            <w:pPr>
              <w:jc w:val="both"/>
              <w:rPr>
                <w:rFonts w:asciiTheme="minorHAnsi" w:hAnsiTheme="minorHAnsi" w:cstheme="minorHAnsi"/>
                <w:sz w:val="22"/>
              </w:rPr>
            </w:pPr>
          </w:p>
        </w:tc>
      </w:tr>
      <w:tr w:rsidR="004000A8" w:rsidRPr="00673C92" w14:paraId="39FAC854" w14:textId="77777777" w:rsidTr="0025113D">
        <w:tc>
          <w:tcPr>
            <w:tcW w:w="4508" w:type="dxa"/>
          </w:tcPr>
          <w:p w14:paraId="5BD41FB4" w14:textId="698E01B4"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Ceci n’est cependant pas exigé dans l’article 127, dès lors que certains documents d’identité, tel un passeport international, sont admis pour s’identifier, sans que ces documents ne comprennent le numéro de registre national belge.</w:t>
            </w:r>
          </w:p>
        </w:tc>
        <w:tc>
          <w:tcPr>
            <w:tcW w:w="4508" w:type="dxa"/>
          </w:tcPr>
          <w:p w14:paraId="73D1280F" w14:textId="07E44404"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Dat wordt echter in artikel 127 niet geëist, aangezien bepaalde identificatiedocumenten, zoals een internationaal paspoort, toegestaan zijn om zich te identificeren, terwijl die documenten toch geen Belgisch rijksregisternummer bevatten.</w:t>
            </w:r>
          </w:p>
        </w:tc>
      </w:tr>
      <w:tr w:rsidR="004000A8" w:rsidRPr="00673C92" w14:paraId="25669A78" w14:textId="77777777" w:rsidTr="0025113D">
        <w:tc>
          <w:tcPr>
            <w:tcW w:w="4508" w:type="dxa"/>
          </w:tcPr>
          <w:p w14:paraId="2C392D7D" w14:textId="77777777" w:rsidR="004000A8" w:rsidRPr="00136EDB" w:rsidRDefault="004000A8" w:rsidP="004000A8">
            <w:pPr>
              <w:jc w:val="both"/>
              <w:rPr>
                <w:rFonts w:asciiTheme="minorHAnsi" w:hAnsiTheme="minorHAnsi" w:cstheme="minorHAnsi"/>
                <w:sz w:val="22"/>
              </w:rPr>
            </w:pPr>
          </w:p>
        </w:tc>
        <w:tc>
          <w:tcPr>
            <w:tcW w:w="4508" w:type="dxa"/>
          </w:tcPr>
          <w:p w14:paraId="2892DE4B" w14:textId="77777777" w:rsidR="004000A8" w:rsidRPr="000B3975" w:rsidRDefault="004000A8" w:rsidP="004000A8">
            <w:pPr>
              <w:jc w:val="both"/>
              <w:rPr>
                <w:rFonts w:asciiTheme="minorHAnsi" w:hAnsiTheme="minorHAnsi" w:cstheme="minorHAnsi"/>
                <w:sz w:val="22"/>
              </w:rPr>
            </w:pPr>
          </w:p>
        </w:tc>
      </w:tr>
      <w:tr w:rsidR="004000A8" w:rsidRPr="00673C92" w14:paraId="64616BAF" w14:textId="77777777" w:rsidTr="0025113D">
        <w:tc>
          <w:tcPr>
            <w:tcW w:w="4508" w:type="dxa"/>
          </w:tcPr>
          <w:p w14:paraId="64E4022D" w14:textId="3C8A3BBA"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En principe, un Belge doit s’identifier en Belgique à l’aide de sa carte d’identité électronique belge et non à l’aide de son passeport international. De plus, il est plus difficile pour un opérateur de vérifier la fiabilité d’un passeport international que la fiabilité d’une carte d’identité belge. Cependant, on ne peut pas exclure que des Belges résidant à l’étranger disposent d’un passeport belge mais plus d’une carte d’identité belge. Il convient de permettre à ces personnes lors de leur visite en Belgique de souscrire à l’aide de leur passeport à des services de communications électroniques prépayés. </w:t>
            </w:r>
          </w:p>
        </w:tc>
        <w:tc>
          <w:tcPr>
            <w:tcW w:w="4508" w:type="dxa"/>
          </w:tcPr>
          <w:p w14:paraId="1A345303" w14:textId="5B3C2D55"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In principe moet een Belg zich in België identificeren aan de hand van zijn Belgische elektronische identiteitskaart en niet door middel van zijn internationaal paspoort. Bovendien is het moeilijker voor een operator om de betrouwbaarheid van een internationaal paspoort te controleren dan de betrouwbaarheid van een Belgische identiteitskaart. Toch kan niet worden uitgesloten dat Belgen die in het buitenland verblijven, over een Belgisch paspoort beschikken maar niet langer over een Belgische identiteitskaart.  Deze personen moeten bij hun bezoek aan België de mogelijkheid krijgen om aan de hand van hun paspoort in te tekenen op </w:t>
            </w:r>
            <w:proofErr w:type="spellStart"/>
            <w:r w:rsidRPr="000B3975">
              <w:rPr>
                <w:rFonts w:asciiTheme="minorHAnsi" w:hAnsiTheme="minorHAnsi" w:cstheme="minorHAnsi"/>
                <w:sz w:val="22"/>
              </w:rPr>
              <w:t>voorafbetaalde</w:t>
            </w:r>
            <w:proofErr w:type="spellEnd"/>
            <w:r w:rsidRPr="000B3975">
              <w:rPr>
                <w:rFonts w:asciiTheme="minorHAnsi" w:hAnsiTheme="minorHAnsi" w:cstheme="minorHAnsi"/>
                <w:sz w:val="22"/>
              </w:rPr>
              <w:t xml:space="preserve"> elektronische-communicatiediensten.</w:t>
            </w:r>
          </w:p>
        </w:tc>
      </w:tr>
      <w:tr w:rsidR="004000A8" w:rsidRPr="00673C92" w14:paraId="3557D0BF" w14:textId="77777777" w:rsidTr="0025113D">
        <w:tc>
          <w:tcPr>
            <w:tcW w:w="4508" w:type="dxa"/>
          </w:tcPr>
          <w:p w14:paraId="42C1E1F3" w14:textId="77777777" w:rsidR="004000A8" w:rsidRPr="00136EDB" w:rsidRDefault="004000A8" w:rsidP="004000A8">
            <w:pPr>
              <w:jc w:val="both"/>
              <w:rPr>
                <w:rFonts w:asciiTheme="minorHAnsi" w:hAnsiTheme="minorHAnsi" w:cstheme="minorHAnsi"/>
                <w:sz w:val="22"/>
              </w:rPr>
            </w:pPr>
          </w:p>
        </w:tc>
        <w:tc>
          <w:tcPr>
            <w:tcW w:w="4508" w:type="dxa"/>
          </w:tcPr>
          <w:p w14:paraId="2305ECBD" w14:textId="77777777" w:rsidR="004000A8" w:rsidRPr="000B3975" w:rsidRDefault="004000A8" w:rsidP="004000A8">
            <w:pPr>
              <w:jc w:val="both"/>
              <w:rPr>
                <w:rFonts w:asciiTheme="minorHAnsi" w:hAnsiTheme="minorHAnsi" w:cstheme="minorHAnsi"/>
                <w:sz w:val="22"/>
              </w:rPr>
            </w:pPr>
          </w:p>
        </w:tc>
      </w:tr>
      <w:tr w:rsidR="004000A8" w:rsidRPr="00673C92" w14:paraId="3905F8F2" w14:textId="77777777" w:rsidTr="0025113D">
        <w:tc>
          <w:tcPr>
            <w:tcW w:w="4508" w:type="dxa"/>
          </w:tcPr>
          <w:p w14:paraId="086D115D" w14:textId="2EA3FA49"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L’annexe 35 est utilisée dans le cadre d’une procédure de recours contre une décision d’éloignement du territoire et cette annexe donne la possibilité à la personne bénéficiaire de rester sur le territoire pendant le temps de la procédure de recours. Dès lors que ce document ne présente pas suffisamment de garantie de fiabilité, l’annexe 35 n’est admise comme document d’identification que pour autant que </w:t>
            </w:r>
            <w:r w:rsidRPr="000B3975">
              <w:rPr>
                <w:rFonts w:asciiTheme="minorHAnsi" w:hAnsiTheme="minorHAnsi" w:cstheme="minorHAnsi"/>
                <w:sz w:val="22"/>
                <w:lang w:val="fr-BE"/>
              </w:rPr>
              <w:lastRenderedPageBreak/>
              <w:t>soit soumis à l’opérateur en même temps un autre document d’identification, dont la durée de validité peut avoir été dépassée. Cette dérogation au principe selon lequel les opérateurs n’acceptent que les documents d’identification dont la durée de validité n’est pas expirée se justifie par le fait qu’exiger une annexe 35 ainsi qu’un document d’identification dont la durée de validité n’est pas dépassée reviendrait à priver les bénéficiaires d’une annexe 35 de la possibilité de souscrire à un service de communications électroniques lorsque la validité de ce document d’identification expire au cours de la procédure de recours.</w:t>
            </w:r>
          </w:p>
        </w:tc>
        <w:tc>
          <w:tcPr>
            <w:tcW w:w="4508" w:type="dxa"/>
          </w:tcPr>
          <w:p w14:paraId="5B3FC8C4" w14:textId="63C58547"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lastRenderedPageBreak/>
              <w:t xml:space="preserve">Bijlage 35 wordt gebruikt in het kader van een beroepsprocedure tegen een bevel om het grondgebied te verlaten en deze bijlage stelt de begunstigde in staat om op het grondgebied te blijven zolang de beroepsprocedure loopt. Gegeven het feit dat dit document niet voldoende garantie biedt inzake betrouwbaarheid, wordt bijlage 35 enkel toegestaan als identificatiestuk op voorwaarde </w:t>
            </w:r>
            <w:r w:rsidRPr="000B3975">
              <w:rPr>
                <w:rFonts w:asciiTheme="minorHAnsi" w:hAnsiTheme="minorHAnsi" w:cstheme="minorHAnsi"/>
                <w:sz w:val="22"/>
              </w:rPr>
              <w:lastRenderedPageBreak/>
              <w:t>dat tegelijk aan de operator een andere identificatiestuk wordt voorgelegd, waarvan de geldigheidsduur mag verstreken zijn. Deze afwijking op het principe volgens welk de operatoren enkel die identificatiestukken aanvaarden waarvan de geldigheidsduur niet verstreken is, is te rechtvaardigen doordat het eisen van een bijlage 35 in combinatie met een identificatiestuk waarvan de geldigheidsduur niet is verstreken, zou inhouden dat de begunstigde van een bijlage 35 de mogelijkheid zou worden ontnomen om in te tekenen op een elektronische-communicatiedienst wanneer de geldigheidsduur van dat identificatiestuk verstrijkt in de loop van de beroepsprocedure.</w:t>
            </w:r>
          </w:p>
        </w:tc>
      </w:tr>
      <w:tr w:rsidR="004000A8" w:rsidRPr="00673C92" w14:paraId="286506A3" w14:textId="77777777" w:rsidTr="0025113D">
        <w:tc>
          <w:tcPr>
            <w:tcW w:w="4508" w:type="dxa"/>
          </w:tcPr>
          <w:p w14:paraId="7811A676" w14:textId="77777777" w:rsidR="004000A8" w:rsidRPr="00136EDB" w:rsidRDefault="004000A8" w:rsidP="004000A8">
            <w:pPr>
              <w:jc w:val="both"/>
              <w:rPr>
                <w:rFonts w:asciiTheme="minorHAnsi" w:hAnsiTheme="minorHAnsi" w:cstheme="minorHAnsi"/>
                <w:sz w:val="22"/>
              </w:rPr>
            </w:pPr>
          </w:p>
        </w:tc>
        <w:tc>
          <w:tcPr>
            <w:tcW w:w="4508" w:type="dxa"/>
          </w:tcPr>
          <w:p w14:paraId="582BEE62" w14:textId="77777777" w:rsidR="004000A8" w:rsidRPr="000B3975" w:rsidRDefault="004000A8" w:rsidP="004000A8">
            <w:pPr>
              <w:jc w:val="both"/>
              <w:rPr>
                <w:rFonts w:asciiTheme="minorHAnsi" w:hAnsiTheme="minorHAnsi" w:cstheme="minorHAnsi"/>
                <w:sz w:val="22"/>
              </w:rPr>
            </w:pPr>
          </w:p>
        </w:tc>
      </w:tr>
      <w:tr w:rsidR="004000A8" w:rsidRPr="00673C92" w14:paraId="27442980" w14:textId="77777777" w:rsidTr="0025113D">
        <w:tc>
          <w:tcPr>
            <w:tcW w:w="4508" w:type="dxa"/>
          </w:tcPr>
          <w:p w14:paraId="352C2B6A" w14:textId="359B51AB"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L’annexe 12 est une attestation de remplacement ou de déclaration de perte, de vol ou de destruction d’une carte d’identité, d’une carte pour étrangers ou de tout autre document de séjour. D’une part, il y a un risque de falsification de ce type de document. Mais, d’autre part, refuser ce type de document signifierait qu’une personne ne pourrait pas souscrire à un service de communications électroniques lorsqu’elle ne dispose plus de son </w:t>
            </w:r>
            <w:r>
              <w:rPr>
                <w:rFonts w:asciiTheme="minorHAnsi" w:hAnsiTheme="minorHAnsi" w:cstheme="minorHAnsi"/>
                <w:sz w:val="22"/>
                <w:lang w:val="fr-BE"/>
              </w:rPr>
              <w:t>document d’identification</w:t>
            </w:r>
            <w:r w:rsidRPr="000B3975">
              <w:rPr>
                <w:rFonts w:asciiTheme="minorHAnsi" w:hAnsiTheme="minorHAnsi" w:cstheme="minorHAnsi"/>
                <w:sz w:val="22"/>
                <w:lang w:val="fr-BE"/>
              </w:rPr>
              <w:t>. Pour trouver un équilibre entre ces différents intérêts, l’annexe 12 n’est admis</w:t>
            </w:r>
            <w:r>
              <w:rPr>
                <w:rFonts w:asciiTheme="minorHAnsi" w:hAnsiTheme="minorHAnsi" w:cstheme="minorHAnsi"/>
                <w:sz w:val="22"/>
                <w:lang w:val="fr-BE"/>
              </w:rPr>
              <w:t>e</w:t>
            </w:r>
            <w:r w:rsidRPr="000B3975">
              <w:rPr>
                <w:rFonts w:asciiTheme="minorHAnsi" w:hAnsiTheme="minorHAnsi" w:cstheme="minorHAnsi"/>
                <w:sz w:val="22"/>
                <w:lang w:val="fr-BE"/>
              </w:rPr>
              <w:t xml:space="preserve"> que pour la souscription à un service prépayé. </w:t>
            </w:r>
          </w:p>
        </w:tc>
        <w:tc>
          <w:tcPr>
            <w:tcW w:w="4508" w:type="dxa"/>
          </w:tcPr>
          <w:p w14:paraId="7A8A50A1" w14:textId="2298DEF2"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Bijlage 12 is een bewijs van vervanging of aangifte van verlies, diefstal of vernietiging van een identiteitskaart, een vreemdelingenkaart of elk ander verblijfsdocument. Enerzijds bestaat het risico van vervalsing van dit soort van document. Maar anderzijds zou het weigeren van dit soort van document inhouden dat een persoon niet zou kunnen intekenen op een elektronische-communicatiedienst wanneer deze niet langer over zijn of haar </w:t>
            </w:r>
            <w:r>
              <w:rPr>
                <w:rFonts w:asciiTheme="minorHAnsi" w:hAnsiTheme="minorHAnsi" w:cstheme="minorHAnsi"/>
                <w:sz w:val="22"/>
              </w:rPr>
              <w:t>identificatiedocument</w:t>
            </w:r>
            <w:r w:rsidRPr="000B3975">
              <w:rPr>
                <w:rFonts w:asciiTheme="minorHAnsi" w:hAnsiTheme="minorHAnsi" w:cstheme="minorHAnsi"/>
                <w:sz w:val="22"/>
              </w:rPr>
              <w:t xml:space="preserve"> beschikt. Om een evenwicht te vinden tussen deze verschillende belangen, wordt bijlage 12 enkel toegestaan om in te tekenen op een </w:t>
            </w:r>
            <w:proofErr w:type="spellStart"/>
            <w:r w:rsidRPr="000B3975">
              <w:rPr>
                <w:rFonts w:asciiTheme="minorHAnsi" w:hAnsiTheme="minorHAnsi" w:cstheme="minorHAnsi"/>
                <w:sz w:val="22"/>
              </w:rPr>
              <w:t>voorafbetaalde</w:t>
            </w:r>
            <w:proofErr w:type="spellEnd"/>
            <w:r w:rsidRPr="000B3975">
              <w:rPr>
                <w:rFonts w:asciiTheme="minorHAnsi" w:hAnsiTheme="minorHAnsi" w:cstheme="minorHAnsi"/>
                <w:sz w:val="22"/>
              </w:rPr>
              <w:t xml:space="preserve"> dienst.</w:t>
            </w:r>
          </w:p>
        </w:tc>
      </w:tr>
      <w:tr w:rsidR="004000A8" w:rsidRPr="00673C92" w14:paraId="45F146E2" w14:textId="77777777" w:rsidTr="0025113D">
        <w:tc>
          <w:tcPr>
            <w:tcW w:w="4508" w:type="dxa"/>
          </w:tcPr>
          <w:p w14:paraId="4CFA937E" w14:textId="77777777" w:rsidR="004000A8" w:rsidRPr="00136EDB" w:rsidRDefault="004000A8" w:rsidP="004000A8">
            <w:pPr>
              <w:jc w:val="both"/>
              <w:rPr>
                <w:rFonts w:asciiTheme="minorHAnsi" w:hAnsiTheme="minorHAnsi" w:cstheme="minorHAnsi"/>
                <w:sz w:val="22"/>
              </w:rPr>
            </w:pPr>
          </w:p>
        </w:tc>
        <w:tc>
          <w:tcPr>
            <w:tcW w:w="4508" w:type="dxa"/>
          </w:tcPr>
          <w:p w14:paraId="43F916EC" w14:textId="77777777" w:rsidR="004000A8" w:rsidRPr="000B3975" w:rsidRDefault="004000A8" w:rsidP="004000A8">
            <w:pPr>
              <w:jc w:val="both"/>
              <w:rPr>
                <w:rFonts w:asciiTheme="minorHAnsi" w:hAnsiTheme="minorHAnsi" w:cstheme="minorHAnsi"/>
                <w:sz w:val="22"/>
              </w:rPr>
            </w:pPr>
          </w:p>
        </w:tc>
      </w:tr>
      <w:tr w:rsidR="004000A8" w:rsidRPr="00673C92" w14:paraId="0017CDA3" w14:textId="77777777" w:rsidTr="0025113D">
        <w:tc>
          <w:tcPr>
            <w:tcW w:w="4508" w:type="dxa"/>
          </w:tcPr>
          <w:p w14:paraId="7CF8D476" w14:textId="68393BBF"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Vu qu’il est possible qu’un </w:t>
            </w:r>
            <w:r>
              <w:rPr>
                <w:rFonts w:asciiTheme="minorHAnsi" w:hAnsiTheme="minorHAnsi" w:cstheme="minorHAnsi"/>
                <w:sz w:val="22"/>
                <w:lang w:val="fr-BE"/>
              </w:rPr>
              <w:t>document d’identification</w:t>
            </w:r>
            <w:r w:rsidRPr="000B3975">
              <w:rPr>
                <w:rFonts w:asciiTheme="minorHAnsi" w:hAnsiTheme="minorHAnsi" w:cstheme="minorHAnsi"/>
                <w:sz w:val="22"/>
                <w:lang w:val="fr-BE"/>
              </w:rPr>
              <w:t xml:space="preserve"> ait été oublié sur la liste et que si c’est le cas, une personne pourrait ne pas être en mesure de s’identifier auprès d’un opérateur afin de pouvoir bénéficier d’un service de communications électroniques, il est prévu que le Roi puisse compléter en urgence cette liste. L’arrêté royal devra cependant être confirmé par la Chambre des représentants.</w:t>
            </w:r>
          </w:p>
        </w:tc>
        <w:tc>
          <w:tcPr>
            <w:tcW w:w="4508" w:type="dxa"/>
          </w:tcPr>
          <w:p w14:paraId="70FB9F36" w14:textId="768EDC27"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Vermits het mogelijk is dat een identificatiedocument vergeten wordt op de lijst en het, in dat geval kan gebeuren dat een persoon zich bij een operator niet kan identificeren om een elektronische-communicatiedienst te kunnen krijgen, is bepaald dat de Koning deze lijst met spoed kan aanvullen. Het koninklijk besluit zal evenwel bekrachtigd moet worden door de Kamer van volksvertegenwoordigers.</w:t>
            </w:r>
          </w:p>
        </w:tc>
      </w:tr>
      <w:tr w:rsidR="004000A8" w:rsidRPr="00673C92" w14:paraId="6FFCB9E8" w14:textId="77777777" w:rsidTr="0025113D">
        <w:tc>
          <w:tcPr>
            <w:tcW w:w="4508" w:type="dxa"/>
          </w:tcPr>
          <w:p w14:paraId="24A3E3C8" w14:textId="77777777" w:rsidR="004000A8" w:rsidRPr="00136EDB" w:rsidRDefault="004000A8" w:rsidP="004000A8">
            <w:pPr>
              <w:jc w:val="both"/>
              <w:rPr>
                <w:rFonts w:asciiTheme="minorHAnsi" w:hAnsiTheme="minorHAnsi" w:cstheme="minorHAnsi"/>
                <w:sz w:val="22"/>
              </w:rPr>
            </w:pPr>
          </w:p>
        </w:tc>
        <w:tc>
          <w:tcPr>
            <w:tcW w:w="4508" w:type="dxa"/>
          </w:tcPr>
          <w:p w14:paraId="3E662741" w14:textId="77777777" w:rsidR="004000A8" w:rsidRPr="000B3975" w:rsidRDefault="004000A8" w:rsidP="004000A8">
            <w:pPr>
              <w:jc w:val="both"/>
              <w:rPr>
                <w:rFonts w:asciiTheme="minorHAnsi" w:hAnsiTheme="minorHAnsi" w:cstheme="minorHAnsi"/>
                <w:sz w:val="22"/>
              </w:rPr>
            </w:pPr>
          </w:p>
        </w:tc>
      </w:tr>
      <w:tr w:rsidR="004000A8" w:rsidRPr="00673C92" w14:paraId="567DE58B" w14:textId="77777777" w:rsidTr="0025113D">
        <w:tc>
          <w:tcPr>
            <w:tcW w:w="4508" w:type="dxa"/>
          </w:tcPr>
          <w:p w14:paraId="2C3892CC" w14:textId="61A0C6FE"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L’alinéa 3 reprend un principe déjà contenu dans l’article 127 actuel. L’opérateur ne peut pas conserver une copie de la carte d’identité électronique belge, dès lors qu’il est possible d’extraire de cette carte d’identité, de manière électronique et fiable, des données relatives à l’identité civile de la personne physique (en particulier le numéro de registre national). Par contre, les opérateurs sont moins familiers avec </w:t>
            </w:r>
            <w:r w:rsidRPr="000B3975">
              <w:rPr>
                <w:rFonts w:asciiTheme="minorHAnsi" w:hAnsiTheme="minorHAnsi" w:cstheme="minorHAnsi"/>
                <w:sz w:val="22"/>
                <w:lang w:val="fr-BE"/>
              </w:rPr>
              <w:lastRenderedPageBreak/>
              <w:t xml:space="preserve">les cartes d’identité étrangères et les passeports étrangers, ce qui justifie qu’ils doivent conserver  une copie de ces documents.    </w:t>
            </w:r>
          </w:p>
        </w:tc>
        <w:tc>
          <w:tcPr>
            <w:tcW w:w="4508" w:type="dxa"/>
          </w:tcPr>
          <w:p w14:paraId="116478E0" w14:textId="6FFEDDCE"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lastRenderedPageBreak/>
              <w:t xml:space="preserve">Het derde lid neemt een principe over dat reeds in het huidige artikel 127 vervat is. De operator mag geen kopie van de Belgische elektronische identiteitskaart bewaren, aangezien het mogelijk is om uit die identiteitskaart, elektronisch en op betrouwbare wijze, gegevens op te halen met betrekking tot de burgerlijke identiteit van de natuurlijke persoon (in het bijzonder het rijksregisternummer). De </w:t>
            </w:r>
            <w:r w:rsidRPr="000B3975">
              <w:rPr>
                <w:rFonts w:asciiTheme="minorHAnsi" w:hAnsiTheme="minorHAnsi" w:cstheme="minorHAnsi"/>
                <w:sz w:val="22"/>
              </w:rPr>
              <w:lastRenderedPageBreak/>
              <w:t xml:space="preserve">operatoren zijn daarentegen minder vertrouwd met de buitenlandse identiteitskaarten en vreemdelingenpassen, waardoor het gerechtvaardigd is dat zij van die documenten een kopie moeten bewaren.    </w:t>
            </w:r>
          </w:p>
        </w:tc>
      </w:tr>
      <w:tr w:rsidR="004000A8" w:rsidRPr="00673C92" w14:paraId="0ACC6876" w14:textId="77777777" w:rsidTr="0025113D">
        <w:tc>
          <w:tcPr>
            <w:tcW w:w="4508" w:type="dxa"/>
          </w:tcPr>
          <w:p w14:paraId="2F43D269" w14:textId="77777777" w:rsidR="004000A8" w:rsidRPr="00136EDB" w:rsidRDefault="004000A8" w:rsidP="004000A8">
            <w:pPr>
              <w:jc w:val="both"/>
              <w:rPr>
                <w:rFonts w:asciiTheme="minorHAnsi" w:hAnsiTheme="minorHAnsi" w:cstheme="minorHAnsi"/>
                <w:sz w:val="22"/>
              </w:rPr>
            </w:pPr>
          </w:p>
        </w:tc>
        <w:tc>
          <w:tcPr>
            <w:tcW w:w="4508" w:type="dxa"/>
          </w:tcPr>
          <w:p w14:paraId="57EBC409" w14:textId="77777777" w:rsidR="004000A8" w:rsidRPr="000B3975" w:rsidRDefault="004000A8" w:rsidP="004000A8">
            <w:pPr>
              <w:jc w:val="both"/>
              <w:rPr>
                <w:rFonts w:asciiTheme="minorHAnsi" w:hAnsiTheme="minorHAnsi" w:cstheme="minorHAnsi"/>
                <w:sz w:val="22"/>
              </w:rPr>
            </w:pPr>
          </w:p>
        </w:tc>
      </w:tr>
      <w:tr w:rsidR="004000A8" w:rsidRPr="00673C92" w14:paraId="196F3362" w14:textId="77777777" w:rsidTr="0025113D">
        <w:tc>
          <w:tcPr>
            <w:tcW w:w="4508" w:type="dxa"/>
          </w:tcPr>
          <w:p w14:paraId="36DBD9DE" w14:textId="1F901861"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Vu la difficulté pour les opérateurs de détecter les documents d’identité qui seraient falsifiés, ces derniers demandent parfois à l’abonné de leur fournir des factures d’entreprises reconnues d'utilité publique (par exemple des fournisseurs  d’eau, de gaz ou d’électricité). Un opérateur a en effet un intérêt commercial à correctement identifier son abonné et à éviter des fraudes en matière d’identité. Il est important que la fiabilité de l’identification de l’abonné pour les besoins des autorités soit au même niveau que la fiabilité de cette identification pour les besoins commerciaux de l’opérateur.  </w:t>
            </w:r>
          </w:p>
        </w:tc>
        <w:tc>
          <w:tcPr>
            <w:tcW w:w="4508" w:type="dxa"/>
          </w:tcPr>
          <w:p w14:paraId="2B41E15B" w14:textId="7604147B"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Gezien de moeilijkheid voor de operatoren om de identiteitsstukken op te sporen die zouden vervalst zijn, vragen deze laatsten soms aan de abonnee om hen facturen van erkende nutsbedrijven te bezorgen (bijvoorbeeld water-, gas- of elektriciteitsleveranciers). Een operator heeft er immers commercieel belang bij om zijn abonnee correct te identificeren en om identiteitsfraude te vermijden. Het is belangrijk dat de betrouwbaarheid van de identificatie van de abonnee ten behoeve van de autoriteiten van hetzelfde niveau is als de betrouwbaarheid van deze identificatie voor de commerciële behoeften van de operator.</w:t>
            </w:r>
          </w:p>
        </w:tc>
      </w:tr>
      <w:tr w:rsidR="004000A8" w:rsidRPr="00673C92" w14:paraId="3B706948" w14:textId="77777777" w:rsidTr="0025113D">
        <w:tc>
          <w:tcPr>
            <w:tcW w:w="4508" w:type="dxa"/>
          </w:tcPr>
          <w:p w14:paraId="40F8C7D3" w14:textId="77777777" w:rsidR="004000A8" w:rsidRPr="00136EDB" w:rsidRDefault="004000A8" w:rsidP="004000A8">
            <w:pPr>
              <w:jc w:val="both"/>
              <w:rPr>
                <w:rFonts w:asciiTheme="minorHAnsi" w:hAnsiTheme="minorHAnsi" w:cstheme="minorHAnsi"/>
                <w:sz w:val="22"/>
              </w:rPr>
            </w:pPr>
          </w:p>
        </w:tc>
        <w:tc>
          <w:tcPr>
            <w:tcW w:w="4508" w:type="dxa"/>
          </w:tcPr>
          <w:p w14:paraId="2316C42B" w14:textId="77777777" w:rsidR="004000A8" w:rsidRPr="000B3975" w:rsidRDefault="004000A8" w:rsidP="004000A8">
            <w:pPr>
              <w:jc w:val="both"/>
              <w:rPr>
                <w:rFonts w:asciiTheme="minorHAnsi" w:hAnsiTheme="minorHAnsi" w:cstheme="minorHAnsi"/>
                <w:sz w:val="22"/>
              </w:rPr>
            </w:pPr>
          </w:p>
        </w:tc>
      </w:tr>
      <w:tr w:rsidR="004000A8" w:rsidRPr="00673C92" w14:paraId="1C37CB74" w14:textId="77777777" w:rsidTr="0025113D">
        <w:tc>
          <w:tcPr>
            <w:tcW w:w="4508" w:type="dxa"/>
          </w:tcPr>
          <w:p w14:paraId="5A12E97A" w14:textId="13CEC8A8"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La possibilité est laissée au Roi de trouver des solutions ad hoc créatives pour les personnes qui ne disposeraient d’aucun des document</w:t>
            </w:r>
            <w:r>
              <w:rPr>
                <w:rFonts w:asciiTheme="minorHAnsi" w:hAnsiTheme="minorHAnsi" w:cstheme="minorHAnsi"/>
                <w:sz w:val="22"/>
                <w:lang w:val="fr-BE"/>
              </w:rPr>
              <w:t>s</w:t>
            </w:r>
            <w:r w:rsidRPr="000B3975">
              <w:rPr>
                <w:rFonts w:asciiTheme="minorHAnsi" w:hAnsiTheme="minorHAnsi" w:cstheme="minorHAnsi"/>
                <w:sz w:val="22"/>
                <w:lang w:val="fr-BE"/>
              </w:rPr>
              <w:t xml:space="preserve"> d’identité mentionnés dans l’article 127. </w:t>
            </w:r>
          </w:p>
        </w:tc>
        <w:tc>
          <w:tcPr>
            <w:tcW w:w="4508" w:type="dxa"/>
          </w:tcPr>
          <w:p w14:paraId="2293D3F9" w14:textId="45E79CF2"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Aan de Koning wordt de mogelijkheid gelaten om creatieve ad-hoc</w:t>
            </w:r>
            <w:r>
              <w:rPr>
                <w:rFonts w:asciiTheme="minorHAnsi" w:hAnsiTheme="minorHAnsi" w:cstheme="minorHAnsi"/>
                <w:sz w:val="22"/>
              </w:rPr>
              <w:t xml:space="preserve"> </w:t>
            </w:r>
            <w:r w:rsidRPr="000B3975">
              <w:rPr>
                <w:rFonts w:asciiTheme="minorHAnsi" w:hAnsiTheme="minorHAnsi" w:cstheme="minorHAnsi"/>
                <w:sz w:val="22"/>
              </w:rPr>
              <w:t xml:space="preserve">oplossingen te vinden voor personen die over geen enkele van de in artikel 127 vermelde identificatiedocumenten zouden beschikken. </w:t>
            </w:r>
          </w:p>
        </w:tc>
      </w:tr>
      <w:tr w:rsidR="004000A8" w:rsidRPr="00673C92" w14:paraId="0495BBF3" w14:textId="77777777" w:rsidTr="0025113D">
        <w:tc>
          <w:tcPr>
            <w:tcW w:w="4508" w:type="dxa"/>
          </w:tcPr>
          <w:p w14:paraId="1B32790D" w14:textId="77777777" w:rsidR="004000A8" w:rsidRPr="000B3975" w:rsidRDefault="004000A8" w:rsidP="004000A8">
            <w:pPr>
              <w:jc w:val="both"/>
              <w:rPr>
                <w:rFonts w:asciiTheme="minorHAnsi" w:hAnsiTheme="minorHAnsi" w:cstheme="minorHAnsi"/>
                <w:sz w:val="22"/>
              </w:rPr>
            </w:pPr>
          </w:p>
        </w:tc>
        <w:tc>
          <w:tcPr>
            <w:tcW w:w="4508" w:type="dxa"/>
          </w:tcPr>
          <w:p w14:paraId="7A5AB319" w14:textId="77777777" w:rsidR="004000A8" w:rsidRPr="000B3975" w:rsidRDefault="004000A8" w:rsidP="004000A8">
            <w:pPr>
              <w:jc w:val="both"/>
              <w:rPr>
                <w:rFonts w:asciiTheme="minorHAnsi" w:hAnsiTheme="minorHAnsi" w:cstheme="minorHAnsi"/>
                <w:sz w:val="22"/>
              </w:rPr>
            </w:pPr>
          </w:p>
        </w:tc>
      </w:tr>
      <w:tr w:rsidR="004000A8" w:rsidRPr="00673C92" w14:paraId="715150EF" w14:textId="77777777" w:rsidTr="0025113D">
        <w:tc>
          <w:tcPr>
            <w:tcW w:w="4508" w:type="dxa"/>
          </w:tcPr>
          <w:p w14:paraId="7F58021C" w14:textId="0898D88B" w:rsidR="004000A8" w:rsidRPr="000B3975" w:rsidRDefault="004000A8" w:rsidP="004000A8">
            <w:pPr>
              <w:jc w:val="both"/>
              <w:rPr>
                <w:rFonts w:asciiTheme="minorHAnsi" w:hAnsiTheme="minorHAnsi" w:cstheme="minorHAnsi"/>
                <w:b/>
                <w:bCs/>
                <w:sz w:val="22"/>
                <w:u w:val="single"/>
                <w:lang w:val="fr-BE"/>
              </w:rPr>
            </w:pPr>
            <w:bookmarkStart w:id="36" w:name="_Toc90638346"/>
            <w:bookmarkStart w:id="37" w:name="_Toc94800266"/>
            <w:r w:rsidRPr="000B3975">
              <w:rPr>
                <w:rFonts w:asciiTheme="minorHAnsi" w:hAnsiTheme="minorHAnsi" w:cstheme="minorHAnsi"/>
                <w:b/>
                <w:bCs/>
                <w:sz w:val="22"/>
                <w:u w:val="single"/>
                <w:lang w:val="fr-BE"/>
              </w:rPr>
              <w:t>Paragraphe 6 : méthode d’identification directe : données d’identité civile</w:t>
            </w:r>
            <w:bookmarkEnd w:id="36"/>
            <w:bookmarkEnd w:id="37"/>
          </w:p>
        </w:tc>
        <w:tc>
          <w:tcPr>
            <w:tcW w:w="4508" w:type="dxa"/>
          </w:tcPr>
          <w:p w14:paraId="6E55EC26" w14:textId="6AB7F51B" w:rsidR="004000A8" w:rsidRPr="00215790" w:rsidRDefault="004000A8" w:rsidP="004000A8">
            <w:pPr>
              <w:jc w:val="both"/>
              <w:rPr>
                <w:rFonts w:asciiTheme="minorHAnsi" w:hAnsiTheme="minorHAnsi" w:cstheme="minorHAnsi"/>
                <w:b/>
                <w:bCs/>
                <w:sz w:val="22"/>
                <w:u w:val="single"/>
              </w:rPr>
            </w:pPr>
            <w:bookmarkStart w:id="38" w:name="_Toc94800267"/>
            <w:r w:rsidRPr="00215790">
              <w:rPr>
                <w:rFonts w:asciiTheme="minorHAnsi" w:hAnsiTheme="minorHAnsi" w:cstheme="minorHAnsi"/>
                <w:b/>
                <w:bCs/>
                <w:sz w:val="22"/>
                <w:u w:val="single"/>
              </w:rPr>
              <w:t>Paragraaf 6: directe identificatiemethode: gegevens van burgerlijke identiteit</w:t>
            </w:r>
            <w:bookmarkEnd w:id="38"/>
          </w:p>
        </w:tc>
      </w:tr>
      <w:tr w:rsidR="004000A8" w:rsidRPr="00673C92" w14:paraId="5CFBACBA" w14:textId="77777777" w:rsidTr="0025113D">
        <w:tc>
          <w:tcPr>
            <w:tcW w:w="4508" w:type="dxa"/>
          </w:tcPr>
          <w:p w14:paraId="579AC6A7" w14:textId="77777777" w:rsidR="004000A8" w:rsidRPr="000B3975" w:rsidRDefault="004000A8" w:rsidP="004000A8">
            <w:pPr>
              <w:jc w:val="both"/>
              <w:rPr>
                <w:rFonts w:asciiTheme="minorHAnsi" w:hAnsiTheme="minorHAnsi" w:cstheme="minorHAnsi"/>
                <w:sz w:val="22"/>
              </w:rPr>
            </w:pPr>
          </w:p>
        </w:tc>
        <w:tc>
          <w:tcPr>
            <w:tcW w:w="4508" w:type="dxa"/>
          </w:tcPr>
          <w:p w14:paraId="67C3C8CF" w14:textId="77777777" w:rsidR="004000A8" w:rsidRPr="000B3975" w:rsidRDefault="004000A8" w:rsidP="004000A8">
            <w:pPr>
              <w:jc w:val="both"/>
              <w:rPr>
                <w:rFonts w:asciiTheme="minorHAnsi" w:hAnsiTheme="minorHAnsi" w:cstheme="minorHAnsi"/>
                <w:sz w:val="22"/>
              </w:rPr>
            </w:pPr>
          </w:p>
        </w:tc>
      </w:tr>
      <w:tr w:rsidR="004000A8" w:rsidRPr="00673C92" w14:paraId="68C644C9" w14:textId="77777777" w:rsidTr="0025113D">
        <w:tc>
          <w:tcPr>
            <w:tcW w:w="4508" w:type="dxa"/>
          </w:tcPr>
          <w:p w14:paraId="3E1E3B41" w14:textId="4FA93A1E"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Il est difficile de fixer dans la loi une liste des données relatives à l’identité civile de l’abonné qui serait valable pour toute méthode d’identification directe, dès lors que ces données sont différentes selon la méthode d’identification utilisée. A cet égard, il est renvoyé aux différentes méthodes d’identification directe qui se trouvent dans l’arrêté royal du 27 novembre 2016  relatif à l’identification de l’utilisateur final de services de communications électroniques publics mobiles fournis sur la base d’une carte prépayée (ci-après l’arrêté royal </w:t>
            </w:r>
            <w:r>
              <w:rPr>
                <w:rFonts w:asciiTheme="minorHAnsi" w:hAnsiTheme="minorHAnsi" w:cstheme="minorHAnsi"/>
                <w:sz w:val="22"/>
                <w:lang w:val="fr-BE"/>
              </w:rPr>
              <w:t>« </w:t>
            </w:r>
            <w:r w:rsidRPr="000B3975">
              <w:rPr>
                <w:rFonts w:asciiTheme="minorHAnsi" w:hAnsiTheme="minorHAnsi" w:cstheme="minorHAnsi"/>
                <w:sz w:val="22"/>
                <w:lang w:val="fr-BE"/>
              </w:rPr>
              <w:t>cartes prépayées</w:t>
            </w:r>
            <w:r>
              <w:rPr>
                <w:rFonts w:asciiTheme="minorHAnsi" w:hAnsiTheme="minorHAnsi" w:cstheme="minorHAnsi"/>
                <w:sz w:val="22"/>
                <w:lang w:val="fr-BE"/>
              </w:rPr>
              <w:t> »</w:t>
            </w:r>
            <w:r w:rsidRPr="000B3975">
              <w:rPr>
                <w:rFonts w:asciiTheme="minorHAnsi" w:hAnsiTheme="minorHAnsi" w:cstheme="minorHAnsi"/>
                <w:sz w:val="22"/>
                <w:lang w:val="fr-BE"/>
              </w:rPr>
              <w:t xml:space="preserve">) et aux données qui doivent être collectées pour chaque méthode. </w:t>
            </w:r>
          </w:p>
        </w:tc>
        <w:tc>
          <w:tcPr>
            <w:tcW w:w="4508" w:type="dxa"/>
          </w:tcPr>
          <w:p w14:paraId="28D404BB" w14:textId="5B4688BC"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Het is moeilijk om in de wet een lijst vast te stellen van de gegevens met betrekking tot de burgerlijke identiteit van de abonnee, een lijst die geldig zou zijn voor elke directe identificatiemethode, omdat die gegevens nu eenmaal anders zijn naargelang van de toegepaste identificatiemethode. Daarbij wordt verwezen naar de verschillende directe identificatiemethodes in het koninklijk besluit van 27 november 2016 betreffende de identificatie van de eindgebruiker van mobiele openbare elektronische-communicatiediensten die worden geleverd op basis van een </w:t>
            </w:r>
            <w:proofErr w:type="spellStart"/>
            <w:r w:rsidRPr="000B3975">
              <w:rPr>
                <w:rFonts w:asciiTheme="minorHAnsi" w:hAnsiTheme="minorHAnsi" w:cstheme="minorHAnsi"/>
                <w:sz w:val="22"/>
              </w:rPr>
              <w:t>voorafbetaalde</w:t>
            </w:r>
            <w:proofErr w:type="spellEnd"/>
            <w:r w:rsidRPr="000B3975">
              <w:rPr>
                <w:rFonts w:asciiTheme="minorHAnsi" w:hAnsiTheme="minorHAnsi" w:cstheme="minorHAnsi"/>
                <w:sz w:val="22"/>
              </w:rPr>
              <w:t xml:space="preserve"> kaart (hierna het koninklijk besluit “prepaid kaarten”) en naar de gegevens die voor elke methode moeten worden verzameld.</w:t>
            </w:r>
          </w:p>
        </w:tc>
      </w:tr>
      <w:tr w:rsidR="004000A8" w:rsidRPr="00673C92" w14:paraId="0FDFF0B4" w14:textId="77777777" w:rsidTr="0025113D">
        <w:tc>
          <w:tcPr>
            <w:tcW w:w="4508" w:type="dxa"/>
          </w:tcPr>
          <w:p w14:paraId="56645206" w14:textId="77777777" w:rsidR="004000A8" w:rsidRPr="00136EDB" w:rsidRDefault="004000A8" w:rsidP="004000A8">
            <w:pPr>
              <w:jc w:val="both"/>
              <w:rPr>
                <w:rFonts w:asciiTheme="minorHAnsi" w:hAnsiTheme="minorHAnsi" w:cstheme="minorHAnsi"/>
                <w:sz w:val="22"/>
              </w:rPr>
            </w:pPr>
          </w:p>
        </w:tc>
        <w:tc>
          <w:tcPr>
            <w:tcW w:w="4508" w:type="dxa"/>
          </w:tcPr>
          <w:p w14:paraId="61AB9E2C" w14:textId="77777777" w:rsidR="004000A8" w:rsidRPr="000B3975" w:rsidRDefault="004000A8" w:rsidP="004000A8">
            <w:pPr>
              <w:jc w:val="both"/>
              <w:rPr>
                <w:rFonts w:asciiTheme="minorHAnsi" w:hAnsiTheme="minorHAnsi" w:cstheme="minorHAnsi"/>
                <w:sz w:val="22"/>
              </w:rPr>
            </w:pPr>
          </w:p>
        </w:tc>
      </w:tr>
      <w:tr w:rsidR="004000A8" w:rsidRPr="00673C92" w14:paraId="1412E5EB" w14:textId="77777777" w:rsidTr="0025113D">
        <w:tc>
          <w:tcPr>
            <w:tcW w:w="4508" w:type="dxa"/>
          </w:tcPr>
          <w:p w14:paraId="1949BE78" w14:textId="1BBAF230"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Par conséquent, l’article 127 reprend une liste de données maximale pour les données d’identification, comme le fait l’arrêté royal  </w:t>
            </w:r>
            <w:r>
              <w:rPr>
                <w:rFonts w:asciiTheme="minorHAnsi" w:hAnsiTheme="minorHAnsi" w:cstheme="minorHAnsi"/>
                <w:sz w:val="22"/>
                <w:lang w:val="fr-BE"/>
              </w:rPr>
              <w:lastRenderedPageBreak/>
              <w:t>« </w:t>
            </w:r>
            <w:r w:rsidRPr="000B3975">
              <w:rPr>
                <w:rFonts w:asciiTheme="minorHAnsi" w:hAnsiTheme="minorHAnsi" w:cstheme="minorHAnsi"/>
                <w:sz w:val="22"/>
                <w:lang w:val="fr-BE"/>
              </w:rPr>
              <w:t>cartes prépayées</w:t>
            </w:r>
            <w:r>
              <w:rPr>
                <w:rFonts w:asciiTheme="minorHAnsi" w:hAnsiTheme="minorHAnsi" w:cstheme="minorHAnsi"/>
                <w:sz w:val="22"/>
                <w:lang w:val="fr-BE"/>
              </w:rPr>
              <w:t> »</w:t>
            </w:r>
            <w:r w:rsidRPr="000B3975">
              <w:rPr>
                <w:rFonts w:asciiTheme="minorHAnsi" w:hAnsiTheme="minorHAnsi" w:cstheme="minorHAnsi"/>
                <w:sz w:val="22"/>
                <w:lang w:val="fr-BE"/>
              </w:rPr>
              <w:t xml:space="preserve">, et une liste de données minimales. </w:t>
            </w:r>
          </w:p>
        </w:tc>
        <w:tc>
          <w:tcPr>
            <w:tcW w:w="4508" w:type="dxa"/>
          </w:tcPr>
          <w:p w14:paraId="3D1CC734" w14:textId="46B40EB8"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lastRenderedPageBreak/>
              <w:t xml:space="preserve">Bijgevolg bevat artikel 127 een maximumlijst van gegevens voor de identificatiegegevens, </w:t>
            </w:r>
            <w:r w:rsidRPr="000B3975">
              <w:rPr>
                <w:rFonts w:asciiTheme="minorHAnsi" w:hAnsiTheme="minorHAnsi" w:cstheme="minorHAnsi"/>
                <w:sz w:val="22"/>
              </w:rPr>
              <w:lastRenderedPageBreak/>
              <w:t xml:space="preserve">zoals het koninklijk besluit “prepaid kaarten” dat doet, en een minimumlijst van gegevens. </w:t>
            </w:r>
          </w:p>
        </w:tc>
      </w:tr>
      <w:tr w:rsidR="004000A8" w:rsidRPr="00673C92" w14:paraId="7256B308" w14:textId="77777777" w:rsidTr="0025113D">
        <w:tc>
          <w:tcPr>
            <w:tcW w:w="4508" w:type="dxa"/>
          </w:tcPr>
          <w:p w14:paraId="32DC352F" w14:textId="77777777" w:rsidR="004000A8" w:rsidRPr="00136EDB" w:rsidRDefault="004000A8" w:rsidP="004000A8">
            <w:pPr>
              <w:jc w:val="both"/>
              <w:rPr>
                <w:rFonts w:asciiTheme="minorHAnsi" w:hAnsiTheme="minorHAnsi" w:cstheme="minorHAnsi"/>
                <w:sz w:val="22"/>
              </w:rPr>
            </w:pPr>
          </w:p>
        </w:tc>
        <w:tc>
          <w:tcPr>
            <w:tcW w:w="4508" w:type="dxa"/>
          </w:tcPr>
          <w:p w14:paraId="44F1264A" w14:textId="77777777" w:rsidR="004000A8" w:rsidRPr="000B3975" w:rsidRDefault="004000A8" w:rsidP="004000A8">
            <w:pPr>
              <w:jc w:val="both"/>
              <w:rPr>
                <w:rFonts w:asciiTheme="minorHAnsi" w:hAnsiTheme="minorHAnsi" w:cstheme="minorHAnsi"/>
                <w:sz w:val="22"/>
              </w:rPr>
            </w:pPr>
          </w:p>
        </w:tc>
      </w:tr>
      <w:tr w:rsidR="004000A8" w:rsidRPr="00673C92" w14:paraId="30E9F7B1" w14:textId="77777777" w:rsidTr="0025113D">
        <w:tc>
          <w:tcPr>
            <w:tcW w:w="4508" w:type="dxa"/>
          </w:tcPr>
          <w:p w14:paraId="340B1B8C" w14:textId="100AEFAD"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La liste maximale reprend les données listées à l’article 12 de l’arrêté royal </w:t>
            </w:r>
            <w:r>
              <w:rPr>
                <w:rFonts w:asciiTheme="minorHAnsi" w:hAnsiTheme="minorHAnsi" w:cstheme="minorHAnsi"/>
                <w:sz w:val="22"/>
                <w:lang w:val="fr-BE"/>
              </w:rPr>
              <w:t>« </w:t>
            </w:r>
            <w:r w:rsidRPr="000B3975">
              <w:rPr>
                <w:rFonts w:asciiTheme="minorHAnsi" w:hAnsiTheme="minorHAnsi" w:cstheme="minorHAnsi"/>
                <w:sz w:val="22"/>
                <w:lang w:val="fr-BE"/>
              </w:rPr>
              <w:t>cartes prépayées</w:t>
            </w:r>
            <w:r>
              <w:rPr>
                <w:rFonts w:asciiTheme="minorHAnsi" w:hAnsiTheme="minorHAnsi" w:cstheme="minorHAnsi"/>
                <w:sz w:val="22"/>
                <w:lang w:val="fr-BE"/>
              </w:rPr>
              <w:t> »</w:t>
            </w:r>
            <w:r w:rsidRPr="000B3975">
              <w:rPr>
                <w:rFonts w:asciiTheme="minorHAnsi" w:hAnsiTheme="minorHAnsi" w:cstheme="minorHAnsi"/>
                <w:sz w:val="22"/>
                <w:lang w:val="fr-BE"/>
              </w:rPr>
              <w:t xml:space="preserve"> ainsi que le numéro de sécurité publique, qui est collecté dans le cadre des abonnés qui résident dans un centre fermé ou dans un lieu d’hébergement.</w:t>
            </w:r>
          </w:p>
        </w:tc>
        <w:tc>
          <w:tcPr>
            <w:tcW w:w="4508" w:type="dxa"/>
          </w:tcPr>
          <w:p w14:paraId="292CA606" w14:textId="5E790F63"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De maximumlijst bevat de gegevens die opgesomd zijn in artikel 12 van het koninklijk besluit “prepaid kaarten”, alsook het openbaar veiligheidsnummer, dat verzameld wordt in het kader van de abonnees die in een gesloten centrum of een woonunit verblijven.</w:t>
            </w:r>
          </w:p>
        </w:tc>
      </w:tr>
      <w:tr w:rsidR="004000A8" w:rsidRPr="00673C92" w14:paraId="589D90B5" w14:textId="77777777" w:rsidTr="0025113D">
        <w:tc>
          <w:tcPr>
            <w:tcW w:w="4508" w:type="dxa"/>
          </w:tcPr>
          <w:p w14:paraId="76838B8B" w14:textId="77777777" w:rsidR="004000A8" w:rsidRPr="00136EDB" w:rsidRDefault="004000A8" w:rsidP="004000A8">
            <w:pPr>
              <w:jc w:val="both"/>
              <w:rPr>
                <w:rFonts w:asciiTheme="minorHAnsi" w:hAnsiTheme="minorHAnsi" w:cstheme="minorHAnsi"/>
                <w:sz w:val="22"/>
              </w:rPr>
            </w:pPr>
          </w:p>
        </w:tc>
        <w:tc>
          <w:tcPr>
            <w:tcW w:w="4508" w:type="dxa"/>
          </w:tcPr>
          <w:p w14:paraId="2F8D3E58" w14:textId="77777777" w:rsidR="004000A8" w:rsidRPr="000B3975" w:rsidRDefault="004000A8" w:rsidP="004000A8">
            <w:pPr>
              <w:jc w:val="both"/>
              <w:rPr>
                <w:rFonts w:asciiTheme="minorHAnsi" w:hAnsiTheme="minorHAnsi" w:cstheme="minorHAnsi"/>
                <w:sz w:val="22"/>
              </w:rPr>
            </w:pPr>
          </w:p>
        </w:tc>
      </w:tr>
      <w:tr w:rsidR="004000A8" w:rsidRPr="00673C92" w14:paraId="18FD0D47" w14:textId="77777777" w:rsidTr="0025113D">
        <w:tc>
          <w:tcPr>
            <w:tcW w:w="4508" w:type="dxa"/>
          </w:tcPr>
          <w:p w14:paraId="1AD00E08" w14:textId="655042CC"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Dans la pratique, un opérateur peut identifier une personne en faisant un lien avec une identification déjà effectuée. Par exemple un enfant peut être identifié en faisant le lien avec un parent pour lequel des données d’identification fiables ont déjà été récoltées.   </w:t>
            </w:r>
          </w:p>
        </w:tc>
        <w:tc>
          <w:tcPr>
            <w:tcW w:w="4508" w:type="dxa"/>
          </w:tcPr>
          <w:p w14:paraId="3AB6FC62" w14:textId="531F7349"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In de praktijk kan een operator een persoon identificeren door een link te leggen met een reeds uitgevoerde identificatie. Een kind kan bijvoorbeeld geïdentificeerd worden door de link te leggen met een ouder voor wie reeds betrouwbare identificatiegegevens zijn verzameld.</w:t>
            </w:r>
          </w:p>
        </w:tc>
      </w:tr>
      <w:tr w:rsidR="004000A8" w:rsidRPr="00673C92" w14:paraId="41F4BE54" w14:textId="77777777" w:rsidTr="0025113D">
        <w:tc>
          <w:tcPr>
            <w:tcW w:w="4508" w:type="dxa"/>
          </w:tcPr>
          <w:p w14:paraId="21159710" w14:textId="77777777" w:rsidR="004000A8" w:rsidRPr="00136EDB" w:rsidRDefault="004000A8" w:rsidP="004000A8">
            <w:pPr>
              <w:jc w:val="both"/>
              <w:rPr>
                <w:rFonts w:asciiTheme="minorHAnsi" w:hAnsiTheme="minorHAnsi" w:cstheme="minorHAnsi"/>
                <w:sz w:val="22"/>
              </w:rPr>
            </w:pPr>
          </w:p>
        </w:tc>
        <w:tc>
          <w:tcPr>
            <w:tcW w:w="4508" w:type="dxa"/>
          </w:tcPr>
          <w:p w14:paraId="5450FC88" w14:textId="77777777" w:rsidR="004000A8" w:rsidRPr="000B3975" w:rsidRDefault="004000A8" w:rsidP="004000A8">
            <w:pPr>
              <w:jc w:val="both"/>
              <w:rPr>
                <w:rFonts w:asciiTheme="minorHAnsi" w:hAnsiTheme="minorHAnsi" w:cstheme="minorHAnsi"/>
                <w:sz w:val="22"/>
              </w:rPr>
            </w:pPr>
          </w:p>
        </w:tc>
      </w:tr>
      <w:tr w:rsidR="004000A8" w:rsidRPr="00673C92" w14:paraId="1ED75F18" w14:textId="77777777" w:rsidTr="0025113D">
        <w:tc>
          <w:tcPr>
            <w:tcW w:w="4508" w:type="dxa"/>
          </w:tcPr>
          <w:p w14:paraId="2B9936CF" w14:textId="789695ED"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Dans le point B.8.4.1. de son arrêt du 18 novembre 2021, la Cour constitutionnelle indique que « […] l’article 127 de la loi attaquée dispose […] que le numéro de registre national est une donnée à caractère personnel qui doit être collectée et traitée dans ce contexte ».</w:t>
            </w:r>
          </w:p>
        </w:tc>
        <w:tc>
          <w:tcPr>
            <w:tcW w:w="4508" w:type="dxa"/>
          </w:tcPr>
          <w:p w14:paraId="2FD87A44" w14:textId="4402A034"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In punt B.8.4.1. van zijn arrest van 18 november 2021 vermeldt het Grondwettelijk Hof dat “[…] artikel 127 van de bestreden wet [bepaalt] […] dat het rijksregisternummer een persoonsgegeven is dat in dit verband dient te worden verzameld en verwerkt”.</w:t>
            </w:r>
          </w:p>
        </w:tc>
      </w:tr>
      <w:tr w:rsidR="004000A8" w:rsidRPr="00673C92" w14:paraId="1BFCA052" w14:textId="77777777" w:rsidTr="0025113D">
        <w:tc>
          <w:tcPr>
            <w:tcW w:w="4508" w:type="dxa"/>
          </w:tcPr>
          <w:p w14:paraId="1E48526C" w14:textId="77777777" w:rsidR="004000A8" w:rsidRPr="00136EDB" w:rsidRDefault="004000A8" w:rsidP="004000A8">
            <w:pPr>
              <w:jc w:val="both"/>
              <w:rPr>
                <w:rFonts w:asciiTheme="minorHAnsi" w:hAnsiTheme="minorHAnsi" w:cstheme="minorHAnsi"/>
                <w:sz w:val="22"/>
              </w:rPr>
            </w:pPr>
          </w:p>
        </w:tc>
        <w:tc>
          <w:tcPr>
            <w:tcW w:w="4508" w:type="dxa"/>
          </w:tcPr>
          <w:p w14:paraId="578ECA88" w14:textId="77777777" w:rsidR="004000A8" w:rsidRPr="000B3975" w:rsidRDefault="004000A8" w:rsidP="004000A8">
            <w:pPr>
              <w:jc w:val="both"/>
              <w:rPr>
                <w:rFonts w:asciiTheme="minorHAnsi" w:hAnsiTheme="minorHAnsi" w:cstheme="minorHAnsi"/>
                <w:sz w:val="22"/>
              </w:rPr>
            </w:pPr>
          </w:p>
        </w:tc>
      </w:tr>
      <w:tr w:rsidR="004000A8" w:rsidRPr="00673C92" w14:paraId="6B624935" w14:textId="77777777" w:rsidTr="0025113D">
        <w:tc>
          <w:tcPr>
            <w:tcW w:w="4508" w:type="dxa"/>
          </w:tcPr>
          <w:p w14:paraId="4767CDC5" w14:textId="65585B3C"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En réalité, un opérateur ne doit collecter et conserver le numéro de registre national de son abonné que lorsque l’abonné s’identifie à l’aide d’un </w:t>
            </w:r>
            <w:r>
              <w:rPr>
                <w:rFonts w:asciiTheme="minorHAnsi" w:hAnsiTheme="minorHAnsi" w:cstheme="minorHAnsi"/>
                <w:sz w:val="22"/>
                <w:lang w:val="fr-BE"/>
              </w:rPr>
              <w:t>document d’identification</w:t>
            </w:r>
            <w:r w:rsidRPr="000B3975">
              <w:rPr>
                <w:rFonts w:asciiTheme="minorHAnsi" w:hAnsiTheme="minorHAnsi" w:cstheme="minorHAnsi"/>
                <w:sz w:val="22"/>
                <w:lang w:val="fr-BE"/>
              </w:rPr>
              <w:t xml:space="preserve"> qui comprend ce numéro (ex. la carte d’identité électronique belge). </w:t>
            </w:r>
          </w:p>
        </w:tc>
        <w:tc>
          <w:tcPr>
            <w:tcW w:w="4508" w:type="dxa"/>
          </w:tcPr>
          <w:p w14:paraId="744DE54A" w14:textId="3AB3EEA3"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In werkelijkheid moet een operator het rijksregisternummer van zijn abonnee maar verzamelen en bewaren wanneer de abonnee zich identificeert aan de hand van een identificatiedocument waarop dat nummer vermeld is (bijv. Belgische elektronische identiteitskaart).</w:t>
            </w:r>
          </w:p>
        </w:tc>
      </w:tr>
      <w:tr w:rsidR="004000A8" w:rsidRPr="00673C92" w14:paraId="1D4F6821" w14:textId="77777777" w:rsidTr="0025113D">
        <w:tc>
          <w:tcPr>
            <w:tcW w:w="4508" w:type="dxa"/>
          </w:tcPr>
          <w:p w14:paraId="6AF6C47F" w14:textId="77777777" w:rsidR="004000A8" w:rsidRPr="000B3975" w:rsidRDefault="004000A8" w:rsidP="004000A8">
            <w:pPr>
              <w:jc w:val="both"/>
              <w:rPr>
                <w:rFonts w:asciiTheme="minorHAnsi" w:hAnsiTheme="minorHAnsi" w:cstheme="minorHAnsi"/>
                <w:sz w:val="22"/>
                <w:lang w:val="fr-BE"/>
              </w:rPr>
            </w:pPr>
          </w:p>
        </w:tc>
        <w:tc>
          <w:tcPr>
            <w:tcW w:w="4508" w:type="dxa"/>
          </w:tcPr>
          <w:p w14:paraId="17DD3BE4" w14:textId="77777777" w:rsidR="004000A8" w:rsidRPr="000B3975" w:rsidRDefault="004000A8" w:rsidP="004000A8">
            <w:pPr>
              <w:jc w:val="both"/>
              <w:rPr>
                <w:rFonts w:asciiTheme="minorHAnsi" w:hAnsiTheme="minorHAnsi" w:cstheme="minorHAnsi"/>
                <w:sz w:val="22"/>
              </w:rPr>
            </w:pPr>
          </w:p>
        </w:tc>
      </w:tr>
      <w:tr w:rsidR="004000A8" w:rsidRPr="00673C92" w14:paraId="37943AB9" w14:textId="77777777" w:rsidTr="0025113D">
        <w:tc>
          <w:tcPr>
            <w:tcW w:w="4508" w:type="dxa"/>
          </w:tcPr>
          <w:p w14:paraId="23D6BA35" w14:textId="09B108E2"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Alors que l’arrêté royal « cartes prépayées » oblige les opérateurs à conserver uniquement le numéro de registre national lorsque le </w:t>
            </w:r>
            <w:r>
              <w:rPr>
                <w:rFonts w:asciiTheme="minorHAnsi" w:hAnsiTheme="minorHAnsi" w:cstheme="minorHAnsi"/>
                <w:sz w:val="22"/>
                <w:lang w:val="fr-BE"/>
              </w:rPr>
              <w:t>document d’identification</w:t>
            </w:r>
            <w:r w:rsidRPr="000B3975">
              <w:rPr>
                <w:rFonts w:asciiTheme="minorHAnsi" w:hAnsiTheme="minorHAnsi" w:cstheme="minorHAnsi"/>
                <w:sz w:val="22"/>
                <w:lang w:val="fr-BE"/>
              </w:rPr>
              <w:t xml:space="preserve"> présenté est une carte d’identité électronique belge, le présent projet les oblige à conserver en plus le nom et le prénom de l’abonné et ce pour les raisons suivantes : </w:t>
            </w:r>
          </w:p>
          <w:p w14:paraId="349F63E0" w14:textId="2FDE5CCC" w:rsidR="004000A8" w:rsidRPr="000B3975" w:rsidRDefault="004000A8" w:rsidP="004000A8">
            <w:pPr>
              <w:jc w:val="both"/>
              <w:rPr>
                <w:rFonts w:asciiTheme="minorHAnsi" w:hAnsiTheme="minorHAnsi" w:cstheme="minorHAnsi"/>
                <w:sz w:val="22"/>
                <w:lang w:val="fr-BE"/>
              </w:rPr>
            </w:pPr>
          </w:p>
        </w:tc>
        <w:tc>
          <w:tcPr>
            <w:tcW w:w="4508" w:type="dxa"/>
          </w:tcPr>
          <w:p w14:paraId="61C75852" w14:textId="4969AC97"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Terwijl het koninklijk besluit “prepaid kaarten” de operatoren verplicht om enkel het rijksregisternummer te bewaren wanneer het voorgelegde identificatiedocument een Belgische elektronische identiteitskaart is, verplicht dit ontwerp de operatoren om bovendien de naam en voornaam van de abonnee te bewaren en wel om de volgende redenen:</w:t>
            </w:r>
          </w:p>
        </w:tc>
      </w:tr>
      <w:tr w:rsidR="004000A8" w:rsidRPr="00673C92" w14:paraId="1F2F7489" w14:textId="77777777" w:rsidTr="0025113D">
        <w:tc>
          <w:tcPr>
            <w:tcW w:w="4508" w:type="dxa"/>
          </w:tcPr>
          <w:p w14:paraId="20A3DB7D" w14:textId="77777777" w:rsidR="004000A8" w:rsidRPr="000B3975" w:rsidRDefault="004000A8" w:rsidP="004000A8">
            <w:pPr>
              <w:jc w:val="both"/>
              <w:rPr>
                <w:rFonts w:asciiTheme="minorHAnsi" w:hAnsiTheme="minorHAnsi" w:cstheme="minorHAnsi"/>
                <w:sz w:val="22"/>
              </w:rPr>
            </w:pPr>
          </w:p>
        </w:tc>
        <w:tc>
          <w:tcPr>
            <w:tcW w:w="4508" w:type="dxa"/>
          </w:tcPr>
          <w:p w14:paraId="49280408" w14:textId="77777777" w:rsidR="004000A8" w:rsidRPr="000B3975" w:rsidRDefault="004000A8" w:rsidP="004000A8">
            <w:pPr>
              <w:jc w:val="both"/>
              <w:rPr>
                <w:rFonts w:asciiTheme="minorHAnsi" w:hAnsiTheme="minorHAnsi" w:cstheme="minorHAnsi"/>
                <w:sz w:val="22"/>
              </w:rPr>
            </w:pPr>
          </w:p>
        </w:tc>
      </w:tr>
      <w:tr w:rsidR="004000A8" w:rsidRPr="00673C92" w14:paraId="4C1091E4" w14:textId="77777777" w:rsidTr="0025113D">
        <w:tc>
          <w:tcPr>
            <w:tcW w:w="4508" w:type="dxa"/>
          </w:tcPr>
          <w:p w14:paraId="342C2EC3" w14:textId="5DD03E02" w:rsidR="004000A8" w:rsidRPr="000B3975" w:rsidRDefault="004000A8" w:rsidP="004000A8">
            <w:pPr>
              <w:pStyle w:val="Lijstalinea"/>
              <w:numPr>
                <w:ilvl w:val="0"/>
                <w:numId w:val="3"/>
              </w:numPr>
              <w:spacing w:before="0"/>
              <w:rPr>
                <w:rFonts w:asciiTheme="minorHAnsi" w:hAnsiTheme="minorHAnsi" w:cstheme="minorHAnsi"/>
                <w:lang w:val="fr-BE"/>
              </w:rPr>
            </w:pPr>
            <w:r w:rsidRPr="000B3975">
              <w:rPr>
                <w:rFonts w:asciiTheme="minorHAnsi" w:hAnsiTheme="minorHAnsi" w:cstheme="minorHAnsi"/>
                <w:lang w:val="fr-BE"/>
              </w:rPr>
              <w:t>L’article 107,  § 4, de la loi télécom prévoit que « </w:t>
            </w:r>
            <w:r w:rsidRPr="000B3975">
              <w:rPr>
                <w:rFonts w:asciiTheme="minorHAnsi" w:hAnsiTheme="minorHAnsi" w:cstheme="minorHAnsi"/>
                <w:color w:val="000000"/>
                <w:lang w:val="fr-BE"/>
              </w:rPr>
              <w:t>Les opérateurs concernés par une communication d'urgence vers un service d'urgence offrant de l'aide sur place, si nécessaire en se coordonnant entre eux, fournissent au PSAP le plus approprié, dès que l'appel leur parvient et gratuitement, les données d'identification de l'appelant</w:t>
            </w:r>
            <w:r w:rsidRPr="000B3975">
              <w:rPr>
                <w:rFonts w:asciiTheme="minorHAnsi" w:hAnsiTheme="minorHAnsi" w:cstheme="minorHAnsi"/>
                <w:lang w:val="fr-BE"/>
              </w:rPr>
              <w:t xml:space="preserve">. » </w:t>
            </w:r>
            <w:r w:rsidRPr="000B3975">
              <w:rPr>
                <w:rFonts w:asciiTheme="minorHAnsi" w:hAnsiTheme="minorHAnsi" w:cstheme="minorHAnsi"/>
                <w:lang w:val="fr-BE"/>
              </w:rPr>
              <w:lastRenderedPageBreak/>
              <w:t>Selon l’article 2, 57°, de cette même loi, l’</w:t>
            </w:r>
            <w:r>
              <w:rPr>
                <w:rFonts w:asciiTheme="minorHAnsi" w:hAnsiTheme="minorHAnsi" w:cstheme="minorHAnsi"/>
                <w:lang w:val="fr-BE"/>
              </w:rPr>
              <w:t> « </w:t>
            </w:r>
            <w:r w:rsidRPr="000B3975">
              <w:rPr>
                <w:rFonts w:asciiTheme="minorHAnsi" w:hAnsiTheme="minorHAnsi" w:cstheme="minorHAnsi"/>
                <w:lang w:val="fr-BE"/>
              </w:rPr>
              <w:t>identification de l'appelant</w:t>
            </w:r>
            <w:r>
              <w:rPr>
                <w:rFonts w:asciiTheme="minorHAnsi" w:hAnsiTheme="minorHAnsi" w:cstheme="minorHAnsi"/>
                <w:lang w:val="fr-BE"/>
              </w:rPr>
              <w:t xml:space="preserve"> » </w:t>
            </w:r>
            <w:r w:rsidRPr="000B3975">
              <w:rPr>
                <w:rFonts w:asciiTheme="minorHAnsi" w:hAnsiTheme="minorHAnsi" w:cstheme="minorHAnsi"/>
                <w:lang w:val="fr-BE"/>
              </w:rPr>
              <w:t xml:space="preserve">comprend «  toute donnée, disponible directement ou indirectement, dans les réseaux et services d'un opérateur, qui détermine le numéro d'appel du terminal, </w:t>
            </w:r>
            <w:r w:rsidRPr="000B3975">
              <w:rPr>
                <w:rFonts w:asciiTheme="minorHAnsi" w:hAnsiTheme="minorHAnsi" w:cstheme="minorHAnsi"/>
                <w:u w:val="single"/>
                <w:lang w:val="fr-BE"/>
              </w:rPr>
              <w:t>le nom de l'abonné</w:t>
            </w:r>
            <w:r w:rsidRPr="000B3975">
              <w:rPr>
                <w:rFonts w:asciiTheme="minorHAnsi" w:hAnsiTheme="minorHAnsi" w:cstheme="minorHAnsi"/>
                <w:lang w:val="fr-BE"/>
              </w:rPr>
              <w:t xml:space="preserve"> et l'endroit où le terminal se situe au moment de l'appel ».  (c’est nous qui soulignons) ; </w:t>
            </w:r>
          </w:p>
          <w:p w14:paraId="4C9DAB7D" w14:textId="77777777" w:rsidR="004000A8" w:rsidRPr="00136EDB" w:rsidRDefault="004000A8" w:rsidP="004000A8">
            <w:pPr>
              <w:jc w:val="both"/>
              <w:rPr>
                <w:rFonts w:asciiTheme="minorHAnsi" w:hAnsiTheme="minorHAnsi" w:cstheme="minorHAnsi"/>
                <w:sz w:val="22"/>
                <w:lang w:val="fr-BE"/>
              </w:rPr>
            </w:pPr>
          </w:p>
        </w:tc>
        <w:tc>
          <w:tcPr>
            <w:tcW w:w="4508" w:type="dxa"/>
          </w:tcPr>
          <w:p w14:paraId="57C8C3E8" w14:textId="6BA19A91" w:rsidR="004000A8" w:rsidRPr="002414D3" w:rsidRDefault="004000A8" w:rsidP="004000A8">
            <w:pPr>
              <w:pStyle w:val="Lijstalinea"/>
              <w:numPr>
                <w:ilvl w:val="0"/>
                <w:numId w:val="3"/>
              </w:numPr>
              <w:spacing w:before="0"/>
              <w:rPr>
                <w:rFonts w:asciiTheme="minorHAnsi" w:hAnsiTheme="minorHAnsi" w:cstheme="minorHAnsi"/>
                <w:lang w:val="nl-BE"/>
              </w:rPr>
            </w:pPr>
            <w:r w:rsidRPr="000B3975">
              <w:rPr>
                <w:rFonts w:asciiTheme="minorHAnsi" w:hAnsiTheme="minorHAnsi" w:cstheme="minorHAnsi"/>
                <w:lang w:val="nl-BE"/>
              </w:rPr>
              <w:lastRenderedPageBreak/>
              <w:t>Artikel 107, § 4, van de telecomwet bepaalt: “</w:t>
            </w:r>
            <w:r w:rsidRPr="000B3975">
              <w:rPr>
                <w:rFonts w:asciiTheme="minorHAnsi" w:hAnsiTheme="minorHAnsi" w:cstheme="minorHAnsi"/>
                <w:color w:val="000000"/>
                <w:lang w:val="nl-BE"/>
              </w:rPr>
              <w:t>De operatoren betrokken bij een noodcommunicatie naar een nooddienst die ter plaatse hulp biedt, leveren, indien nodig met onderlinge coördinatie, zodra ze de oproep ontvangen en gratis aan de meest geschikte PSAP de identificatiegegevens van de oproeper.</w:t>
            </w:r>
            <w:r w:rsidRPr="000B3975">
              <w:rPr>
                <w:rFonts w:asciiTheme="minorHAnsi" w:hAnsiTheme="minorHAnsi" w:cstheme="minorHAnsi"/>
                <w:lang w:val="nl-BE"/>
              </w:rPr>
              <w:t xml:space="preserve">” Volgens artikel 2, 57°, van </w:t>
            </w:r>
            <w:r w:rsidRPr="000B3975">
              <w:rPr>
                <w:rFonts w:asciiTheme="minorHAnsi" w:hAnsiTheme="minorHAnsi" w:cstheme="minorHAnsi"/>
                <w:lang w:val="nl-BE"/>
              </w:rPr>
              <w:lastRenderedPageBreak/>
              <w:t xml:space="preserve">diezelfde wet omvat de “identificatie van de oproeper” “elk gegeven, rechtstreeks of onrechtstreeks beschikbaar, in de netwerken en diensten van een operator, dat het oproepnummer van het eindapparaat, </w:t>
            </w:r>
            <w:r w:rsidRPr="000B3975">
              <w:rPr>
                <w:rFonts w:asciiTheme="minorHAnsi" w:hAnsiTheme="minorHAnsi" w:cstheme="minorHAnsi"/>
                <w:u w:val="single"/>
                <w:lang w:val="nl-BE"/>
              </w:rPr>
              <w:t>de naam van de abonnee</w:t>
            </w:r>
            <w:r w:rsidRPr="000B3975">
              <w:rPr>
                <w:rFonts w:asciiTheme="minorHAnsi" w:hAnsiTheme="minorHAnsi" w:cstheme="minorHAnsi"/>
                <w:lang w:val="nl-BE"/>
              </w:rPr>
              <w:t xml:space="preserve"> en de plaats waar het eindtoestel zich bevindt op het ogenblik van de oproep bepaalt”.  (wij onderlijnen); </w:t>
            </w:r>
          </w:p>
        </w:tc>
      </w:tr>
      <w:tr w:rsidR="004000A8" w:rsidRPr="00673C92" w14:paraId="1D050B12" w14:textId="77777777" w:rsidTr="0025113D">
        <w:tc>
          <w:tcPr>
            <w:tcW w:w="4508" w:type="dxa"/>
          </w:tcPr>
          <w:p w14:paraId="32B9C646" w14:textId="77777777" w:rsidR="004000A8" w:rsidRPr="000B3975" w:rsidRDefault="004000A8" w:rsidP="004000A8">
            <w:pPr>
              <w:jc w:val="both"/>
              <w:rPr>
                <w:rFonts w:asciiTheme="minorHAnsi" w:hAnsiTheme="minorHAnsi" w:cstheme="minorHAnsi"/>
                <w:sz w:val="22"/>
              </w:rPr>
            </w:pPr>
          </w:p>
        </w:tc>
        <w:tc>
          <w:tcPr>
            <w:tcW w:w="4508" w:type="dxa"/>
          </w:tcPr>
          <w:p w14:paraId="1BF83B3B" w14:textId="77777777" w:rsidR="004000A8" w:rsidRPr="000B3975" w:rsidRDefault="004000A8" w:rsidP="004000A8">
            <w:pPr>
              <w:jc w:val="both"/>
              <w:rPr>
                <w:rFonts w:asciiTheme="minorHAnsi" w:hAnsiTheme="minorHAnsi" w:cstheme="minorHAnsi"/>
                <w:sz w:val="22"/>
              </w:rPr>
            </w:pPr>
          </w:p>
        </w:tc>
      </w:tr>
      <w:tr w:rsidR="004000A8" w:rsidRPr="00985531" w14:paraId="24D2E396" w14:textId="77777777" w:rsidTr="0025113D">
        <w:tc>
          <w:tcPr>
            <w:tcW w:w="4508" w:type="dxa"/>
          </w:tcPr>
          <w:p w14:paraId="658673B3" w14:textId="57F2E410" w:rsidR="004000A8" w:rsidRPr="000B3975" w:rsidRDefault="004000A8" w:rsidP="004000A8">
            <w:pPr>
              <w:pStyle w:val="Lijstalinea"/>
              <w:numPr>
                <w:ilvl w:val="0"/>
                <w:numId w:val="3"/>
              </w:numPr>
              <w:spacing w:before="0"/>
              <w:rPr>
                <w:rFonts w:asciiTheme="minorHAnsi" w:hAnsiTheme="minorHAnsi" w:cstheme="minorHAnsi"/>
                <w:lang w:val="fr-BE"/>
              </w:rPr>
            </w:pPr>
            <w:r w:rsidRPr="000B3975">
              <w:rPr>
                <w:rFonts w:asciiTheme="minorHAnsi" w:hAnsiTheme="minorHAnsi" w:cstheme="minorHAnsi"/>
                <w:lang w:val="fr-BE"/>
              </w:rPr>
              <w:t>Cela permet aussi qu’une demande d’une autorité envers un opérateur utilise comme critère de recherche le nom et le prénom de l’abonné et ne doive pas se baser sur le numéro de registre national, qui n’est pas nécessairement connu de l’autorité.</w:t>
            </w:r>
          </w:p>
        </w:tc>
        <w:tc>
          <w:tcPr>
            <w:tcW w:w="4508" w:type="dxa"/>
          </w:tcPr>
          <w:p w14:paraId="721182C6" w14:textId="09C2BB85" w:rsidR="004000A8" w:rsidRPr="000B3975" w:rsidRDefault="004000A8" w:rsidP="004000A8">
            <w:pPr>
              <w:pStyle w:val="Lijstalinea"/>
              <w:numPr>
                <w:ilvl w:val="0"/>
                <w:numId w:val="3"/>
              </w:numPr>
              <w:spacing w:before="0"/>
              <w:rPr>
                <w:rFonts w:asciiTheme="minorHAnsi" w:hAnsiTheme="minorHAnsi" w:cstheme="minorHAnsi"/>
                <w:lang w:val="nl-BE"/>
              </w:rPr>
            </w:pPr>
            <w:r w:rsidRPr="000B3975">
              <w:rPr>
                <w:rFonts w:asciiTheme="minorHAnsi" w:hAnsiTheme="minorHAnsi" w:cstheme="minorHAnsi"/>
                <w:lang w:val="nl-BE"/>
              </w:rPr>
              <w:t>Dit maakt het ook mogelijk dat een verzoek van een autoriteit aan een operator als zoekcriterium de naam en voornaam van de abonnee gebruikt en zich niet moet baseren op het rijksregisternummer, dat niet noodzakelijk voor de autoriteit bekend is.</w:t>
            </w:r>
          </w:p>
        </w:tc>
      </w:tr>
      <w:tr w:rsidR="004000A8" w:rsidRPr="00985531" w14:paraId="16400D44" w14:textId="77777777" w:rsidTr="0025113D">
        <w:tc>
          <w:tcPr>
            <w:tcW w:w="4508" w:type="dxa"/>
          </w:tcPr>
          <w:p w14:paraId="4971BC7F" w14:textId="77777777" w:rsidR="004000A8" w:rsidRPr="000B3975" w:rsidRDefault="004000A8" w:rsidP="004000A8">
            <w:pPr>
              <w:jc w:val="both"/>
              <w:rPr>
                <w:rFonts w:asciiTheme="minorHAnsi" w:hAnsiTheme="minorHAnsi" w:cstheme="minorHAnsi"/>
                <w:sz w:val="22"/>
              </w:rPr>
            </w:pPr>
          </w:p>
        </w:tc>
        <w:tc>
          <w:tcPr>
            <w:tcW w:w="4508" w:type="dxa"/>
          </w:tcPr>
          <w:p w14:paraId="2B592729" w14:textId="77777777" w:rsidR="004000A8" w:rsidRPr="000B3975" w:rsidRDefault="004000A8" w:rsidP="004000A8">
            <w:pPr>
              <w:jc w:val="both"/>
              <w:rPr>
                <w:rFonts w:asciiTheme="minorHAnsi" w:hAnsiTheme="minorHAnsi" w:cstheme="minorHAnsi"/>
                <w:sz w:val="22"/>
              </w:rPr>
            </w:pPr>
          </w:p>
        </w:tc>
      </w:tr>
      <w:tr w:rsidR="004000A8" w:rsidRPr="00985531" w14:paraId="36B5DF39" w14:textId="77777777" w:rsidTr="0025113D">
        <w:tc>
          <w:tcPr>
            <w:tcW w:w="4508" w:type="dxa"/>
          </w:tcPr>
          <w:p w14:paraId="3249941D" w14:textId="5BAB4194" w:rsidR="004000A8" w:rsidRPr="000B3975" w:rsidRDefault="004000A8" w:rsidP="004000A8">
            <w:pPr>
              <w:jc w:val="both"/>
              <w:rPr>
                <w:rFonts w:asciiTheme="minorHAnsi" w:hAnsiTheme="minorHAnsi" w:cstheme="minorHAnsi"/>
                <w:b/>
                <w:bCs/>
                <w:sz w:val="22"/>
                <w:u w:val="single"/>
                <w:lang w:val="fr-BE"/>
              </w:rPr>
            </w:pPr>
            <w:bookmarkStart w:id="39" w:name="_Toc90638347"/>
            <w:bookmarkStart w:id="40" w:name="_Toc94800268"/>
            <w:r w:rsidRPr="000B3975">
              <w:rPr>
                <w:rFonts w:asciiTheme="minorHAnsi" w:hAnsiTheme="minorHAnsi" w:cstheme="minorHAnsi"/>
                <w:b/>
                <w:bCs/>
                <w:sz w:val="22"/>
                <w:u w:val="single"/>
                <w:lang w:val="fr-BE"/>
              </w:rPr>
              <w:t>Paragraphe 7 : méthode d’identification directe : identification de l’abonné qui est une personne morale</w:t>
            </w:r>
            <w:bookmarkEnd w:id="39"/>
            <w:bookmarkEnd w:id="40"/>
            <w:r w:rsidRPr="000B3975">
              <w:rPr>
                <w:rFonts w:asciiTheme="minorHAnsi" w:hAnsiTheme="minorHAnsi" w:cstheme="minorHAnsi"/>
                <w:b/>
                <w:bCs/>
                <w:sz w:val="22"/>
                <w:u w:val="single"/>
                <w:lang w:val="fr-BE"/>
              </w:rPr>
              <w:t xml:space="preserve"> </w:t>
            </w:r>
          </w:p>
        </w:tc>
        <w:tc>
          <w:tcPr>
            <w:tcW w:w="4508" w:type="dxa"/>
          </w:tcPr>
          <w:p w14:paraId="4BC3EF08" w14:textId="53FFA38E" w:rsidR="004000A8" w:rsidRPr="00215790" w:rsidRDefault="004000A8" w:rsidP="004000A8">
            <w:pPr>
              <w:jc w:val="both"/>
              <w:rPr>
                <w:rFonts w:asciiTheme="minorHAnsi" w:hAnsiTheme="minorHAnsi" w:cstheme="minorHAnsi"/>
                <w:b/>
                <w:bCs/>
                <w:sz w:val="22"/>
                <w:u w:val="single"/>
              </w:rPr>
            </w:pPr>
            <w:bookmarkStart w:id="41" w:name="_Toc94800269"/>
            <w:r w:rsidRPr="00215790">
              <w:rPr>
                <w:rFonts w:asciiTheme="minorHAnsi" w:hAnsiTheme="minorHAnsi" w:cstheme="minorHAnsi"/>
                <w:b/>
                <w:bCs/>
                <w:sz w:val="22"/>
                <w:u w:val="single"/>
              </w:rPr>
              <w:t>Paragraaf 7: directe identificatiemethode: identificatie van de abonnee die een rechtspersoon is</w:t>
            </w:r>
            <w:bookmarkEnd w:id="41"/>
            <w:r w:rsidRPr="00215790">
              <w:rPr>
                <w:rFonts w:asciiTheme="minorHAnsi" w:hAnsiTheme="minorHAnsi" w:cstheme="minorHAnsi"/>
                <w:b/>
                <w:bCs/>
                <w:sz w:val="22"/>
                <w:u w:val="single"/>
              </w:rPr>
              <w:t xml:space="preserve"> </w:t>
            </w:r>
          </w:p>
        </w:tc>
      </w:tr>
      <w:tr w:rsidR="004000A8" w:rsidRPr="00985531" w14:paraId="45DEA110" w14:textId="77777777" w:rsidTr="0025113D">
        <w:tc>
          <w:tcPr>
            <w:tcW w:w="4508" w:type="dxa"/>
          </w:tcPr>
          <w:p w14:paraId="7A4154F6" w14:textId="77777777" w:rsidR="004000A8" w:rsidRPr="000B3975" w:rsidRDefault="004000A8" w:rsidP="004000A8">
            <w:pPr>
              <w:jc w:val="both"/>
              <w:rPr>
                <w:rFonts w:asciiTheme="minorHAnsi" w:hAnsiTheme="minorHAnsi" w:cstheme="minorHAnsi"/>
                <w:sz w:val="22"/>
              </w:rPr>
            </w:pPr>
          </w:p>
        </w:tc>
        <w:tc>
          <w:tcPr>
            <w:tcW w:w="4508" w:type="dxa"/>
          </w:tcPr>
          <w:p w14:paraId="3765579B" w14:textId="77777777" w:rsidR="004000A8" w:rsidRPr="000B3975" w:rsidRDefault="004000A8" w:rsidP="004000A8">
            <w:pPr>
              <w:jc w:val="both"/>
              <w:rPr>
                <w:rFonts w:asciiTheme="minorHAnsi" w:hAnsiTheme="minorHAnsi" w:cstheme="minorHAnsi"/>
                <w:sz w:val="22"/>
              </w:rPr>
            </w:pPr>
          </w:p>
        </w:tc>
      </w:tr>
      <w:tr w:rsidR="004000A8" w:rsidRPr="00985531" w14:paraId="64A37138" w14:textId="77777777" w:rsidTr="0025113D">
        <w:tc>
          <w:tcPr>
            <w:tcW w:w="4508" w:type="dxa"/>
          </w:tcPr>
          <w:p w14:paraId="08D5AECB" w14:textId="739331C6"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L’article 9 de l’arrêté royal « cartes prépayées » prévoit que « Lorsqu'une carte prépayée est achetée par une personne physique ou morale, l'entreprise concernée collecte et vérifie selon une des méthodes d'identification valides l'identité de la personne physique qui demande l'activation de la carte. » Le principe qui découle de cet article (lorsque l’abonné est une personne morale, l’opérateur identifie au moins une personne physique qui agit pour le compte de la personne morale) a été repris dans le paragraphe 7 de l’article 127.  Ce même principe n’est pas repris pour les formules avec facturation (« </w:t>
            </w:r>
            <w:proofErr w:type="spellStart"/>
            <w:r w:rsidRPr="000B3975">
              <w:rPr>
                <w:rFonts w:asciiTheme="minorHAnsi" w:hAnsiTheme="minorHAnsi" w:cstheme="minorHAnsi"/>
                <w:sz w:val="22"/>
                <w:lang w:val="fr-BE"/>
              </w:rPr>
              <w:t>postpaid</w:t>
            </w:r>
            <w:proofErr w:type="spellEnd"/>
            <w:r w:rsidRPr="000B3975">
              <w:rPr>
                <w:rFonts w:asciiTheme="minorHAnsi" w:hAnsiTheme="minorHAnsi" w:cstheme="minorHAnsi"/>
                <w:sz w:val="22"/>
                <w:lang w:val="fr-BE"/>
              </w:rPr>
              <w:t xml:space="preserve"> »), étant donné que dans ce cas-là, l’opérateur a déjà un intérêt commercial significatif d’identifier la personne morale (en particulier en vue de lancer une procédure judiciaire si la personne morale ne paie pas ses factures). </w:t>
            </w:r>
          </w:p>
        </w:tc>
        <w:tc>
          <w:tcPr>
            <w:tcW w:w="4508" w:type="dxa"/>
          </w:tcPr>
          <w:p w14:paraId="089F5C45" w14:textId="70E96EA4"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Artikel 9 van het koninklijk besluit “prepaid kaarten” bepaalt: “Wanneer een </w:t>
            </w:r>
            <w:proofErr w:type="spellStart"/>
            <w:r w:rsidRPr="000B3975">
              <w:rPr>
                <w:rFonts w:asciiTheme="minorHAnsi" w:hAnsiTheme="minorHAnsi" w:cstheme="minorHAnsi"/>
                <w:sz w:val="22"/>
              </w:rPr>
              <w:t>voorafbetaalde</w:t>
            </w:r>
            <w:proofErr w:type="spellEnd"/>
            <w:r w:rsidRPr="000B3975">
              <w:rPr>
                <w:rFonts w:asciiTheme="minorHAnsi" w:hAnsiTheme="minorHAnsi" w:cstheme="minorHAnsi"/>
                <w:sz w:val="22"/>
              </w:rPr>
              <w:t xml:space="preserve"> kaart wordt gekocht door een natuurlijke persoon of een rechtspersoon, verzamelt en verifieert de betrokken onderneming volgens één van de geldige identificatiemethodes de identiteit van de natuurlijke persoon die de activering van de kaart vraagt.” Het principe dat uit dat artikel voortvloeit (wanneer de abonnee een rechtspersoon is, identificeert de operator minstens een natuurlijke persoon die voor rekening van de rechtspersoon optreedt) is overgenomen in paragraaf 7 van artikel 127.  Datzelfde principe wordt niet overgenomen voor de formules met facturering (“</w:t>
            </w:r>
            <w:proofErr w:type="spellStart"/>
            <w:r w:rsidRPr="000B3975">
              <w:rPr>
                <w:rFonts w:asciiTheme="minorHAnsi" w:hAnsiTheme="minorHAnsi" w:cstheme="minorHAnsi"/>
                <w:sz w:val="22"/>
              </w:rPr>
              <w:t>postpaid</w:t>
            </w:r>
            <w:proofErr w:type="spellEnd"/>
            <w:r w:rsidRPr="000B3975">
              <w:rPr>
                <w:rFonts w:asciiTheme="minorHAnsi" w:hAnsiTheme="minorHAnsi" w:cstheme="minorHAnsi"/>
                <w:sz w:val="22"/>
              </w:rPr>
              <w:t xml:space="preserve">”), aangezien de operator in dat geval reeds een aanzienlijk commercieel belang heeft om de rechtspersoon te identificeren (in het bijzonder om een gerechtelijke procedure in te stellen als de rechtspersoon de rekeningen niet betaalt). </w:t>
            </w:r>
          </w:p>
        </w:tc>
      </w:tr>
      <w:tr w:rsidR="004000A8" w:rsidRPr="00985531" w14:paraId="5061E611" w14:textId="77777777" w:rsidTr="0025113D">
        <w:tc>
          <w:tcPr>
            <w:tcW w:w="4508" w:type="dxa"/>
          </w:tcPr>
          <w:p w14:paraId="6D3B6D59" w14:textId="77777777" w:rsidR="004000A8" w:rsidRPr="000B3975" w:rsidRDefault="004000A8" w:rsidP="004000A8">
            <w:pPr>
              <w:jc w:val="both"/>
              <w:rPr>
                <w:rFonts w:asciiTheme="minorHAnsi" w:hAnsiTheme="minorHAnsi" w:cstheme="minorHAnsi"/>
                <w:sz w:val="22"/>
              </w:rPr>
            </w:pPr>
          </w:p>
        </w:tc>
        <w:tc>
          <w:tcPr>
            <w:tcW w:w="4508" w:type="dxa"/>
          </w:tcPr>
          <w:p w14:paraId="1BDEE0C7" w14:textId="77777777" w:rsidR="004000A8" w:rsidRPr="000B3975" w:rsidRDefault="004000A8" w:rsidP="004000A8">
            <w:pPr>
              <w:jc w:val="both"/>
              <w:rPr>
                <w:rFonts w:asciiTheme="minorHAnsi" w:hAnsiTheme="minorHAnsi" w:cstheme="minorHAnsi"/>
                <w:sz w:val="22"/>
              </w:rPr>
            </w:pPr>
          </w:p>
        </w:tc>
      </w:tr>
      <w:tr w:rsidR="004000A8" w:rsidRPr="00985531" w14:paraId="0E28E143" w14:textId="77777777" w:rsidTr="0025113D">
        <w:tc>
          <w:tcPr>
            <w:tcW w:w="4508" w:type="dxa"/>
          </w:tcPr>
          <w:p w14:paraId="56C407B8" w14:textId="6D6F300B" w:rsidR="004000A8" w:rsidRPr="000B3975" w:rsidRDefault="004000A8" w:rsidP="004000A8">
            <w:pPr>
              <w:jc w:val="both"/>
              <w:rPr>
                <w:rFonts w:asciiTheme="minorHAnsi" w:hAnsiTheme="minorHAnsi" w:cstheme="minorHAnsi"/>
                <w:b/>
                <w:bCs/>
                <w:sz w:val="22"/>
                <w:u w:val="single"/>
                <w:lang w:val="fr-BE"/>
              </w:rPr>
            </w:pPr>
            <w:bookmarkStart w:id="42" w:name="_Toc90638348"/>
            <w:bookmarkStart w:id="43" w:name="_Toc94800270"/>
            <w:r w:rsidRPr="000B3975">
              <w:rPr>
                <w:rFonts w:asciiTheme="minorHAnsi" w:hAnsiTheme="minorHAnsi" w:cstheme="minorHAnsi"/>
                <w:b/>
                <w:bCs/>
                <w:sz w:val="22"/>
                <w:u w:val="single"/>
                <w:lang w:val="fr-BE"/>
              </w:rPr>
              <w:t>Paragraphe 8 : délégations au Roi pour fixer les règles entourant les méthodes d’identification directe</w:t>
            </w:r>
            <w:bookmarkEnd w:id="42"/>
            <w:bookmarkEnd w:id="43"/>
            <w:r w:rsidRPr="000B3975">
              <w:rPr>
                <w:rFonts w:asciiTheme="minorHAnsi" w:hAnsiTheme="minorHAnsi" w:cstheme="minorHAnsi"/>
                <w:b/>
                <w:bCs/>
                <w:sz w:val="22"/>
                <w:u w:val="single"/>
                <w:lang w:val="fr-BE"/>
              </w:rPr>
              <w:t xml:space="preserve">  </w:t>
            </w:r>
          </w:p>
        </w:tc>
        <w:tc>
          <w:tcPr>
            <w:tcW w:w="4508" w:type="dxa"/>
          </w:tcPr>
          <w:p w14:paraId="39690D1D" w14:textId="5D9310CD" w:rsidR="004000A8" w:rsidRPr="000B3975" w:rsidRDefault="004000A8" w:rsidP="004000A8">
            <w:pPr>
              <w:jc w:val="both"/>
              <w:rPr>
                <w:rFonts w:asciiTheme="minorHAnsi" w:hAnsiTheme="minorHAnsi" w:cstheme="minorHAnsi"/>
                <w:b/>
                <w:bCs/>
                <w:sz w:val="22"/>
                <w:u w:val="single"/>
              </w:rPr>
            </w:pPr>
            <w:bookmarkStart w:id="44" w:name="_Toc94800271"/>
            <w:r w:rsidRPr="000B3975">
              <w:rPr>
                <w:rFonts w:asciiTheme="minorHAnsi" w:hAnsiTheme="minorHAnsi" w:cstheme="minorHAnsi"/>
                <w:b/>
                <w:bCs/>
                <w:sz w:val="22"/>
                <w:u w:val="single"/>
              </w:rPr>
              <w:t>Paragraaf 8: delegaties aan de Koning om de regels inzake directe identificatiemethodes vast te stellen</w:t>
            </w:r>
            <w:bookmarkEnd w:id="44"/>
            <w:r w:rsidRPr="000B3975">
              <w:rPr>
                <w:rFonts w:asciiTheme="minorHAnsi" w:hAnsiTheme="minorHAnsi" w:cstheme="minorHAnsi"/>
                <w:b/>
                <w:bCs/>
                <w:sz w:val="22"/>
                <w:u w:val="single"/>
              </w:rPr>
              <w:t xml:space="preserve">  </w:t>
            </w:r>
          </w:p>
        </w:tc>
      </w:tr>
      <w:tr w:rsidR="004000A8" w:rsidRPr="00985531" w14:paraId="57BE891A" w14:textId="77777777" w:rsidTr="0025113D">
        <w:tc>
          <w:tcPr>
            <w:tcW w:w="4508" w:type="dxa"/>
          </w:tcPr>
          <w:p w14:paraId="51568501" w14:textId="77777777" w:rsidR="004000A8" w:rsidRPr="000B3975" w:rsidRDefault="004000A8" w:rsidP="004000A8">
            <w:pPr>
              <w:jc w:val="both"/>
              <w:rPr>
                <w:rFonts w:asciiTheme="minorHAnsi" w:hAnsiTheme="minorHAnsi" w:cstheme="minorHAnsi"/>
                <w:sz w:val="22"/>
              </w:rPr>
            </w:pPr>
          </w:p>
        </w:tc>
        <w:tc>
          <w:tcPr>
            <w:tcW w:w="4508" w:type="dxa"/>
          </w:tcPr>
          <w:p w14:paraId="7F396401" w14:textId="77777777" w:rsidR="004000A8" w:rsidRPr="000B3975" w:rsidRDefault="004000A8" w:rsidP="004000A8">
            <w:pPr>
              <w:jc w:val="both"/>
              <w:rPr>
                <w:rFonts w:asciiTheme="minorHAnsi" w:hAnsiTheme="minorHAnsi" w:cstheme="minorHAnsi"/>
                <w:sz w:val="22"/>
              </w:rPr>
            </w:pPr>
          </w:p>
        </w:tc>
      </w:tr>
      <w:tr w:rsidR="004000A8" w:rsidRPr="00985531" w14:paraId="1C4519A9" w14:textId="77777777" w:rsidTr="0025113D">
        <w:tc>
          <w:tcPr>
            <w:tcW w:w="4508" w:type="dxa"/>
          </w:tcPr>
          <w:p w14:paraId="439E8555" w14:textId="2E44D8F6"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Dans son arrêt du 18 novembre 2021, la Cour constitutionnelle a indiqué que l’article 127 devait déterminer les données d’identification qui sont collectées et traitées et les documents d’identification qui entrent en considération. </w:t>
            </w:r>
            <w:r w:rsidRPr="000B3975">
              <w:rPr>
                <w:rFonts w:asciiTheme="minorHAnsi" w:hAnsiTheme="minorHAnsi" w:cstheme="minorHAnsi"/>
                <w:sz w:val="22"/>
                <w:lang w:val="fr-BE"/>
              </w:rPr>
              <w:lastRenderedPageBreak/>
              <w:t xml:space="preserve">Elle n’a cependant pas jugé que toutes les règles entourant une méthode d’identification de l’abonné devaient être reprises dans la loi. Le faire rendrait la loi très complexe. Cela reviendrait à devoir reprendre le contenu de l’arrêté royal « cartes prépayées » dans la loi. Cet arrêté royal précise d’autres éléments que les données d’identification et les documents d’identité (par exemple l’utilisation obligatoire de check-doc pour ce qui concerne la carte d’identité électronique).  </w:t>
            </w:r>
          </w:p>
        </w:tc>
        <w:tc>
          <w:tcPr>
            <w:tcW w:w="4508" w:type="dxa"/>
          </w:tcPr>
          <w:p w14:paraId="336DF462" w14:textId="22442DC9"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lastRenderedPageBreak/>
              <w:t xml:space="preserve">In zijn arrest van 18 november 2021 heeft het Grondwettelijk Hof aangegeven dat artikel 127 de identificatiegegevens die worden verzameld en verwerkt en de identificatiedocumenten die in aanmerking komen, moest bepalen. Het heeft </w:t>
            </w:r>
            <w:r w:rsidRPr="000B3975">
              <w:rPr>
                <w:rFonts w:asciiTheme="minorHAnsi" w:hAnsiTheme="minorHAnsi" w:cstheme="minorHAnsi"/>
                <w:sz w:val="22"/>
              </w:rPr>
              <w:lastRenderedPageBreak/>
              <w:t>evenwel niet geoordeeld dat alle regels inzake een methode voor de identificatie van de abonnee in de wet opgenomen moesten worden. Door dat te doen zou de wet heel ingewikkeld worden. Dit zou erop neerkomen dat de inhoud van het koninklijk besluit “prepaid kaarten” in de wet opgenomen zou moeten worden. Dat koninklijk besluit preciseert andere elementen buiten de identificatiegegevens en de identificatiedocumenten (bijvoorbeeld het verplichte gebruik van check-</w:t>
            </w:r>
            <w:proofErr w:type="spellStart"/>
            <w:r w:rsidRPr="000B3975">
              <w:rPr>
                <w:rFonts w:asciiTheme="minorHAnsi" w:hAnsiTheme="minorHAnsi" w:cstheme="minorHAnsi"/>
                <w:sz w:val="22"/>
              </w:rPr>
              <w:t>doc</w:t>
            </w:r>
            <w:proofErr w:type="spellEnd"/>
            <w:r w:rsidRPr="000B3975">
              <w:rPr>
                <w:rFonts w:asciiTheme="minorHAnsi" w:hAnsiTheme="minorHAnsi" w:cstheme="minorHAnsi"/>
                <w:sz w:val="22"/>
              </w:rPr>
              <w:t xml:space="preserve"> wat de elektronische identiteitskaart betreft).  </w:t>
            </w:r>
          </w:p>
        </w:tc>
      </w:tr>
      <w:tr w:rsidR="004000A8" w:rsidRPr="00985531" w14:paraId="71FB1D2B" w14:textId="77777777" w:rsidTr="0025113D">
        <w:tc>
          <w:tcPr>
            <w:tcW w:w="4508" w:type="dxa"/>
          </w:tcPr>
          <w:p w14:paraId="05CD2E0C" w14:textId="77777777" w:rsidR="004000A8" w:rsidRPr="00136EDB" w:rsidRDefault="004000A8" w:rsidP="004000A8">
            <w:pPr>
              <w:jc w:val="both"/>
              <w:rPr>
                <w:rFonts w:asciiTheme="minorHAnsi" w:hAnsiTheme="minorHAnsi" w:cstheme="minorHAnsi"/>
                <w:sz w:val="22"/>
              </w:rPr>
            </w:pPr>
          </w:p>
        </w:tc>
        <w:tc>
          <w:tcPr>
            <w:tcW w:w="4508" w:type="dxa"/>
          </w:tcPr>
          <w:p w14:paraId="2B6C3A08" w14:textId="77777777" w:rsidR="004000A8" w:rsidRPr="000B3975" w:rsidRDefault="004000A8" w:rsidP="004000A8">
            <w:pPr>
              <w:jc w:val="both"/>
              <w:rPr>
                <w:rFonts w:asciiTheme="minorHAnsi" w:hAnsiTheme="minorHAnsi" w:cstheme="minorHAnsi"/>
                <w:sz w:val="22"/>
              </w:rPr>
            </w:pPr>
          </w:p>
        </w:tc>
      </w:tr>
      <w:tr w:rsidR="004000A8" w:rsidRPr="00985531" w14:paraId="4877B147" w14:textId="77777777" w:rsidTr="0025113D">
        <w:tc>
          <w:tcPr>
            <w:tcW w:w="4508" w:type="dxa"/>
          </w:tcPr>
          <w:p w14:paraId="21F63BDE" w14:textId="2C9D3862"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L’arrêté royal « cartes prépayées » imposent des obligations aux opérateurs et aux abonnés et il est nécessaire que la loi contienne des délégations au Roi suffisantes pour couvrir les règles de cet arrêté. </w:t>
            </w:r>
          </w:p>
        </w:tc>
        <w:tc>
          <w:tcPr>
            <w:tcW w:w="4508" w:type="dxa"/>
          </w:tcPr>
          <w:p w14:paraId="7E637475" w14:textId="2688E291"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Het koninklijk besluit “prepaid kaarten” legt verplichtingen op aan de operatoren en aan de abonnees en het is noodzakelijk dat de wet delegaties aan de Koning bevat die voldoende zijn om de regels van dat besluit te dekken. </w:t>
            </w:r>
          </w:p>
        </w:tc>
      </w:tr>
      <w:tr w:rsidR="004000A8" w:rsidRPr="00985531" w14:paraId="5DCF1F81" w14:textId="77777777" w:rsidTr="0025113D">
        <w:tc>
          <w:tcPr>
            <w:tcW w:w="4508" w:type="dxa"/>
          </w:tcPr>
          <w:p w14:paraId="32D8C58A" w14:textId="77777777" w:rsidR="004000A8" w:rsidRPr="000B3975" w:rsidRDefault="004000A8" w:rsidP="004000A8">
            <w:pPr>
              <w:jc w:val="both"/>
              <w:rPr>
                <w:rFonts w:asciiTheme="minorHAnsi" w:hAnsiTheme="minorHAnsi" w:cstheme="minorHAnsi"/>
                <w:sz w:val="22"/>
              </w:rPr>
            </w:pPr>
          </w:p>
        </w:tc>
        <w:tc>
          <w:tcPr>
            <w:tcW w:w="4508" w:type="dxa"/>
          </w:tcPr>
          <w:p w14:paraId="411F0351" w14:textId="77777777" w:rsidR="004000A8" w:rsidRPr="000B3975" w:rsidRDefault="004000A8" w:rsidP="004000A8">
            <w:pPr>
              <w:jc w:val="both"/>
              <w:rPr>
                <w:rFonts w:asciiTheme="minorHAnsi" w:hAnsiTheme="minorHAnsi" w:cstheme="minorHAnsi"/>
                <w:sz w:val="22"/>
              </w:rPr>
            </w:pPr>
          </w:p>
        </w:tc>
      </w:tr>
      <w:tr w:rsidR="004000A8" w:rsidRPr="00985531" w14:paraId="45D0BF6B" w14:textId="77777777" w:rsidTr="0025113D">
        <w:tc>
          <w:tcPr>
            <w:tcW w:w="4508" w:type="dxa"/>
          </w:tcPr>
          <w:p w14:paraId="6DF872F9" w14:textId="00C15046" w:rsidR="004000A8" w:rsidRPr="000B3975" w:rsidRDefault="004000A8" w:rsidP="004000A8">
            <w:pPr>
              <w:jc w:val="both"/>
              <w:rPr>
                <w:rFonts w:asciiTheme="minorHAnsi" w:hAnsiTheme="minorHAnsi" w:cstheme="minorHAnsi"/>
                <w:b/>
                <w:bCs/>
                <w:sz w:val="22"/>
                <w:u w:val="single"/>
                <w:lang w:val="fr-BE"/>
              </w:rPr>
            </w:pPr>
            <w:bookmarkStart w:id="45" w:name="_Toc90638349"/>
            <w:bookmarkStart w:id="46" w:name="_Toc94800272"/>
            <w:r w:rsidRPr="000B3975">
              <w:rPr>
                <w:rFonts w:asciiTheme="minorHAnsi" w:hAnsiTheme="minorHAnsi" w:cstheme="minorHAnsi"/>
                <w:b/>
                <w:bCs/>
                <w:sz w:val="22"/>
                <w:u w:val="single"/>
                <w:lang w:val="fr-BE"/>
              </w:rPr>
              <w:t>Paragraphe 9 : identification de l’abonné par une méthode d’identification indirecte</w:t>
            </w:r>
            <w:bookmarkEnd w:id="45"/>
            <w:bookmarkEnd w:id="46"/>
          </w:p>
        </w:tc>
        <w:tc>
          <w:tcPr>
            <w:tcW w:w="4508" w:type="dxa"/>
          </w:tcPr>
          <w:p w14:paraId="6F5FB5DD" w14:textId="1331499A" w:rsidR="004000A8" w:rsidRPr="00215790" w:rsidRDefault="004000A8" w:rsidP="004000A8">
            <w:pPr>
              <w:jc w:val="both"/>
              <w:rPr>
                <w:rFonts w:asciiTheme="minorHAnsi" w:hAnsiTheme="minorHAnsi" w:cstheme="minorHAnsi"/>
                <w:b/>
                <w:bCs/>
                <w:sz w:val="22"/>
                <w:u w:val="single"/>
              </w:rPr>
            </w:pPr>
            <w:bookmarkStart w:id="47" w:name="_Toc94800273"/>
            <w:r w:rsidRPr="00215790">
              <w:rPr>
                <w:rFonts w:asciiTheme="minorHAnsi" w:hAnsiTheme="minorHAnsi" w:cstheme="minorHAnsi"/>
                <w:b/>
                <w:bCs/>
                <w:sz w:val="22"/>
                <w:u w:val="single"/>
              </w:rPr>
              <w:t>Paragraaf 9: identificatie van de abonnee via een indirecte identificatiemethode</w:t>
            </w:r>
            <w:bookmarkEnd w:id="47"/>
          </w:p>
        </w:tc>
      </w:tr>
      <w:tr w:rsidR="004000A8" w:rsidRPr="00985531" w14:paraId="5C92944C" w14:textId="77777777" w:rsidTr="0025113D">
        <w:tc>
          <w:tcPr>
            <w:tcW w:w="4508" w:type="dxa"/>
          </w:tcPr>
          <w:p w14:paraId="744C4781" w14:textId="77777777" w:rsidR="004000A8" w:rsidRPr="000B3975" w:rsidRDefault="004000A8" w:rsidP="004000A8">
            <w:pPr>
              <w:jc w:val="both"/>
              <w:rPr>
                <w:rFonts w:asciiTheme="minorHAnsi" w:hAnsiTheme="minorHAnsi" w:cstheme="minorHAnsi"/>
                <w:sz w:val="22"/>
              </w:rPr>
            </w:pPr>
          </w:p>
        </w:tc>
        <w:tc>
          <w:tcPr>
            <w:tcW w:w="4508" w:type="dxa"/>
          </w:tcPr>
          <w:p w14:paraId="2D6025B0" w14:textId="77777777" w:rsidR="004000A8" w:rsidRPr="000B3975" w:rsidRDefault="004000A8" w:rsidP="004000A8">
            <w:pPr>
              <w:jc w:val="both"/>
              <w:rPr>
                <w:rFonts w:asciiTheme="minorHAnsi" w:hAnsiTheme="minorHAnsi" w:cstheme="minorHAnsi"/>
                <w:sz w:val="22"/>
              </w:rPr>
            </w:pPr>
          </w:p>
        </w:tc>
      </w:tr>
      <w:tr w:rsidR="004000A8" w:rsidRPr="00985531" w14:paraId="730D0CBB" w14:textId="77777777" w:rsidTr="0025113D">
        <w:tc>
          <w:tcPr>
            <w:tcW w:w="4508" w:type="dxa"/>
          </w:tcPr>
          <w:p w14:paraId="7E500CC2" w14:textId="2A9A3BCC"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L’alinéa 1</w:t>
            </w:r>
            <w:r w:rsidRPr="000B3975">
              <w:rPr>
                <w:rFonts w:asciiTheme="minorHAnsi" w:hAnsiTheme="minorHAnsi" w:cstheme="minorHAnsi"/>
                <w:sz w:val="22"/>
                <w:vertAlign w:val="superscript"/>
                <w:lang w:val="fr-BE"/>
              </w:rPr>
              <w:t>er</w:t>
            </w:r>
            <w:r w:rsidRPr="000B3975">
              <w:rPr>
                <w:rFonts w:asciiTheme="minorHAnsi" w:hAnsiTheme="minorHAnsi" w:cstheme="minorHAnsi"/>
                <w:sz w:val="22"/>
                <w:lang w:val="fr-BE"/>
              </w:rPr>
              <w:t xml:space="preserve">, 3°, correspond à la méthode d’identification prévue à l’article 17 de l’arrêté royal « cartes prépayées ». </w:t>
            </w:r>
          </w:p>
        </w:tc>
        <w:tc>
          <w:tcPr>
            <w:tcW w:w="4508" w:type="dxa"/>
          </w:tcPr>
          <w:p w14:paraId="600676EB" w14:textId="79F4C54A"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Het eerste lid, 3°, komt overeen met de identificatiemethode die bepaald is in artikel 17 van het koninklijk besluit “prepaid kaarten”. </w:t>
            </w:r>
          </w:p>
        </w:tc>
      </w:tr>
      <w:tr w:rsidR="004000A8" w:rsidRPr="00985531" w14:paraId="677BDFA1" w14:textId="77777777" w:rsidTr="0025113D">
        <w:tc>
          <w:tcPr>
            <w:tcW w:w="4508" w:type="dxa"/>
          </w:tcPr>
          <w:p w14:paraId="014101EF" w14:textId="77777777" w:rsidR="004000A8" w:rsidRPr="00136EDB" w:rsidRDefault="004000A8" w:rsidP="004000A8">
            <w:pPr>
              <w:jc w:val="both"/>
              <w:rPr>
                <w:rFonts w:asciiTheme="minorHAnsi" w:hAnsiTheme="minorHAnsi" w:cstheme="minorHAnsi"/>
                <w:sz w:val="22"/>
              </w:rPr>
            </w:pPr>
          </w:p>
        </w:tc>
        <w:tc>
          <w:tcPr>
            <w:tcW w:w="4508" w:type="dxa"/>
          </w:tcPr>
          <w:p w14:paraId="35F3DD41" w14:textId="77777777" w:rsidR="004000A8" w:rsidRPr="000B3975" w:rsidRDefault="004000A8" w:rsidP="004000A8">
            <w:pPr>
              <w:jc w:val="both"/>
              <w:rPr>
                <w:rFonts w:asciiTheme="minorHAnsi" w:hAnsiTheme="minorHAnsi" w:cstheme="minorHAnsi"/>
                <w:sz w:val="22"/>
              </w:rPr>
            </w:pPr>
          </w:p>
        </w:tc>
      </w:tr>
      <w:tr w:rsidR="004000A8" w:rsidRPr="00985531" w14:paraId="7545878B" w14:textId="77777777" w:rsidTr="0025113D">
        <w:tc>
          <w:tcPr>
            <w:tcW w:w="4508" w:type="dxa"/>
          </w:tcPr>
          <w:p w14:paraId="56AE4955" w14:textId="3E41B353"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L’alinéa 1</w:t>
            </w:r>
            <w:r w:rsidRPr="000B3975">
              <w:rPr>
                <w:rFonts w:asciiTheme="minorHAnsi" w:hAnsiTheme="minorHAnsi" w:cstheme="minorHAnsi"/>
                <w:sz w:val="22"/>
                <w:vertAlign w:val="superscript"/>
                <w:lang w:val="fr-BE"/>
              </w:rPr>
              <w:t>er</w:t>
            </w:r>
            <w:r w:rsidRPr="000B3975">
              <w:rPr>
                <w:rFonts w:asciiTheme="minorHAnsi" w:hAnsiTheme="minorHAnsi" w:cstheme="minorHAnsi"/>
                <w:sz w:val="22"/>
                <w:lang w:val="fr-BE"/>
              </w:rPr>
              <w:t xml:space="preserve">, 4°, correspond à une solution trouvée avec le SPF Intérieur. Ce sont les centres fermés et les lieux d’hébergement qui identifient leurs résidents et qui fournissent à l’opérateur certaines données. Sur base des informations reçues de l’opérateur, les autorités judiciaires pourront s’adresser au centre fermé ou au lieu d’hébergement, pour obtenir plus d’information sur l’identité de l’abonné. </w:t>
            </w:r>
          </w:p>
        </w:tc>
        <w:tc>
          <w:tcPr>
            <w:tcW w:w="4508" w:type="dxa"/>
          </w:tcPr>
          <w:p w14:paraId="77403531" w14:textId="79895256"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Het eerste lid, 4°, stemt overeen met een oplossing die samen met de FOD Binnenlandse Zaken is gevonden. Het zijn de gesloten centra en de woonunits die hun bewoners identificeren en die bepaalde gegevens aan de operator verstrekken. Op basis van de informatie die ontvangen is van de operator zullen de gerechtelijke autoriteiten zich kunnen wenden tot het gesloten centrum of de woonunit om meer informatie te krijgen over de identiteit van de abonnee. </w:t>
            </w:r>
          </w:p>
        </w:tc>
      </w:tr>
      <w:tr w:rsidR="004000A8" w:rsidRPr="00985531" w14:paraId="46EC07F2" w14:textId="77777777" w:rsidTr="0025113D">
        <w:tc>
          <w:tcPr>
            <w:tcW w:w="4508" w:type="dxa"/>
          </w:tcPr>
          <w:p w14:paraId="12532704" w14:textId="77777777" w:rsidR="004000A8" w:rsidRPr="00136EDB" w:rsidRDefault="004000A8" w:rsidP="004000A8">
            <w:pPr>
              <w:jc w:val="both"/>
              <w:rPr>
                <w:rFonts w:asciiTheme="minorHAnsi" w:hAnsiTheme="minorHAnsi" w:cstheme="minorHAnsi"/>
                <w:sz w:val="22"/>
              </w:rPr>
            </w:pPr>
          </w:p>
        </w:tc>
        <w:tc>
          <w:tcPr>
            <w:tcW w:w="4508" w:type="dxa"/>
          </w:tcPr>
          <w:p w14:paraId="1B0C6E31" w14:textId="77777777" w:rsidR="004000A8" w:rsidRPr="000B3975" w:rsidRDefault="004000A8" w:rsidP="004000A8">
            <w:pPr>
              <w:jc w:val="both"/>
              <w:rPr>
                <w:rFonts w:asciiTheme="minorHAnsi" w:hAnsiTheme="minorHAnsi" w:cstheme="minorHAnsi"/>
                <w:sz w:val="22"/>
              </w:rPr>
            </w:pPr>
          </w:p>
        </w:tc>
      </w:tr>
      <w:tr w:rsidR="004000A8" w:rsidRPr="00985531" w14:paraId="03FFB508" w14:textId="77777777" w:rsidTr="0025113D">
        <w:tc>
          <w:tcPr>
            <w:tcW w:w="4508" w:type="dxa"/>
          </w:tcPr>
          <w:p w14:paraId="076DCB52" w14:textId="2428AF9F"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L’alinéa 1</w:t>
            </w:r>
            <w:r w:rsidRPr="000B3975">
              <w:rPr>
                <w:rFonts w:asciiTheme="minorHAnsi" w:hAnsiTheme="minorHAnsi" w:cstheme="minorHAnsi"/>
                <w:sz w:val="22"/>
                <w:vertAlign w:val="superscript"/>
                <w:lang w:val="fr-BE"/>
              </w:rPr>
              <w:t>er</w:t>
            </w:r>
            <w:r w:rsidRPr="000B3975">
              <w:rPr>
                <w:rFonts w:asciiTheme="minorHAnsi" w:hAnsiTheme="minorHAnsi" w:cstheme="minorHAnsi"/>
                <w:sz w:val="22"/>
                <w:lang w:val="fr-BE"/>
              </w:rPr>
              <w:t xml:space="preserve">, 5°, permet au Roi de trouver des solutions créatives pour aider les opérateurs à permettre l’identification de leurs abonnés qui font usage d’un de leur hotspot. Une opérateur qui met en place un hotspot dans un aéroport pourrait par exemple conserver le numéro de vol (pour autant que cette donnée soit fiable). L’adresse MAC de l’équipement qui se connecte au Wi-Fi peut aussi aider à identifier l’utilisateur du Wi-Fi. </w:t>
            </w:r>
          </w:p>
        </w:tc>
        <w:tc>
          <w:tcPr>
            <w:tcW w:w="4508" w:type="dxa"/>
          </w:tcPr>
          <w:p w14:paraId="1A1DCAF4" w14:textId="47E61C56"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Het eerste lid, 5°, staat het aan de Koning toe om creatieve oplossingen te vinden om de operatoren te helpen om de identificatie mogelijk te maken van hun abonnees die gebruikmaken van een van hun hotspots. Een operator die een </w:t>
            </w:r>
            <w:proofErr w:type="spellStart"/>
            <w:r w:rsidRPr="000B3975">
              <w:rPr>
                <w:rFonts w:asciiTheme="minorHAnsi" w:hAnsiTheme="minorHAnsi" w:cstheme="minorHAnsi"/>
                <w:sz w:val="22"/>
              </w:rPr>
              <w:t>hotspot</w:t>
            </w:r>
            <w:proofErr w:type="spellEnd"/>
            <w:r w:rsidRPr="000B3975">
              <w:rPr>
                <w:rFonts w:asciiTheme="minorHAnsi" w:hAnsiTheme="minorHAnsi" w:cstheme="minorHAnsi"/>
                <w:sz w:val="22"/>
              </w:rPr>
              <w:t xml:space="preserve"> installeert in een luchthaven zou bijvoorbeeld het vluchtnummer kunnen bewaren (voor zover dat gegeven betrouwbaar is). Het MAC-adres van het toestel dat inlogt op de wifi kan ook helpen om de gebruiker van de wifi te identificeren. </w:t>
            </w:r>
          </w:p>
        </w:tc>
      </w:tr>
      <w:tr w:rsidR="004000A8" w:rsidRPr="00985531" w14:paraId="6D3F8492" w14:textId="77777777" w:rsidTr="0025113D">
        <w:tc>
          <w:tcPr>
            <w:tcW w:w="4508" w:type="dxa"/>
          </w:tcPr>
          <w:p w14:paraId="36FA0BB7" w14:textId="77777777" w:rsidR="004000A8" w:rsidRPr="00136EDB" w:rsidRDefault="004000A8" w:rsidP="004000A8">
            <w:pPr>
              <w:jc w:val="both"/>
              <w:rPr>
                <w:rFonts w:asciiTheme="minorHAnsi" w:hAnsiTheme="minorHAnsi" w:cstheme="minorHAnsi"/>
                <w:sz w:val="22"/>
              </w:rPr>
            </w:pPr>
          </w:p>
        </w:tc>
        <w:tc>
          <w:tcPr>
            <w:tcW w:w="4508" w:type="dxa"/>
          </w:tcPr>
          <w:p w14:paraId="31A049E4" w14:textId="77777777" w:rsidR="004000A8" w:rsidRPr="000B3975" w:rsidRDefault="004000A8" w:rsidP="004000A8">
            <w:pPr>
              <w:jc w:val="both"/>
              <w:rPr>
                <w:rFonts w:asciiTheme="minorHAnsi" w:hAnsiTheme="minorHAnsi" w:cstheme="minorHAnsi"/>
                <w:sz w:val="22"/>
              </w:rPr>
            </w:pPr>
          </w:p>
        </w:tc>
      </w:tr>
      <w:tr w:rsidR="004000A8" w:rsidRPr="00985531" w14:paraId="06FF428A" w14:textId="77777777" w:rsidTr="0025113D">
        <w:tc>
          <w:tcPr>
            <w:tcW w:w="4508" w:type="dxa"/>
          </w:tcPr>
          <w:p w14:paraId="03D0A4D7" w14:textId="61D9E436"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lastRenderedPageBreak/>
              <w:t>Une délégation au Roi est nécessaire pour pouvoir préciser ces méthodes d’identification indirecte. Ainsi, pour ce qui concerne l’identification par une méthode de paiement (alinéa 1</w:t>
            </w:r>
            <w:r w:rsidRPr="000B3975">
              <w:rPr>
                <w:rFonts w:asciiTheme="minorHAnsi" w:hAnsiTheme="minorHAnsi" w:cstheme="minorHAnsi"/>
                <w:sz w:val="22"/>
                <w:vertAlign w:val="superscript"/>
                <w:lang w:val="fr-BE"/>
              </w:rPr>
              <w:t>er</w:t>
            </w:r>
            <w:r w:rsidRPr="000B3975">
              <w:rPr>
                <w:rFonts w:asciiTheme="minorHAnsi" w:hAnsiTheme="minorHAnsi" w:cstheme="minorHAnsi"/>
                <w:sz w:val="22"/>
                <w:lang w:val="fr-BE"/>
              </w:rPr>
              <w:t xml:space="preserve">, 3°),  l’article 17 de l’arrêté royal « cartes prépayées » fixe certaines conditions. </w:t>
            </w:r>
          </w:p>
        </w:tc>
        <w:tc>
          <w:tcPr>
            <w:tcW w:w="4508" w:type="dxa"/>
          </w:tcPr>
          <w:p w14:paraId="765070AB" w14:textId="7F14C4B4"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Een delegatie aan de Koning is noodzakelijk om deze indirecte identificatiemethodes te kunnen preciseren. Wat de identificatie via een betaalmethode betreft (eerste lid, 3°) stelt artikel 17 van het koninklijk besluit “prepaid kaarten” aldus een aantal voorwaarden vast. </w:t>
            </w:r>
          </w:p>
        </w:tc>
      </w:tr>
      <w:tr w:rsidR="004000A8" w:rsidRPr="00985531" w14:paraId="65D84FAB" w14:textId="77777777" w:rsidTr="0025113D">
        <w:tc>
          <w:tcPr>
            <w:tcW w:w="4508" w:type="dxa"/>
          </w:tcPr>
          <w:p w14:paraId="3930691A" w14:textId="77777777" w:rsidR="004000A8" w:rsidRPr="00136EDB" w:rsidRDefault="004000A8" w:rsidP="004000A8">
            <w:pPr>
              <w:jc w:val="both"/>
              <w:rPr>
                <w:rFonts w:asciiTheme="minorHAnsi" w:hAnsiTheme="minorHAnsi" w:cstheme="minorHAnsi"/>
                <w:sz w:val="22"/>
              </w:rPr>
            </w:pPr>
          </w:p>
        </w:tc>
        <w:tc>
          <w:tcPr>
            <w:tcW w:w="4508" w:type="dxa"/>
          </w:tcPr>
          <w:p w14:paraId="113CD587" w14:textId="77777777" w:rsidR="004000A8" w:rsidRPr="000B3975" w:rsidRDefault="004000A8" w:rsidP="004000A8">
            <w:pPr>
              <w:jc w:val="both"/>
              <w:rPr>
                <w:rFonts w:asciiTheme="minorHAnsi" w:hAnsiTheme="minorHAnsi" w:cstheme="minorHAnsi"/>
                <w:sz w:val="22"/>
              </w:rPr>
            </w:pPr>
          </w:p>
        </w:tc>
      </w:tr>
      <w:tr w:rsidR="004000A8" w:rsidRPr="00985531" w14:paraId="17C069CE" w14:textId="77777777" w:rsidTr="0025113D">
        <w:tc>
          <w:tcPr>
            <w:tcW w:w="4508" w:type="dxa"/>
          </w:tcPr>
          <w:p w14:paraId="09A869B3" w14:textId="5ACB2C78"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pacing w:val="-3"/>
                <w:sz w:val="22"/>
                <w:lang w:val="fr-FR"/>
              </w:rPr>
              <w:t>Pour s’assurer que la méthode d’identification indirecte visée à l’alinéa 1</w:t>
            </w:r>
            <w:r w:rsidRPr="000B3975">
              <w:rPr>
                <w:rFonts w:asciiTheme="minorHAnsi" w:hAnsiTheme="minorHAnsi" w:cstheme="minorHAnsi"/>
                <w:spacing w:val="-3"/>
                <w:sz w:val="22"/>
                <w:vertAlign w:val="superscript"/>
                <w:lang w:val="fr-FR"/>
              </w:rPr>
              <w:t>er</w:t>
            </w:r>
            <w:r w:rsidRPr="000B3975">
              <w:rPr>
                <w:rFonts w:asciiTheme="minorHAnsi" w:hAnsiTheme="minorHAnsi" w:cstheme="minorHAnsi"/>
                <w:spacing w:val="-3"/>
                <w:sz w:val="22"/>
                <w:lang w:val="fr-FR"/>
              </w:rPr>
              <w:t xml:space="preserve">, 3°, fonctionne en pratique, la possibilité de requérir des données d’identification d’un fournisseur de service de paiement, actuellement prévue à l'article 16/2 de la loi du 30 novembre 1998 organique des services de renseignement et de sécurité pour les services de renseignement et de sécurité, est étendue aux autres autorités belges qui sont habilitées à obtenir de l’opérateur télécom l’identité de l’abonné. Si ces autorités peuvent obtenir cette identité de l’opérateur télécom, elles doivent aussi pouvoir l’obtenir d’un fournisseur de service de paiement  (identification sur base de la référence d’une transaction bancaire conservée par l’opérateur) selon les mêmes modalités, sauf si la législation organique de l’autorité prévoit d’autres modalités.  Cela vaut également dans le cadre du contrôle par l’IBPT du respect de l’article 127 de la loi télécom. </w:t>
            </w:r>
          </w:p>
        </w:tc>
        <w:tc>
          <w:tcPr>
            <w:tcW w:w="4508" w:type="dxa"/>
          </w:tcPr>
          <w:p w14:paraId="1CEBA908" w14:textId="3F75D3D5"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Om te garanderen dat de in het eerste artikel, 3°, bedoelde indirecte identificatiemethode in de praktijk werkt, wordt de mogelijkheid om identificatiegegevens te vorderen van een betalingsdienstenaanbieder, die nu is vastgesteld in artikel 16/2 van de wet van 30 november 1998 houdende regeling van de inlichtingen- en veiligheidsdiensten, uitgebreid naar de andere Belgische autoriteiten die bevoegd zijn om van de telecomoperator de identiteit van de abonnee te krijgen. Als deze autoriteiten deze identiteit kunnen krijgen vanwege de telecomoperator, dan moeten ze die ook kunnen krijgen vanwege een  betalingsdienstenaanbieder</w:t>
            </w:r>
            <w:r w:rsidRPr="000B3975" w:rsidDel="008A15FB">
              <w:rPr>
                <w:rFonts w:asciiTheme="minorHAnsi" w:hAnsiTheme="minorHAnsi" w:cstheme="minorHAnsi"/>
                <w:sz w:val="22"/>
              </w:rPr>
              <w:t xml:space="preserve"> </w:t>
            </w:r>
            <w:r w:rsidRPr="000B3975">
              <w:rPr>
                <w:rFonts w:asciiTheme="minorHAnsi" w:hAnsiTheme="minorHAnsi" w:cstheme="minorHAnsi"/>
                <w:sz w:val="22"/>
              </w:rPr>
              <w:t xml:space="preserve">(identificatie op basis van de referentie van een banktransactie die bewaard wordt door de operator) volgens dezelfde nadere regels, behalve indien de wetgeving houdende regeling van de autoriteit in andere nadere regels voorziet.  Dat geldt ook wanneer de naleving van artikel 127 van de telecomwet gecontroleerd wordt door het BIPT. </w:t>
            </w:r>
          </w:p>
        </w:tc>
      </w:tr>
      <w:tr w:rsidR="004000A8" w:rsidRPr="00985531" w14:paraId="2C84A502" w14:textId="77777777" w:rsidTr="0025113D">
        <w:tc>
          <w:tcPr>
            <w:tcW w:w="4508" w:type="dxa"/>
          </w:tcPr>
          <w:p w14:paraId="758BDC5F" w14:textId="77777777" w:rsidR="004000A8" w:rsidRPr="00136EDB" w:rsidRDefault="004000A8" w:rsidP="004000A8">
            <w:pPr>
              <w:jc w:val="both"/>
              <w:rPr>
                <w:rFonts w:asciiTheme="minorHAnsi" w:hAnsiTheme="minorHAnsi" w:cstheme="minorHAnsi"/>
                <w:spacing w:val="-3"/>
                <w:sz w:val="22"/>
              </w:rPr>
            </w:pPr>
          </w:p>
        </w:tc>
        <w:tc>
          <w:tcPr>
            <w:tcW w:w="4508" w:type="dxa"/>
          </w:tcPr>
          <w:p w14:paraId="119216E2" w14:textId="77777777" w:rsidR="004000A8" w:rsidRPr="000B3975" w:rsidRDefault="004000A8" w:rsidP="004000A8">
            <w:pPr>
              <w:jc w:val="both"/>
              <w:rPr>
                <w:rFonts w:asciiTheme="minorHAnsi" w:hAnsiTheme="minorHAnsi" w:cstheme="minorHAnsi"/>
                <w:sz w:val="22"/>
              </w:rPr>
            </w:pPr>
          </w:p>
        </w:tc>
      </w:tr>
      <w:tr w:rsidR="004000A8" w:rsidRPr="00985531" w14:paraId="1C83C8B5" w14:textId="77777777" w:rsidTr="0025113D">
        <w:tc>
          <w:tcPr>
            <w:tcW w:w="4508" w:type="dxa"/>
          </w:tcPr>
          <w:p w14:paraId="3EF30FD2" w14:textId="59CD3581"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pacing w:val="-3"/>
                <w:sz w:val="22"/>
                <w:lang w:val="fr-FR"/>
              </w:rPr>
              <w:t>Il convient de rappeler que les données d’identité civile sont considérées par la Cour de Justice de l’Union européenne comme des données non sensibles, dès lors qu’elles ne fournissent pas d’information sur une communication électronique. Il en va de même des références du paiement, qui permettent uniquement de retrouver l’identité civile. Comme il ne s’agit pas de données sensibles, le Conseil d’Etat français a jugé qu’« il résulte clairement de la directive du 12 juillet 2002 et du RGPD qu’ils ne s’opposent pas à une obligation de conservation généralisée et indifférenciée, pour une durée d’un an […]</w:t>
            </w:r>
            <w:r>
              <w:rPr>
                <w:rFonts w:asciiTheme="minorHAnsi" w:hAnsiTheme="minorHAnsi" w:cstheme="minorHAnsi"/>
                <w:spacing w:val="-3"/>
                <w:sz w:val="22"/>
                <w:lang w:val="fr-FR"/>
              </w:rPr>
              <w:t xml:space="preserve"> </w:t>
            </w:r>
            <w:r w:rsidRPr="000B3975">
              <w:rPr>
                <w:rFonts w:asciiTheme="minorHAnsi" w:hAnsiTheme="minorHAnsi" w:cstheme="minorHAnsi"/>
                <w:spacing w:val="-3"/>
                <w:sz w:val="22"/>
                <w:lang w:val="fr-FR"/>
              </w:rPr>
              <w:t>des données relatives aux paiements</w:t>
            </w:r>
            <w:r>
              <w:rPr>
                <w:rFonts w:asciiTheme="minorHAnsi" w:hAnsiTheme="minorHAnsi" w:cstheme="minorHAnsi"/>
                <w:spacing w:val="-3"/>
                <w:sz w:val="22"/>
                <w:lang w:val="fr-FR"/>
              </w:rPr>
              <w:t xml:space="preserve"> </w:t>
            </w:r>
            <w:r w:rsidRPr="000B3975">
              <w:rPr>
                <w:rFonts w:asciiTheme="minorHAnsi" w:hAnsiTheme="minorHAnsi" w:cstheme="minorHAnsi"/>
                <w:spacing w:val="-3"/>
                <w:sz w:val="22"/>
                <w:lang w:val="fr-FR"/>
              </w:rPr>
              <w:t>» (arrêt du 21/04/2021, n</w:t>
            </w:r>
            <w:r>
              <w:rPr>
                <w:rFonts w:asciiTheme="minorHAnsi" w:hAnsiTheme="minorHAnsi" w:cstheme="minorHAnsi"/>
                <w:spacing w:val="-3"/>
                <w:sz w:val="22"/>
                <w:lang w:val="fr-FR"/>
              </w:rPr>
              <w:t xml:space="preserve">° </w:t>
            </w:r>
            <w:r w:rsidRPr="000B3975">
              <w:rPr>
                <w:rFonts w:asciiTheme="minorHAnsi" w:hAnsiTheme="minorHAnsi" w:cstheme="minorHAnsi"/>
                <w:spacing w:val="-3"/>
                <w:sz w:val="22"/>
                <w:lang w:val="fr-FR"/>
              </w:rPr>
              <w:t>393099, 394922, 397844, 397851, 424717, 424718, FRENCH DATA NETWORK et autres, point 36).</w:t>
            </w:r>
          </w:p>
        </w:tc>
        <w:tc>
          <w:tcPr>
            <w:tcW w:w="4508" w:type="dxa"/>
          </w:tcPr>
          <w:p w14:paraId="0DB2B985" w14:textId="5A932C87"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Er dient aan te worden herinnerd dat de gegevens van burgerlijke identiteit door het Hof van Justitie van de Europese Unie worden beschouwd als niet-gevoelige gegevens, aangezien ze nu eenmaal geen informatie geven over een elektronische communicatie. Hetzelfde geldt voor de referenties van de betaling waarmee het enkel mogelijk is om de burgerlijke identiteit terug te vinden. Aangezien het niet om gevoelige gegevens gaat heeft de Franse </w:t>
            </w:r>
            <w:proofErr w:type="spellStart"/>
            <w:r w:rsidRPr="000B3975">
              <w:rPr>
                <w:rFonts w:asciiTheme="minorHAnsi" w:hAnsiTheme="minorHAnsi" w:cstheme="minorHAnsi"/>
                <w:sz w:val="22"/>
              </w:rPr>
              <w:t>Conseil</w:t>
            </w:r>
            <w:proofErr w:type="spellEnd"/>
            <w:r w:rsidRPr="000B3975">
              <w:rPr>
                <w:rFonts w:asciiTheme="minorHAnsi" w:hAnsiTheme="minorHAnsi" w:cstheme="minorHAnsi"/>
                <w:sz w:val="22"/>
              </w:rPr>
              <w:t xml:space="preserve"> </w:t>
            </w:r>
            <w:proofErr w:type="spellStart"/>
            <w:r w:rsidRPr="000B3975">
              <w:rPr>
                <w:rFonts w:asciiTheme="minorHAnsi" w:hAnsiTheme="minorHAnsi" w:cstheme="minorHAnsi"/>
                <w:sz w:val="22"/>
              </w:rPr>
              <w:t>d’Etat</w:t>
            </w:r>
            <w:proofErr w:type="spellEnd"/>
            <w:r w:rsidRPr="000B3975">
              <w:rPr>
                <w:rFonts w:asciiTheme="minorHAnsi" w:hAnsiTheme="minorHAnsi" w:cstheme="minorHAnsi"/>
                <w:sz w:val="22"/>
              </w:rPr>
              <w:t xml:space="preserve"> geoordeeld dat uit de richtlijn van 12 juli 2002 en de AVG duidelijk blijkt dat zij zich niet verzetten tegen een algemene en ongedifferentieerde bewaring gedurende een jaar van de betalingsgegevens (arrest van 21/04/2021, </w:t>
            </w:r>
            <w:proofErr w:type="spellStart"/>
            <w:r w:rsidRPr="000B3975">
              <w:rPr>
                <w:rFonts w:asciiTheme="minorHAnsi" w:hAnsiTheme="minorHAnsi" w:cstheme="minorHAnsi"/>
                <w:sz w:val="22"/>
              </w:rPr>
              <w:t>nrs</w:t>
            </w:r>
            <w:proofErr w:type="spellEnd"/>
            <w:r w:rsidRPr="000B3975">
              <w:rPr>
                <w:rFonts w:asciiTheme="minorHAnsi" w:hAnsiTheme="minorHAnsi" w:cstheme="minorHAnsi"/>
                <w:sz w:val="22"/>
              </w:rPr>
              <w:t>. 393099, 394922, 397844, 397851, 424717, 424718, FRENCH DATA NETWORK e.a., punt 36).</w:t>
            </w:r>
          </w:p>
        </w:tc>
      </w:tr>
      <w:tr w:rsidR="004000A8" w:rsidRPr="00985531" w14:paraId="724BA856" w14:textId="77777777" w:rsidTr="0025113D">
        <w:tc>
          <w:tcPr>
            <w:tcW w:w="4508" w:type="dxa"/>
          </w:tcPr>
          <w:p w14:paraId="435E6C29" w14:textId="77777777" w:rsidR="004000A8" w:rsidRPr="00136EDB" w:rsidRDefault="004000A8" w:rsidP="004000A8">
            <w:pPr>
              <w:jc w:val="both"/>
              <w:rPr>
                <w:rFonts w:asciiTheme="minorHAnsi" w:hAnsiTheme="minorHAnsi" w:cstheme="minorHAnsi"/>
                <w:spacing w:val="-3"/>
                <w:sz w:val="22"/>
              </w:rPr>
            </w:pPr>
          </w:p>
        </w:tc>
        <w:tc>
          <w:tcPr>
            <w:tcW w:w="4508" w:type="dxa"/>
          </w:tcPr>
          <w:p w14:paraId="18683F28" w14:textId="77777777" w:rsidR="004000A8" w:rsidRPr="000B3975" w:rsidRDefault="004000A8" w:rsidP="004000A8">
            <w:pPr>
              <w:jc w:val="both"/>
              <w:rPr>
                <w:rFonts w:asciiTheme="minorHAnsi" w:hAnsiTheme="minorHAnsi" w:cstheme="minorHAnsi"/>
                <w:sz w:val="22"/>
              </w:rPr>
            </w:pPr>
          </w:p>
        </w:tc>
      </w:tr>
      <w:tr w:rsidR="004000A8" w:rsidRPr="00985531" w14:paraId="05D51F73" w14:textId="77777777" w:rsidTr="0025113D">
        <w:tc>
          <w:tcPr>
            <w:tcW w:w="4508" w:type="dxa"/>
          </w:tcPr>
          <w:p w14:paraId="06B793BC" w14:textId="5B201141"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pacing w:val="-3"/>
                <w:sz w:val="22"/>
                <w:lang w:val="fr-FR"/>
              </w:rPr>
              <w:t xml:space="preserve">Par ailleurs, les données de paiement permettent aussi de vérifier l’exactitude des données </w:t>
            </w:r>
            <w:r w:rsidRPr="000B3975">
              <w:rPr>
                <w:rFonts w:asciiTheme="minorHAnsi" w:hAnsiTheme="minorHAnsi" w:cstheme="minorHAnsi"/>
                <w:spacing w:val="-3"/>
                <w:sz w:val="22"/>
                <w:lang w:val="fr-FR"/>
              </w:rPr>
              <w:lastRenderedPageBreak/>
              <w:t xml:space="preserve">d’identité civile qui sont conservées par l’opérateur. </w:t>
            </w:r>
          </w:p>
        </w:tc>
        <w:tc>
          <w:tcPr>
            <w:tcW w:w="4508" w:type="dxa"/>
          </w:tcPr>
          <w:p w14:paraId="4BAB4DD1" w14:textId="7842DF20"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lastRenderedPageBreak/>
              <w:t xml:space="preserve">Bovendien is het aan de hand van de betalingsgegevens ook mogelijk om de juistheid </w:t>
            </w:r>
            <w:r w:rsidRPr="000B3975">
              <w:rPr>
                <w:rFonts w:asciiTheme="minorHAnsi" w:hAnsiTheme="minorHAnsi" w:cstheme="minorHAnsi"/>
                <w:sz w:val="22"/>
              </w:rPr>
              <w:lastRenderedPageBreak/>
              <w:t xml:space="preserve">van de gegevens van burgerlijke identiteit die door de operator worden bewaard, na te gaan. </w:t>
            </w:r>
          </w:p>
        </w:tc>
      </w:tr>
      <w:tr w:rsidR="004000A8" w:rsidRPr="00985531" w14:paraId="0B71D509" w14:textId="77777777" w:rsidTr="0025113D">
        <w:tc>
          <w:tcPr>
            <w:tcW w:w="4508" w:type="dxa"/>
          </w:tcPr>
          <w:p w14:paraId="5C242E0E" w14:textId="77777777" w:rsidR="004000A8" w:rsidRPr="000B3975" w:rsidRDefault="004000A8" w:rsidP="004000A8">
            <w:pPr>
              <w:jc w:val="both"/>
              <w:rPr>
                <w:rFonts w:asciiTheme="minorHAnsi" w:hAnsiTheme="minorHAnsi" w:cstheme="minorHAnsi"/>
                <w:sz w:val="22"/>
              </w:rPr>
            </w:pPr>
          </w:p>
        </w:tc>
        <w:tc>
          <w:tcPr>
            <w:tcW w:w="4508" w:type="dxa"/>
          </w:tcPr>
          <w:p w14:paraId="7307C086" w14:textId="77777777" w:rsidR="004000A8" w:rsidRPr="000B3975" w:rsidRDefault="004000A8" w:rsidP="004000A8">
            <w:pPr>
              <w:jc w:val="both"/>
              <w:rPr>
                <w:rFonts w:asciiTheme="minorHAnsi" w:hAnsiTheme="minorHAnsi" w:cstheme="minorHAnsi"/>
                <w:sz w:val="22"/>
              </w:rPr>
            </w:pPr>
          </w:p>
        </w:tc>
      </w:tr>
      <w:tr w:rsidR="004000A8" w:rsidRPr="00985531" w14:paraId="00DBFE51" w14:textId="77777777" w:rsidTr="0025113D">
        <w:tc>
          <w:tcPr>
            <w:tcW w:w="4508" w:type="dxa"/>
          </w:tcPr>
          <w:p w14:paraId="29067397" w14:textId="33D22D41" w:rsidR="004000A8" w:rsidRPr="000B3975" w:rsidRDefault="004000A8" w:rsidP="004000A8">
            <w:pPr>
              <w:jc w:val="both"/>
              <w:rPr>
                <w:rFonts w:asciiTheme="minorHAnsi" w:hAnsiTheme="minorHAnsi" w:cstheme="minorHAnsi"/>
                <w:b/>
                <w:bCs/>
                <w:sz w:val="22"/>
                <w:u w:val="single"/>
                <w:lang w:val="fr-BE"/>
              </w:rPr>
            </w:pPr>
            <w:bookmarkStart w:id="48" w:name="_Toc90638350"/>
            <w:bookmarkStart w:id="49" w:name="_Toc94800274"/>
            <w:r w:rsidRPr="000B3975">
              <w:rPr>
                <w:rFonts w:asciiTheme="minorHAnsi" w:hAnsiTheme="minorHAnsi" w:cstheme="minorHAnsi"/>
                <w:b/>
                <w:bCs/>
                <w:sz w:val="22"/>
                <w:u w:val="single"/>
                <w:lang w:val="fr-BE"/>
              </w:rPr>
              <w:t>Paragraphe 10 : identification de l’utilisateur effectif du service</w:t>
            </w:r>
            <w:bookmarkEnd w:id="48"/>
            <w:bookmarkEnd w:id="49"/>
            <w:r w:rsidRPr="000B3975">
              <w:rPr>
                <w:rFonts w:asciiTheme="minorHAnsi" w:hAnsiTheme="minorHAnsi" w:cstheme="minorHAnsi"/>
                <w:b/>
                <w:bCs/>
                <w:sz w:val="22"/>
                <w:u w:val="single"/>
                <w:lang w:val="fr-BE"/>
              </w:rPr>
              <w:t xml:space="preserve"> </w:t>
            </w:r>
          </w:p>
        </w:tc>
        <w:tc>
          <w:tcPr>
            <w:tcW w:w="4508" w:type="dxa"/>
          </w:tcPr>
          <w:p w14:paraId="778D3FF8" w14:textId="211EE7C3" w:rsidR="004000A8" w:rsidRPr="00474278" w:rsidRDefault="004000A8" w:rsidP="004000A8">
            <w:pPr>
              <w:jc w:val="both"/>
              <w:rPr>
                <w:rFonts w:asciiTheme="minorHAnsi" w:hAnsiTheme="minorHAnsi" w:cstheme="minorHAnsi"/>
                <w:b/>
                <w:bCs/>
                <w:sz w:val="22"/>
                <w:u w:val="single"/>
              </w:rPr>
            </w:pPr>
            <w:bookmarkStart w:id="50" w:name="_Toc94800275"/>
            <w:r w:rsidRPr="00474278">
              <w:rPr>
                <w:rFonts w:asciiTheme="minorHAnsi" w:hAnsiTheme="minorHAnsi" w:cstheme="minorHAnsi"/>
                <w:b/>
                <w:bCs/>
                <w:sz w:val="22"/>
                <w:u w:val="single"/>
              </w:rPr>
              <w:t>Paragraaf 10: identificatie van de effectieve gebruiker van de dienst</w:t>
            </w:r>
            <w:bookmarkEnd w:id="50"/>
          </w:p>
        </w:tc>
      </w:tr>
      <w:tr w:rsidR="004000A8" w:rsidRPr="00985531" w14:paraId="2528AAED" w14:textId="77777777" w:rsidTr="0025113D">
        <w:tc>
          <w:tcPr>
            <w:tcW w:w="4508" w:type="dxa"/>
          </w:tcPr>
          <w:p w14:paraId="12B80839" w14:textId="77777777" w:rsidR="004000A8" w:rsidRPr="000B3975" w:rsidRDefault="004000A8" w:rsidP="004000A8">
            <w:pPr>
              <w:jc w:val="both"/>
              <w:rPr>
                <w:rFonts w:asciiTheme="minorHAnsi" w:hAnsiTheme="minorHAnsi" w:cstheme="minorHAnsi"/>
                <w:sz w:val="22"/>
              </w:rPr>
            </w:pPr>
          </w:p>
        </w:tc>
        <w:tc>
          <w:tcPr>
            <w:tcW w:w="4508" w:type="dxa"/>
          </w:tcPr>
          <w:p w14:paraId="39203F49" w14:textId="77777777" w:rsidR="004000A8" w:rsidRPr="000B3975" w:rsidRDefault="004000A8" w:rsidP="004000A8">
            <w:pPr>
              <w:jc w:val="both"/>
              <w:rPr>
                <w:rFonts w:asciiTheme="minorHAnsi" w:hAnsiTheme="minorHAnsi" w:cstheme="minorHAnsi"/>
                <w:sz w:val="22"/>
              </w:rPr>
            </w:pPr>
          </w:p>
        </w:tc>
      </w:tr>
      <w:tr w:rsidR="004000A8" w:rsidRPr="00985531" w14:paraId="162F84C1" w14:textId="77777777" w:rsidTr="0025113D">
        <w:tc>
          <w:tcPr>
            <w:tcW w:w="4508" w:type="dxa"/>
          </w:tcPr>
          <w:p w14:paraId="24320856" w14:textId="4E028B3C"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L’alinéa 1</w:t>
            </w:r>
            <w:r w:rsidRPr="000B3975">
              <w:rPr>
                <w:rFonts w:asciiTheme="minorHAnsi" w:hAnsiTheme="minorHAnsi" w:cstheme="minorHAnsi"/>
                <w:sz w:val="22"/>
                <w:vertAlign w:val="superscript"/>
                <w:lang w:val="fr-BE"/>
              </w:rPr>
              <w:t xml:space="preserve">er </w:t>
            </w:r>
            <w:r w:rsidRPr="000B3975">
              <w:rPr>
                <w:rFonts w:asciiTheme="minorHAnsi" w:hAnsiTheme="minorHAnsi" w:cstheme="minorHAnsi"/>
                <w:sz w:val="22"/>
                <w:lang w:val="fr-BE"/>
              </w:rPr>
              <w:t>reprend une disposition de l’actuel article 127, §</w:t>
            </w:r>
            <w:r>
              <w:rPr>
                <w:rFonts w:asciiTheme="minorHAnsi" w:hAnsiTheme="minorHAnsi" w:cstheme="minorHAnsi"/>
                <w:sz w:val="22"/>
                <w:lang w:val="fr-BE"/>
              </w:rPr>
              <w:t xml:space="preserve"> </w:t>
            </w:r>
            <w:r w:rsidRPr="000B3975">
              <w:rPr>
                <w:rFonts w:asciiTheme="minorHAnsi" w:hAnsiTheme="minorHAnsi" w:cstheme="minorHAnsi"/>
                <w:sz w:val="22"/>
                <w:lang w:val="fr-BE"/>
              </w:rPr>
              <w:t>1</w:t>
            </w:r>
            <w:r w:rsidRPr="000B3975">
              <w:rPr>
                <w:rFonts w:asciiTheme="minorHAnsi" w:hAnsiTheme="minorHAnsi" w:cstheme="minorHAnsi"/>
                <w:sz w:val="22"/>
                <w:vertAlign w:val="superscript"/>
                <w:lang w:val="fr-BE"/>
              </w:rPr>
              <w:t>er</w:t>
            </w:r>
            <w:r w:rsidRPr="000B3975">
              <w:rPr>
                <w:rFonts w:asciiTheme="minorHAnsi" w:hAnsiTheme="minorHAnsi" w:cstheme="minorHAnsi"/>
                <w:sz w:val="22"/>
                <w:lang w:val="fr-BE"/>
              </w:rPr>
              <w:t>, alinéa 3. Comme la Cour constitutionnelle l’indique dans son arrêt du 18 novembre 2021, « L’article 127, § 1</w:t>
            </w:r>
            <w:r w:rsidRPr="000B3975">
              <w:rPr>
                <w:rFonts w:asciiTheme="minorHAnsi" w:hAnsiTheme="minorHAnsi" w:cstheme="minorHAnsi"/>
                <w:sz w:val="22"/>
                <w:vertAlign w:val="superscript"/>
                <w:lang w:val="fr-BE"/>
              </w:rPr>
              <w:t>er</w:t>
            </w:r>
            <w:r w:rsidRPr="000B3975">
              <w:rPr>
                <w:rFonts w:asciiTheme="minorHAnsi" w:hAnsiTheme="minorHAnsi" w:cstheme="minorHAnsi"/>
                <w:sz w:val="22"/>
                <w:lang w:val="fr-BE"/>
              </w:rPr>
              <w:t>, alinéa 3, de la loi du 13 juin 2005 contient seulement la présomption réfragable selon laquelle cet utilisateur final est également celui qui utilise cette carte de téléphonie mobile. Le principe de légalité en matière pénale n’est pas applicable à une telle disposition. » (B. 24.3)  La Cour constitutionnelle ajoute ce qui suit : « B.26.2. La disposition attaquée n’établit dès lors pas de responsabilité pénale automatique ou de responsabilité objective de l’utilisateur final d’une carte de téléphonie mobile prépayée qui a été identifié en ce qui concerne l’utilisation qu’en fait un tiers. Elle remplit principalement une fonction d’avertissement, étant donné qu’elle rappelle la présomption de départ de toute enquête pénale et de toute enquête par les services de renseignement et de sécurité, à savoir la présomption selon laquelle c’est le propriétaire ou l’utilisateur habituel d’un objet qui l’a utilisé pour commettre l’infraction ou pour menacer la sécurité nationale. Les enquêteurs écartent cette présomption dès qu’elle est infirmée par les éléments de preuve recueillis. »</w:t>
            </w:r>
          </w:p>
        </w:tc>
        <w:tc>
          <w:tcPr>
            <w:tcW w:w="4508" w:type="dxa"/>
          </w:tcPr>
          <w:p w14:paraId="2E769499" w14:textId="7C2C4FBC"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Het eerste lid neemt een bepaling over van het huidige artikel 127, § 1, derde lid. Het Grondwettelijk Hof geeft dat aan in zijn arrest van 18 november 2021: “Artikel 127, § 1, derde lid, van de wet van 13 juni 2005 bevat slechts het weerlegbare </w:t>
            </w:r>
            <w:r w:rsidRPr="000B3975">
              <w:rPr>
                <w:rFonts w:asciiTheme="minorHAnsi" w:hAnsiTheme="minorHAnsi" w:cstheme="minorHAnsi"/>
                <w:sz w:val="22"/>
              </w:rPr>
              <w:cr/>
              <w:t>vermoeden dat die eindgebruiker ook degene is die deze belkaart gebruikt. Het strafrechtelijk wettigheidsbeginsel is niet van toepassing op een dergelijke bepaling.” (B.24.3)   Het Grondwettelijk Hof voegt het volgende daaraan toe: "B.26.2. De bestreden bepaling vestigt bijgevolg geen automatische strafrechtelijke verantwoordelijkheid of objectieve aansprakelijkheid van de geïdentificeerde eindgebruiker van een vooraf betaalde belkaart voor het gebruik dat een derde daarvan maakt. Zij heeft voornamelijk een waarschuwingsfunctie, aangezien zij het uitgangspunt van elk strafrechtelijk onderzoek en van elk onderzoek door de inlichtingen- en veiligheidsdiensten in herinnering brengt, namelijk het uitgangspunt dat de eigenaar of gewoonlijke gebruiker van een voorwerp vermoedelijk degene is die het heeft gebruikt om een misdrijf te plegen of om de nationale veiligheid te bedreigen. De onderzoekers verlaten dat uitgangspunt zodra het wordt ontkracht door de verzamelde bewijselementen.”</w:t>
            </w:r>
          </w:p>
        </w:tc>
      </w:tr>
      <w:tr w:rsidR="004000A8" w:rsidRPr="00985531" w14:paraId="3E8372AA" w14:textId="77777777" w:rsidTr="0025113D">
        <w:tc>
          <w:tcPr>
            <w:tcW w:w="4508" w:type="dxa"/>
          </w:tcPr>
          <w:p w14:paraId="3804AB6B" w14:textId="77777777" w:rsidR="004000A8" w:rsidRPr="000B3975" w:rsidRDefault="004000A8" w:rsidP="004000A8">
            <w:pPr>
              <w:jc w:val="both"/>
              <w:rPr>
                <w:rFonts w:asciiTheme="minorHAnsi" w:hAnsiTheme="minorHAnsi" w:cstheme="minorHAnsi"/>
                <w:sz w:val="22"/>
              </w:rPr>
            </w:pPr>
          </w:p>
        </w:tc>
        <w:tc>
          <w:tcPr>
            <w:tcW w:w="4508" w:type="dxa"/>
          </w:tcPr>
          <w:p w14:paraId="2630F067" w14:textId="77777777" w:rsidR="004000A8" w:rsidRPr="000B3975" w:rsidRDefault="004000A8" w:rsidP="004000A8">
            <w:pPr>
              <w:jc w:val="both"/>
              <w:rPr>
                <w:rFonts w:asciiTheme="minorHAnsi" w:hAnsiTheme="minorHAnsi" w:cstheme="minorHAnsi"/>
                <w:sz w:val="22"/>
              </w:rPr>
            </w:pPr>
          </w:p>
        </w:tc>
      </w:tr>
      <w:tr w:rsidR="004000A8" w:rsidRPr="00985531" w14:paraId="2CA4980C" w14:textId="77777777" w:rsidTr="0025113D">
        <w:tc>
          <w:tcPr>
            <w:tcW w:w="4508" w:type="dxa"/>
          </w:tcPr>
          <w:p w14:paraId="53D2B607" w14:textId="50531F84"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La disposition insérée à l’alinéa 2 du paragraphe 10 vise à faciliter la souscription par certaines catégories de personnes à un service de communications électroniques mais ne couvre pas des points de vente d’abonnements ou de cartes prépayées. On vise par exemple à faciliter la souscription d’un abonnement par des personnes résidant dans des homes ou des personnes bénéficiant de l’aide du CPAS. C'est alors la personne morale qui est responsable des identifications des abonnés. Pour éviter toute dérive, en principe, les obligations de la personne morale sont les mêmes que celles applicables au point de vente. Cette méthode d’identification n’est acceptée que pour autant </w:t>
            </w:r>
            <w:r w:rsidRPr="000B3975">
              <w:rPr>
                <w:rFonts w:asciiTheme="minorHAnsi" w:hAnsiTheme="minorHAnsi" w:cstheme="minorHAnsi"/>
                <w:sz w:val="22"/>
                <w:lang w:val="fr-BE"/>
              </w:rPr>
              <w:lastRenderedPageBreak/>
              <w:t>que la personne morale soit en mesure d’identifier avec certitude les abonnés.</w:t>
            </w:r>
          </w:p>
        </w:tc>
        <w:tc>
          <w:tcPr>
            <w:tcW w:w="4508" w:type="dxa"/>
          </w:tcPr>
          <w:p w14:paraId="559E1551" w14:textId="1FECE1A6"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lastRenderedPageBreak/>
              <w:t xml:space="preserve">De in het tweede lid van paragraaf 10 ingevoegde bepaling beoogt het vergemakkelijken van de intekening door bepaalde categorieën van personen op een elektronische-communicatiedienst, maar dekt de verkooppunten van abonnementen of </w:t>
            </w:r>
            <w:proofErr w:type="spellStart"/>
            <w:r w:rsidRPr="000B3975">
              <w:rPr>
                <w:rFonts w:asciiTheme="minorHAnsi" w:hAnsiTheme="minorHAnsi" w:cstheme="minorHAnsi"/>
                <w:sz w:val="22"/>
              </w:rPr>
              <w:t>voorafbetaalde</w:t>
            </w:r>
            <w:proofErr w:type="spellEnd"/>
            <w:r w:rsidRPr="000B3975">
              <w:rPr>
                <w:rFonts w:asciiTheme="minorHAnsi" w:hAnsiTheme="minorHAnsi" w:cstheme="minorHAnsi"/>
                <w:sz w:val="22"/>
              </w:rPr>
              <w:t xml:space="preserve"> kaarten niet. Er wordt bijvoorbeeld beoogd dat personen die in homes verblijven of personen die steun krijgen van het OCMW makkelijker kunnen intekenen op een abonnement. Het is dan de rechtspersoon die verantwoordelijk is voor de identificaties van de abonnees. Om verwarring te voorkomen zijn de verplichtingen van de rechtspersoon, in principe, dezelfde als die die op de </w:t>
            </w:r>
            <w:r w:rsidRPr="000B3975">
              <w:rPr>
                <w:rFonts w:asciiTheme="minorHAnsi" w:hAnsiTheme="minorHAnsi" w:cstheme="minorHAnsi"/>
                <w:sz w:val="22"/>
              </w:rPr>
              <w:lastRenderedPageBreak/>
              <w:t>verkooppunten toepasselijk zijn. Deze identificatiemethode wordt enkel aanvaard voor zover de rechtspersoon in staat is met zekerheid de abonnees te identificeren.</w:t>
            </w:r>
          </w:p>
        </w:tc>
      </w:tr>
      <w:tr w:rsidR="004000A8" w:rsidRPr="00985531" w14:paraId="0539D9BC" w14:textId="77777777" w:rsidTr="0025113D">
        <w:tc>
          <w:tcPr>
            <w:tcW w:w="4508" w:type="dxa"/>
          </w:tcPr>
          <w:p w14:paraId="30A3CB5E" w14:textId="77777777" w:rsidR="004000A8" w:rsidRPr="000B3975" w:rsidRDefault="004000A8" w:rsidP="004000A8">
            <w:pPr>
              <w:jc w:val="both"/>
              <w:rPr>
                <w:rFonts w:asciiTheme="minorHAnsi" w:hAnsiTheme="minorHAnsi" w:cstheme="minorHAnsi"/>
                <w:sz w:val="22"/>
              </w:rPr>
            </w:pPr>
          </w:p>
        </w:tc>
        <w:tc>
          <w:tcPr>
            <w:tcW w:w="4508" w:type="dxa"/>
          </w:tcPr>
          <w:p w14:paraId="16BDAA45" w14:textId="77777777" w:rsidR="004000A8" w:rsidRPr="000B3975" w:rsidRDefault="004000A8" w:rsidP="004000A8">
            <w:pPr>
              <w:jc w:val="both"/>
              <w:rPr>
                <w:rFonts w:asciiTheme="minorHAnsi" w:hAnsiTheme="minorHAnsi" w:cstheme="minorHAnsi"/>
                <w:sz w:val="22"/>
              </w:rPr>
            </w:pPr>
          </w:p>
        </w:tc>
      </w:tr>
      <w:tr w:rsidR="004000A8" w:rsidRPr="00985531" w14:paraId="7722F600" w14:textId="77777777" w:rsidTr="0025113D">
        <w:tc>
          <w:tcPr>
            <w:tcW w:w="4508" w:type="dxa"/>
          </w:tcPr>
          <w:p w14:paraId="1762AB69" w14:textId="3C86D04F"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Les délégations au Roi dans l’alinéa 3 sont nécessaires pour soutenir plusieurs règles de l’arrêté royal « cartes prépayées », à savoir la règle prévue à l’article 5 de cet arrêté royal qui limite la possibilité de céder une carte prépayée active à un tiers et l’obligation dans ce même article pour une personne morale qui a acquis des cartes prépayées de conserver « une liste actualisée permettant de faire le lien entre une carte prépayée et la personne physique à laquelle cette carte a été attribuée ».</w:t>
            </w:r>
            <w:r w:rsidRPr="000B3975">
              <w:rPr>
                <w:rFonts w:asciiTheme="minorHAnsi" w:hAnsiTheme="minorHAnsi" w:cstheme="minorHAnsi"/>
                <w:b/>
                <w:bCs/>
                <w:color w:val="000000"/>
                <w:sz w:val="22"/>
                <w:lang w:val="fr-BE"/>
              </w:rPr>
              <w:t xml:space="preserve"> </w:t>
            </w:r>
          </w:p>
        </w:tc>
        <w:tc>
          <w:tcPr>
            <w:tcW w:w="4508" w:type="dxa"/>
          </w:tcPr>
          <w:p w14:paraId="3F5691C5" w14:textId="2BC68176"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De delegaties aan de Koning in het derde lid zijn noodzakelijk om verschillende regels van het koninklijk besluit “prepaid kaarten” te ondersteunen, namelijk de regel van artikel 5 van dat koninklijk besluit, dat de mogelijkheid beperkt om een actieve </w:t>
            </w:r>
            <w:proofErr w:type="spellStart"/>
            <w:r w:rsidRPr="000B3975">
              <w:rPr>
                <w:rFonts w:asciiTheme="minorHAnsi" w:hAnsiTheme="minorHAnsi" w:cstheme="minorHAnsi"/>
                <w:sz w:val="22"/>
              </w:rPr>
              <w:t>voorafbetaalde</w:t>
            </w:r>
            <w:proofErr w:type="spellEnd"/>
            <w:r w:rsidRPr="000B3975">
              <w:rPr>
                <w:rFonts w:asciiTheme="minorHAnsi" w:hAnsiTheme="minorHAnsi" w:cstheme="minorHAnsi"/>
                <w:sz w:val="22"/>
              </w:rPr>
              <w:t xml:space="preserve"> kaart af te staan aan een derde en de verplichting in datzelfde artikel voor een rechtspersoon die </w:t>
            </w:r>
            <w:proofErr w:type="spellStart"/>
            <w:r w:rsidRPr="000B3975">
              <w:rPr>
                <w:rFonts w:asciiTheme="minorHAnsi" w:hAnsiTheme="minorHAnsi" w:cstheme="minorHAnsi"/>
                <w:sz w:val="22"/>
              </w:rPr>
              <w:t>voorafbetaalde</w:t>
            </w:r>
            <w:proofErr w:type="spellEnd"/>
            <w:r w:rsidRPr="000B3975">
              <w:rPr>
                <w:rFonts w:asciiTheme="minorHAnsi" w:hAnsiTheme="minorHAnsi" w:cstheme="minorHAnsi"/>
                <w:sz w:val="22"/>
              </w:rPr>
              <w:t xml:space="preserve"> kaarten verworven heeft, om een “geactualiseerde lijst [...] aan de hand waarvan het verband tussen een </w:t>
            </w:r>
            <w:proofErr w:type="spellStart"/>
            <w:r w:rsidRPr="000B3975">
              <w:rPr>
                <w:rFonts w:asciiTheme="minorHAnsi" w:hAnsiTheme="minorHAnsi" w:cstheme="minorHAnsi"/>
                <w:sz w:val="22"/>
              </w:rPr>
              <w:t>voorafbetaalde</w:t>
            </w:r>
            <w:proofErr w:type="spellEnd"/>
            <w:r w:rsidRPr="000B3975">
              <w:rPr>
                <w:rFonts w:asciiTheme="minorHAnsi" w:hAnsiTheme="minorHAnsi" w:cstheme="minorHAnsi"/>
                <w:sz w:val="22"/>
              </w:rPr>
              <w:t xml:space="preserve"> kaart en de natuurlijke persoon aan wie deze kaart werd toegewezen kan worden vastgesteld” te bewaren.</w:t>
            </w:r>
            <w:r w:rsidRPr="000B3975">
              <w:rPr>
                <w:rFonts w:asciiTheme="minorHAnsi" w:hAnsiTheme="minorHAnsi" w:cstheme="minorHAnsi"/>
                <w:b/>
                <w:color w:val="000000"/>
                <w:sz w:val="22"/>
              </w:rPr>
              <w:t xml:space="preserve"> </w:t>
            </w:r>
          </w:p>
        </w:tc>
      </w:tr>
      <w:tr w:rsidR="004000A8" w:rsidRPr="00985531" w14:paraId="4B26ECE0" w14:textId="77777777" w:rsidTr="0025113D">
        <w:tc>
          <w:tcPr>
            <w:tcW w:w="4508" w:type="dxa"/>
          </w:tcPr>
          <w:p w14:paraId="13444A20" w14:textId="77777777" w:rsidR="004000A8" w:rsidRPr="000B3975" w:rsidRDefault="004000A8" w:rsidP="004000A8">
            <w:pPr>
              <w:jc w:val="both"/>
              <w:rPr>
                <w:rFonts w:asciiTheme="minorHAnsi" w:hAnsiTheme="minorHAnsi" w:cstheme="minorHAnsi"/>
                <w:sz w:val="22"/>
              </w:rPr>
            </w:pPr>
          </w:p>
        </w:tc>
        <w:tc>
          <w:tcPr>
            <w:tcW w:w="4508" w:type="dxa"/>
          </w:tcPr>
          <w:p w14:paraId="3DDC654C" w14:textId="77777777" w:rsidR="004000A8" w:rsidRPr="000B3975" w:rsidRDefault="004000A8" w:rsidP="004000A8">
            <w:pPr>
              <w:jc w:val="both"/>
              <w:rPr>
                <w:rFonts w:asciiTheme="minorHAnsi" w:hAnsiTheme="minorHAnsi" w:cstheme="minorHAnsi"/>
                <w:sz w:val="22"/>
              </w:rPr>
            </w:pPr>
          </w:p>
        </w:tc>
      </w:tr>
      <w:tr w:rsidR="004000A8" w:rsidRPr="00985531" w14:paraId="5FC02796" w14:textId="77777777" w:rsidTr="0025113D">
        <w:tc>
          <w:tcPr>
            <w:tcW w:w="4508" w:type="dxa"/>
          </w:tcPr>
          <w:p w14:paraId="2F5A262B" w14:textId="49C5A27E"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L’évolution montre qu’il est (de plus en plus) difficile pour les autorités d’exploiter les services de communications électroniques dans leurs enquêtes. Dans certains cas, un abonné parvient à s’identifier sous une fausse identité auprès de l’opérateur. La jurisprudence de la CJUE a fortement réduit la possibilité d’imposer aux opérateurs de conserver des métadonnées de manière généralisée et indifférenciée. Il est de plus en plus difficile pour les autorités judiciaires et les services de renseignement et de sécurité d’avoir accès au contenu des communications, vu la mise en place de la 5G et la généralisation de systèmes d’encryptage de bout en bout. </w:t>
            </w:r>
          </w:p>
        </w:tc>
        <w:tc>
          <w:tcPr>
            <w:tcW w:w="4508" w:type="dxa"/>
          </w:tcPr>
          <w:p w14:paraId="3076FC77" w14:textId="3DF78CFF"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Uit de evolutie blijkt dat het (meer en meer) moeilijk is voor de autoriteiten om zich in hun onderzoeken de elektronische-communicatiediensten ten nutte te maken. In sommige gevallen slaagt een abonnee erin om zich onder een valse identiteit bij de operator te identificeren. De jurisprudentie van het </w:t>
            </w:r>
            <w:proofErr w:type="spellStart"/>
            <w:r w:rsidRPr="000B3975">
              <w:rPr>
                <w:rFonts w:asciiTheme="minorHAnsi" w:hAnsiTheme="minorHAnsi" w:cstheme="minorHAnsi"/>
                <w:sz w:val="22"/>
              </w:rPr>
              <w:t>HvJ</w:t>
            </w:r>
            <w:proofErr w:type="spellEnd"/>
            <w:r w:rsidRPr="000B3975">
              <w:rPr>
                <w:rFonts w:asciiTheme="minorHAnsi" w:hAnsiTheme="minorHAnsi" w:cstheme="minorHAnsi"/>
                <w:sz w:val="22"/>
              </w:rPr>
              <w:t xml:space="preserve">-EU heeft de mogelijkheid om de operatoren ertoe te verplichten op algemene en ongedifferentieerde wijze metagegevens te bewaren, sterk ingeperkt. Het is steeds moeilijker voor de gerechtelijke autoriteiten en de inlichtingen- en veiligheidsdiensten om toegang te krijgen tot de inhoud van de communicatie, gelet op de invoering van 5G en de veralgemening van eind-tot-eindencryptie. </w:t>
            </w:r>
          </w:p>
        </w:tc>
      </w:tr>
      <w:tr w:rsidR="004000A8" w:rsidRPr="00985531" w14:paraId="43F9719A" w14:textId="77777777" w:rsidTr="0025113D">
        <w:tc>
          <w:tcPr>
            <w:tcW w:w="4508" w:type="dxa"/>
          </w:tcPr>
          <w:p w14:paraId="03A09E75" w14:textId="77777777" w:rsidR="004000A8" w:rsidRPr="00136EDB" w:rsidRDefault="004000A8" w:rsidP="004000A8">
            <w:pPr>
              <w:jc w:val="both"/>
              <w:rPr>
                <w:rFonts w:asciiTheme="minorHAnsi" w:hAnsiTheme="minorHAnsi" w:cstheme="minorHAnsi"/>
                <w:sz w:val="22"/>
              </w:rPr>
            </w:pPr>
          </w:p>
        </w:tc>
        <w:tc>
          <w:tcPr>
            <w:tcW w:w="4508" w:type="dxa"/>
          </w:tcPr>
          <w:p w14:paraId="43EBB131" w14:textId="77777777" w:rsidR="004000A8" w:rsidRPr="000B3975" w:rsidRDefault="004000A8" w:rsidP="004000A8">
            <w:pPr>
              <w:jc w:val="both"/>
              <w:rPr>
                <w:rFonts w:asciiTheme="minorHAnsi" w:hAnsiTheme="minorHAnsi" w:cstheme="minorHAnsi"/>
                <w:sz w:val="22"/>
              </w:rPr>
            </w:pPr>
          </w:p>
        </w:tc>
      </w:tr>
      <w:tr w:rsidR="004000A8" w:rsidRPr="00985531" w14:paraId="1168FE3C" w14:textId="77777777" w:rsidTr="0025113D">
        <w:tc>
          <w:tcPr>
            <w:tcW w:w="4508" w:type="dxa"/>
          </w:tcPr>
          <w:p w14:paraId="69BB94D5" w14:textId="5CE8E894"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Il est donc essentiel de permettre aux autorités judiciaires et aux services de renseignements et de sécurité de bénéficier des nouvelles opportunités qu’offrent l’évolution des technologies. C’est dans ce cadre qu’il est prévu que les opérateurs doivent conserver les numéros de cartes SIM qui sont intégrées dans des véhicules connectées en faisant le lien avec le numéro de châssis de ces véhicules. Cette obligation concrétise une proposition des opérateurs eux-mêmes.  L’identification de la société avec laquelle l’opérateur a contracté (l’abonné) ne sera pas suffisante pour les services de sécurité, qui chercheront à connaître </w:t>
            </w:r>
            <w:r w:rsidRPr="000B3975">
              <w:rPr>
                <w:rFonts w:asciiTheme="minorHAnsi" w:hAnsiTheme="minorHAnsi" w:cstheme="minorHAnsi"/>
                <w:sz w:val="22"/>
                <w:lang w:val="fr-BE"/>
              </w:rPr>
              <w:lastRenderedPageBreak/>
              <w:t>l’identité de la personne physique ou morale qui est le propriétaire du véhicule et l’identité du conducteur principal de ce dernier.</w:t>
            </w:r>
          </w:p>
        </w:tc>
        <w:tc>
          <w:tcPr>
            <w:tcW w:w="4508" w:type="dxa"/>
          </w:tcPr>
          <w:p w14:paraId="5C49AC6F" w14:textId="6E2F5CB7"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lastRenderedPageBreak/>
              <w:t xml:space="preserve">Het is dus van fundamenteel belang dat de gerechtelijke autoriteiten en de inlichtingen- en veiligheidsdiensten voordeel kunnen halen uit de nieuwe kansen die door de evolutie van de technologieën worden geboden. In dat kader is net bepaald dat de operatoren de nummers van simkaarten die geïntegreerd zijn in geconnecteerde voertuigen bewaard moeten worden door de link te leggen met het chassisnummer van die voertuigen. Deze verplichting concretiseert een voorstel van de operatoren zelf.  De identificatie van de maatschappij waarmee de operator een contract heeft gesloten (de abonnee) zal niet </w:t>
            </w:r>
            <w:r w:rsidRPr="000B3975">
              <w:rPr>
                <w:rFonts w:asciiTheme="minorHAnsi" w:hAnsiTheme="minorHAnsi" w:cstheme="minorHAnsi"/>
                <w:sz w:val="22"/>
              </w:rPr>
              <w:lastRenderedPageBreak/>
              <w:t>volstaan voor de veiligheidsdiensten, die zullen proberen de identiteit te achterhalen van de natuurlijke persoon of rechtspersoon die de eigenaar van het voertuig is alsook de identiteit van de hoofdbestuurder van het voertuig.</w:t>
            </w:r>
          </w:p>
        </w:tc>
      </w:tr>
      <w:tr w:rsidR="004000A8" w:rsidRPr="00985531" w14:paraId="3CDE44D8" w14:textId="77777777" w:rsidTr="0025113D">
        <w:tc>
          <w:tcPr>
            <w:tcW w:w="4508" w:type="dxa"/>
          </w:tcPr>
          <w:p w14:paraId="03EE0A75" w14:textId="77777777" w:rsidR="004000A8" w:rsidRPr="000B3975" w:rsidRDefault="004000A8" w:rsidP="004000A8">
            <w:pPr>
              <w:jc w:val="both"/>
              <w:rPr>
                <w:rFonts w:asciiTheme="minorHAnsi" w:hAnsiTheme="minorHAnsi" w:cstheme="minorHAnsi"/>
                <w:sz w:val="22"/>
              </w:rPr>
            </w:pPr>
          </w:p>
        </w:tc>
        <w:tc>
          <w:tcPr>
            <w:tcW w:w="4508" w:type="dxa"/>
          </w:tcPr>
          <w:p w14:paraId="5E13E8FE" w14:textId="77777777" w:rsidR="004000A8" w:rsidRPr="000B3975" w:rsidRDefault="004000A8" w:rsidP="004000A8">
            <w:pPr>
              <w:jc w:val="both"/>
              <w:rPr>
                <w:rFonts w:asciiTheme="minorHAnsi" w:hAnsiTheme="minorHAnsi" w:cstheme="minorHAnsi"/>
                <w:sz w:val="22"/>
              </w:rPr>
            </w:pPr>
          </w:p>
        </w:tc>
      </w:tr>
      <w:tr w:rsidR="004000A8" w:rsidRPr="00985531" w14:paraId="001830DD" w14:textId="77777777" w:rsidTr="0025113D">
        <w:tc>
          <w:tcPr>
            <w:tcW w:w="4508" w:type="dxa"/>
          </w:tcPr>
          <w:p w14:paraId="3603F3E0" w14:textId="552854B7" w:rsidR="004000A8" w:rsidRPr="00136EDB" w:rsidRDefault="004000A8" w:rsidP="004000A8">
            <w:pPr>
              <w:jc w:val="both"/>
              <w:rPr>
                <w:rFonts w:asciiTheme="minorHAnsi" w:hAnsiTheme="minorHAnsi" w:cstheme="minorHAnsi"/>
                <w:b/>
                <w:bCs/>
                <w:sz w:val="22"/>
                <w:u w:val="single"/>
                <w:lang w:val="fr-BE"/>
              </w:rPr>
            </w:pPr>
            <w:bookmarkStart w:id="51" w:name="_Toc90638351"/>
            <w:bookmarkStart w:id="52" w:name="_Toc94800276"/>
            <w:r w:rsidRPr="00136EDB">
              <w:rPr>
                <w:rFonts w:asciiTheme="minorHAnsi" w:hAnsiTheme="minorHAnsi" w:cstheme="minorHAnsi"/>
                <w:b/>
                <w:bCs/>
                <w:sz w:val="22"/>
                <w:u w:val="single"/>
                <w:lang w:val="fr-BE"/>
              </w:rPr>
              <w:t>Paragraphe 11 : sanction applicable</w:t>
            </w:r>
            <w:bookmarkEnd w:id="51"/>
            <w:bookmarkEnd w:id="52"/>
            <w:r w:rsidRPr="00136EDB">
              <w:rPr>
                <w:rFonts w:asciiTheme="minorHAnsi" w:hAnsiTheme="minorHAnsi" w:cstheme="minorHAnsi"/>
                <w:b/>
                <w:bCs/>
                <w:sz w:val="22"/>
                <w:u w:val="single"/>
                <w:lang w:val="fr-BE"/>
              </w:rPr>
              <w:t xml:space="preserve"> et d</w:t>
            </w:r>
            <w:r>
              <w:rPr>
                <w:rFonts w:asciiTheme="minorHAnsi" w:hAnsiTheme="minorHAnsi" w:cstheme="minorHAnsi"/>
                <w:b/>
                <w:bCs/>
                <w:sz w:val="22"/>
                <w:u w:val="single"/>
                <w:lang w:val="fr-BE"/>
              </w:rPr>
              <w:t>élégation au Roi</w:t>
            </w:r>
          </w:p>
        </w:tc>
        <w:tc>
          <w:tcPr>
            <w:tcW w:w="4508" w:type="dxa"/>
          </w:tcPr>
          <w:p w14:paraId="50AFB74F" w14:textId="29F59F29" w:rsidR="004000A8" w:rsidRPr="00474278" w:rsidRDefault="004000A8" w:rsidP="004000A8">
            <w:pPr>
              <w:jc w:val="both"/>
              <w:rPr>
                <w:rFonts w:asciiTheme="minorHAnsi" w:hAnsiTheme="minorHAnsi" w:cstheme="minorHAnsi"/>
                <w:b/>
                <w:bCs/>
                <w:sz w:val="22"/>
                <w:u w:val="single"/>
              </w:rPr>
            </w:pPr>
            <w:bookmarkStart w:id="53" w:name="_Toc94800277"/>
            <w:r w:rsidRPr="00474278">
              <w:rPr>
                <w:rFonts w:asciiTheme="minorHAnsi" w:hAnsiTheme="minorHAnsi" w:cstheme="minorHAnsi"/>
                <w:b/>
                <w:bCs/>
                <w:sz w:val="22"/>
                <w:u w:val="single"/>
              </w:rPr>
              <w:t>Paragraaf 11: toepasselijke sanctie</w:t>
            </w:r>
            <w:bookmarkEnd w:id="53"/>
            <w:r w:rsidRPr="00474278">
              <w:rPr>
                <w:rFonts w:asciiTheme="minorHAnsi" w:hAnsiTheme="minorHAnsi" w:cstheme="minorHAnsi"/>
                <w:b/>
                <w:bCs/>
                <w:sz w:val="22"/>
                <w:u w:val="single"/>
              </w:rPr>
              <w:t xml:space="preserve"> </w:t>
            </w:r>
            <w:r>
              <w:rPr>
                <w:rFonts w:asciiTheme="minorHAnsi" w:hAnsiTheme="minorHAnsi" w:cstheme="minorHAnsi"/>
                <w:b/>
                <w:bCs/>
                <w:sz w:val="22"/>
                <w:u w:val="single"/>
              </w:rPr>
              <w:t>en delegatie aan de Koning</w:t>
            </w:r>
          </w:p>
        </w:tc>
      </w:tr>
      <w:tr w:rsidR="004000A8" w:rsidRPr="00985531" w14:paraId="7D923153" w14:textId="77777777" w:rsidTr="0025113D">
        <w:tc>
          <w:tcPr>
            <w:tcW w:w="4508" w:type="dxa"/>
          </w:tcPr>
          <w:p w14:paraId="3B1735A0" w14:textId="77777777" w:rsidR="004000A8" w:rsidRPr="000B3975" w:rsidRDefault="004000A8" w:rsidP="004000A8">
            <w:pPr>
              <w:jc w:val="both"/>
              <w:rPr>
                <w:rFonts w:asciiTheme="minorHAnsi" w:hAnsiTheme="minorHAnsi" w:cstheme="minorHAnsi"/>
                <w:sz w:val="22"/>
              </w:rPr>
            </w:pPr>
          </w:p>
        </w:tc>
        <w:tc>
          <w:tcPr>
            <w:tcW w:w="4508" w:type="dxa"/>
          </w:tcPr>
          <w:p w14:paraId="0470FC78" w14:textId="77777777" w:rsidR="004000A8" w:rsidRPr="000B3975" w:rsidRDefault="004000A8" w:rsidP="004000A8">
            <w:pPr>
              <w:jc w:val="both"/>
              <w:rPr>
                <w:rFonts w:asciiTheme="minorHAnsi" w:hAnsiTheme="minorHAnsi" w:cstheme="minorHAnsi"/>
                <w:sz w:val="22"/>
              </w:rPr>
            </w:pPr>
          </w:p>
        </w:tc>
      </w:tr>
      <w:tr w:rsidR="004000A8" w:rsidRPr="00985531" w14:paraId="6343B8AA" w14:textId="77777777" w:rsidTr="0025113D">
        <w:tc>
          <w:tcPr>
            <w:tcW w:w="4508" w:type="dxa"/>
          </w:tcPr>
          <w:p w14:paraId="6C7B4405" w14:textId="31670CF1" w:rsidR="004000A8" w:rsidRPr="000B3975" w:rsidRDefault="004000A8" w:rsidP="004000A8">
            <w:pPr>
              <w:jc w:val="both"/>
              <w:rPr>
                <w:rFonts w:asciiTheme="minorHAnsi" w:hAnsiTheme="minorHAnsi" w:cstheme="minorHAnsi"/>
                <w:sz w:val="22"/>
                <w:lang w:val="fr-BE"/>
              </w:rPr>
            </w:pPr>
            <w:r w:rsidRPr="000B3975">
              <w:rPr>
                <w:rFonts w:asciiTheme="minorHAnsi" w:hAnsiTheme="minorHAnsi" w:cstheme="minorHAnsi"/>
                <w:sz w:val="22"/>
                <w:lang w:val="fr-BE"/>
              </w:rPr>
              <w:t xml:space="preserve">Ce paragraphe reprend le texte des paragraphes 4 et 5 de l’article 127 actuel. </w:t>
            </w:r>
          </w:p>
        </w:tc>
        <w:tc>
          <w:tcPr>
            <w:tcW w:w="4508" w:type="dxa"/>
          </w:tcPr>
          <w:p w14:paraId="4FED7238" w14:textId="5968471A" w:rsidR="004000A8" w:rsidRPr="000B3975" w:rsidRDefault="004000A8" w:rsidP="004000A8">
            <w:pPr>
              <w:jc w:val="both"/>
              <w:rPr>
                <w:rFonts w:asciiTheme="minorHAnsi" w:hAnsiTheme="minorHAnsi" w:cstheme="minorHAnsi"/>
                <w:sz w:val="22"/>
              </w:rPr>
            </w:pPr>
            <w:r w:rsidRPr="000B3975">
              <w:rPr>
                <w:rFonts w:asciiTheme="minorHAnsi" w:hAnsiTheme="minorHAnsi" w:cstheme="minorHAnsi"/>
                <w:sz w:val="22"/>
              </w:rPr>
              <w:t xml:space="preserve">Die paragraaf neemt de tekst over van de paragrafen 4 en 5 van het huidige artikel 127. </w:t>
            </w:r>
          </w:p>
        </w:tc>
      </w:tr>
      <w:tr w:rsidR="004000A8" w:rsidRPr="00985531" w14:paraId="4A362920" w14:textId="77777777" w:rsidTr="0025113D">
        <w:tc>
          <w:tcPr>
            <w:tcW w:w="4508" w:type="dxa"/>
          </w:tcPr>
          <w:p w14:paraId="3810484C" w14:textId="77777777" w:rsidR="004000A8" w:rsidRPr="00985531" w:rsidRDefault="004000A8" w:rsidP="004000A8">
            <w:pPr>
              <w:rPr>
                <w:rFonts w:cs="Arial"/>
              </w:rPr>
            </w:pPr>
          </w:p>
        </w:tc>
        <w:tc>
          <w:tcPr>
            <w:tcW w:w="4508" w:type="dxa"/>
          </w:tcPr>
          <w:p w14:paraId="63B24CB8" w14:textId="77777777" w:rsidR="004000A8" w:rsidRPr="00985531" w:rsidRDefault="004000A8" w:rsidP="004000A8"/>
        </w:tc>
      </w:tr>
      <w:tr w:rsidR="004000A8" w:rsidRPr="00985531" w14:paraId="7054C6D0" w14:textId="77777777" w:rsidTr="0025113D">
        <w:tc>
          <w:tcPr>
            <w:tcW w:w="4508" w:type="dxa"/>
          </w:tcPr>
          <w:p w14:paraId="1AD49B40" w14:textId="525A751F" w:rsidR="004000A8" w:rsidRPr="00793672" w:rsidRDefault="004000A8" w:rsidP="004000A8">
            <w:pPr>
              <w:pStyle w:val="Kop1"/>
              <w:outlineLvl w:val="0"/>
              <w:rPr>
                <w:lang w:val="fr-BE"/>
              </w:rPr>
            </w:pPr>
            <w:bookmarkStart w:id="54" w:name="_Toc94800278"/>
            <w:bookmarkStart w:id="55" w:name="_Toc96611619"/>
            <w:r w:rsidRPr="00F56ABA">
              <w:t>Amendement</w:t>
            </w:r>
            <w:r w:rsidRPr="00793672">
              <w:rPr>
                <w:lang w:val="fr-BE" w:eastAsia="fr-FR"/>
              </w:rPr>
              <w:t xml:space="preserve"> n° </w:t>
            </w:r>
            <w:bookmarkEnd w:id="54"/>
            <w:r>
              <w:rPr>
                <w:lang w:val="fr-BE" w:eastAsia="fr-FR"/>
              </w:rPr>
              <w:t>7</w:t>
            </w:r>
            <w:bookmarkEnd w:id="55"/>
          </w:p>
        </w:tc>
        <w:tc>
          <w:tcPr>
            <w:tcW w:w="4508" w:type="dxa"/>
          </w:tcPr>
          <w:p w14:paraId="6954ABEE" w14:textId="77BE8891" w:rsidR="004000A8" w:rsidRPr="00793672" w:rsidRDefault="004000A8" w:rsidP="004000A8">
            <w:pPr>
              <w:pStyle w:val="Kop1"/>
              <w:outlineLvl w:val="0"/>
            </w:pPr>
            <w:bookmarkStart w:id="56" w:name="_Toc94800279"/>
            <w:bookmarkStart w:id="57" w:name="_Toc96611620"/>
            <w:r w:rsidRPr="00793672">
              <w:rPr>
                <w:lang w:eastAsia="fr-FR"/>
              </w:rPr>
              <w:t xml:space="preserve">Amendement nr. </w:t>
            </w:r>
            <w:bookmarkEnd w:id="56"/>
            <w:r>
              <w:rPr>
                <w:lang w:eastAsia="fr-FR"/>
              </w:rPr>
              <w:t>7</w:t>
            </w:r>
            <w:bookmarkEnd w:id="57"/>
          </w:p>
        </w:tc>
      </w:tr>
      <w:tr w:rsidR="004000A8" w:rsidRPr="00985531" w14:paraId="772C144A" w14:textId="77777777" w:rsidTr="0025113D">
        <w:tc>
          <w:tcPr>
            <w:tcW w:w="4508" w:type="dxa"/>
          </w:tcPr>
          <w:p w14:paraId="7F5C1557" w14:textId="77777777" w:rsidR="004000A8" w:rsidRPr="00985531" w:rsidRDefault="004000A8" w:rsidP="004000A8">
            <w:pPr>
              <w:rPr>
                <w:rFonts w:cs="Arial"/>
              </w:rPr>
            </w:pPr>
          </w:p>
        </w:tc>
        <w:tc>
          <w:tcPr>
            <w:tcW w:w="4508" w:type="dxa"/>
          </w:tcPr>
          <w:p w14:paraId="0AABAD82" w14:textId="77777777" w:rsidR="004000A8" w:rsidRPr="00985531" w:rsidRDefault="004000A8" w:rsidP="004000A8"/>
        </w:tc>
      </w:tr>
      <w:tr w:rsidR="004000A8" w:rsidRPr="00985531" w14:paraId="4C5F4170" w14:textId="77777777" w:rsidTr="0025113D">
        <w:tc>
          <w:tcPr>
            <w:tcW w:w="4508" w:type="dxa"/>
          </w:tcPr>
          <w:p w14:paraId="3EA4336F" w14:textId="1B55F1C8" w:rsidR="004000A8" w:rsidRPr="00885843" w:rsidRDefault="004000A8" w:rsidP="004000A8">
            <w:pPr>
              <w:jc w:val="center"/>
              <w:rPr>
                <w:rFonts w:asciiTheme="minorHAnsi" w:hAnsiTheme="minorHAnsi" w:cstheme="minorHAnsi"/>
                <w:sz w:val="22"/>
              </w:rPr>
            </w:pPr>
            <w:r w:rsidRPr="00885843">
              <w:rPr>
                <w:rFonts w:asciiTheme="minorHAnsi" w:hAnsiTheme="minorHAnsi" w:cstheme="minorHAnsi"/>
                <w:b/>
                <w:bCs/>
                <w:sz w:val="22"/>
                <w:lang w:eastAsia="fr-FR"/>
              </w:rPr>
              <w:t>Art.  13/1</w:t>
            </w:r>
          </w:p>
        </w:tc>
        <w:tc>
          <w:tcPr>
            <w:tcW w:w="4508" w:type="dxa"/>
          </w:tcPr>
          <w:p w14:paraId="3C560DE1" w14:textId="4B2946C5" w:rsidR="004000A8" w:rsidRPr="00885843" w:rsidRDefault="004000A8" w:rsidP="004000A8">
            <w:pPr>
              <w:jc w:val="center"/>
              <w:rPr>
                <w:rFonts w:asciiTheme="minorHAnsi" w:hAnsiTheme="minorHAnsi" w:cstheme="minorHAnsi"/>
                <w:sz w:val="22"/>
              </w:rPr>
            </w:pPr>
            <w:r w:rsidRPr="00885843">
              <w:rPr>
                <w:rFonts w:asciiTheme="minorHAnsi" w:hAnsiTheme="minorHAnsi" w:cstheme="minorHAnsi"/>
                <w:b/>
                <w:bCs/>
                <w:sz w:val="22"/>
                <w:lang w:eastAsia="fr-FR"/>
              </w:rPr>
              <w:t>Art. 13/1</w:t>
            </w:r>
          </w:p>
        </w:tc>
      </w:tr>
      <w:tr w:rsidR="004000A8" w:rsidRPr="00985531" w14:paraId="1BEB17D5" w14:textId="77777777" w:rsidTr="0025113D">
        <w:tc>
          <w:tcPr>
            <w:tcW w:w="4508" w:type="dxa"/>
          </w:tcPr>
          <w:p w14:paraId="7D5E3136" w14:textId="77777777" w:rsidR="004000A8" w:rsidRPr="00985531" w:rsidRDefault="004000A8" w:rsidP="004000A8">
            <w:pPr>
              <w:rPr>
                <w:rFonts w:cs="Arial"/>
              </w:rPr>
            </w:pPr>
          </w:p>
        </w:tc>
        <w:tc>
          <w:tcPr>
            <w:tcW w:w="4508" w:type="dxa"/>
          </w:tcPr>
          <w:p w14:paraId="2192E86B" w14:textId="77777777" w:rsidR="004000A8" w:rsidRPr="00985531" w:rsidRDefault="004000A8" w:rsidP="004000A8"/>
        </w:tc>
      </w:tr>
      <w:tr w:rsidR="004000A8" w:rsidRPr="00985531" w14:paraId="18064E0F" w14:textId="77777777" w:rsidTr="0025113D">
        <w:tc>
          <w:tcPr>
            <w:tcW w:w="4508" w:type="dxa"/>
          </w:tcPr>
          <w:p w14:paraId="24FDFA62" w14:textId="5F23C076" w:rsidR="004000A8" w:rsidRPr="00885843" w:rsidRDefault="004000A8" w:rsidP="004000A8">
            <w:pPr>
              <w:jc w:val="both"/>
              <w:rPr>
                <w:rFonts w:asciiTheme="minorHAnsi" w:hAnsiTheme="minorHAnsi" w:cstheme="minorHAnsi"/>
                <w:sz w:val="22"/>
                <w:lang w:val="fr-BE"/>
              </w:rPr>
            </w:pPr>
            <w:r w:rsidRPr="00885843">
              <w:rPr>
                <w:rFonts w:asciiTheme="minorHAnsi" w:eastAsia="Times New Roman" w:hAnsiTheme="minorHAnsi" w:cstheme="minorHAnsi"/>
                <w:bCs/>
                <w:sz w:val="22"/>
                <w:lang w:val="fr-FR" w:eastAsia="fr-FR"/>
              </w:rPr>
              <w:t xml:space="preserve">Insérer un article 13/1, rédigé comme suit : </w:t>
            </w:r>
          </w:p>
        </w:tc>
        <w:tc>
          <w:tcPr>
            <w:tcW w:w="4508" w:type="dxa"/>
          </w:tcPr>
          <w:p w14:paraId="3E7B3753" w14:textId="799B5D62" w:rsidR="004000A8" w:rsidRPr="00885843" w:rsidRDefault="004000A8" w:rsidP="004000A8">
            <w:pPr>
              <w:jc w:val="both"/>
              <w:rPr>
                <w:rFonts w:asciiTheme="minorHAnsi" w:hAnsiTheme="minorHAnsi" w:cstheme="minorHAnsi"/>
                <w:sz w:val="22"/>
              </w:rPr>
            </w:pPr>
            <w:r w:rsidRPr="00885843">
              <w:rPr>
                <w:rFonts w:asciiTheme="minorHAnsi" w:eastAsia="Times New Roman" w:hAnsiTheme="minorHAnsi" w:cstheme="minorHAnsi"/>
                <w:sz w:val="22"/>
                <w:lang w:eastAsia="fr-FR"/>
              </w:rPr>
              <w:t>Een artikel 13/1 invoegen, luidende:</w:t>
            </w:r>
          </w:p>
        </w:tc>
      </w:tr>
      <w:tr w:rsidR="004000A8" w:rsidRPr="00985531" w14:paraId="089EED19" w14:textId="77777777" w:rsidTr="0025113D">
        <w:tc>
          <w:tcPr>
            <w:tcW w:w="4508" w:type="dxa"/>
          </w:tcPr>
          <w:p w14:paraId="44ED664C" w14:textId="77777777" w:rsidR="004000A8" w:rsidRPr="00885843" w:rsidRDefault="004000A8" w:rsidP="004000A8">
            <w:pPr>
              <w:jc w:val="both"/>
              <w:rPr>
                <w:rFonts w:asciiTheme="minorHAnsi" w:hAnsiTheme="minorHAnsi" w:cstheme="minorHAnsi"/>
                <w:sz w:val="22"/>
              </w:rPr>
            </w:pPr>
          </w:p>
        </w:tc>
        <w:tc>
          <w:tcPr>
            <w:tcW w:w="4508" w:type="dxa"/>
          </w:tcPr>
          <w:p w14:paraId="627A4B12" w14:textId="77777777" w:rsidR="004000A8" w:rsidRPr="00885843" w:rsidRDefault="004000A8" w:rsidP="004000A8">
            <w:pPr>
              <w:jc w:val="both"/>
              <w:rPr>
                <w:rFonts w:asciiTheme="minorHAnsi" w:hAnsiTheme="minorHAnsi" w:cstheme="minorHAnsi"/>
                <w:sz w:val="22"/>
              </w:rPr>
            </w:pPr>
          </w:p>
        </w:tc>
      </w:tr>
      <w:tr w:rsidR="004000A8" w:rsidRPr="00985531" w14:paraId="0942F7BE" w14:textId="77777777" w:rsidTr="0025113D">
        <w:tc>
          <w:tcPr>
            <w:tcW w:w="4508" w:type="dxa"/>
          </w:tcPr>
          <w:p w14:paraId="53FA9FB6" w14:textId="7D2A599A" w:rsidR="004000A8" w:rsidRPr="00885843" w:rsidRDefault="004000A8" w:rsidP="004000A8">
            <w:pPr>
              <w:jc w:val="both"/>
              <w:rPr>
                <w:rFonts w:asciiTheme="minorHAnsi" w:hAnsiTheme="minorHAnsi" w:cstheme="minorHAnsi"/>
                <w:sz w:val="22"/>
                <w:lang w:val="fr-BE"/>
              </w:rPr>
            </w:pPr>
            <w:r w:rsidRPr="00885843">
              <w:rPr>
                <w:rFonts w:asciiTheme="minorHAnsi" w:eastAsia="Times New Roman" w:hAnsiTheme="minorHAnsi" w:cstheme="minorHAnsi"/>
                <w:bCs/>
                <w:sz w:val="22"/>
                <w:lang w:val="fr-FR" w:eastAsia="fr-FR"/>
              </w:rPr>
              <w:t xml:space="preserve">« Art. 13/1. </w:t>
            </w:r>
            <w:r w:rsidRPr="00885843">
              <w:rPr>
                <w:rFonts w:asciiTheme="minorHAnsi" w:hAnsiTheme="minorHAnsi" w:cstheme="minorHAnsi"/>
                <w:sz w:val="22"/>
                <w:lang w:val="fr-FR"/>
              </w:rPr>
              <w:t xml:space="preserve">Dans la même loi, un article </w:t>
            </w:r>
            <w:r w:rsidR="00B40067">
              <w:rPr>
                <w:rFonts w:asciiTheme="minorHAnsi" w:hAnsiTheme="minorHAnsi" w:cstheme="minorHAnsi"/>
                <w:sz w:val="22"/>
                <w:lang w:val="fr-FR"/>
              </w:rPr>
              <w:t>127</w:t>
            </w:r>
            <w:r w:rsidRPr="00885843">
              <w:rPr>
                <w:rFonts w:asciiTheme="minorHAnsi" w:hAnsiTheme="minorHAnsi" w:cstheme="minorHAnsi"/>
                <w:sz w:val="22"/>
                <w:lang w:val="fr-FR"/>
              </w:rPr>
              <w:t>/4 est inséré, rédigé comme suit :</w:t>
            </w:r>
          </w:p>
        </w:tc>
        <w:tc>
          <w:tcPr>
            <w:tcW w:w="4508" w:type="dxa"/>
          </w:tcPr>
          <w:p w14:paraId="50CDFBD5" w14:textId="5CBC5A29" w:rsidR="004000A8" w:rsidRPr="00885843" w:rsidRDefault="004000A8" w:rsidP="004000A8">
            <w:pPr>
              <w:jc w:val="both"/>
              <w:rPr>
                <w:rFonts w:asciiTheme="minorHAnsi" w:hAnsiTheme="minorHAnsi" w:cstheme="minorHAnsi"/>
                <w:sz w:val="22"/>
              </w:rPr>
            </w:pPr>
            <w:r w:rsidRPr="00885843">
              <w:rPr>
                <w:rFonts w:asciiTheme="minorHAnsi" w:eastAsia="Times New Roman" w:hAnsiTheme="minorHAnsi" w:cstheme="minorHAnsi"/>
                <w:sz w:val="22"/>
                <w:lang w:eastAsia="fr-FR"/>
              </w:rPr>
              <w:t>“Art. 13/1. In dezelfde wet wordt een artikel 1</w:t>
            </w:r>
            <w:r w:rsidR="00B40067">
              <w:rPr>
                <w:rFonts w:asciiTheme="minorHAnsi" w:eastAsia="Times New Roman" w:hAnsiTheme="minorHAnsi" w:cstheme="minorHAnsi"/>
                <w:sz w:val="22"/>
                <w:lang w:eastAsia="fr-FR"/>
              </w:rPr>
              <w:t>2</w:t>
            </w:r>
            <w:r w:rsidRPr="00885843">
              <w:rPr>
                <w:rFonts w:asciiTheme="minorHAnsi" w:eastAsia="Times New Roman" w:hAnsiTheme="minorHAnsi" w:cstheme="minorHAnsi"/>
                <w:sz w:val="22"/>
                <w:lang w:eastAsia="fr-FR"/>
              </w:rPr>
              <w:t>7/4 ingevoegd, luidende:</w:t>
            </w:r>
          </w:p>
        </w:tc>
      </w:tr>
      <w:tr w:rsidR="004000A8" w:rsidRPr="00985531" w14:paraId="58727A39" w14:textId="77777777" w:rsidTr="0025113D">
        <w:tc>
          <w:tcPr>
            <w:tcW w:w="4508" w:type="dxa"/>
          </w:tcPr>
          <w:p w14:paraId="6926F3EF" w14:textId="77777777" w:rsidR="004000A8" w:rsidRPr="00985531" w:rsidRDefault="004000A8" w:rsidP="004000A8">
            <w:pPr>
              <w:jc w:val="both"/>
              <w:rPr>
                <w:rFonts w:cs="Arial"/>
              </w:rPr>
            </w:pPr>
          </w:p>
        </w:tc>
        <w:tc>
          <w:tcPr>
            <w:tcW w:w="4508" w:type="dxa"/>
          </w:tcPr>
          <w:p w14:paraId="166915B5" w14:textId="77777777" w:rsidR="004000A8" w:rsidRPr="00985531" w:rsidRDefault="004000A8" w:rsidP="004000A8">
            <w:pPr>
              <w:jc w:val="both"/>
            </w:pPr>
          </w:p>
        </w:tc>
      </w:tr>
      <w:tr w:rsidR="004000A8" w:rsidRPr="00985531" w14:paraId="5EF78E7D" w14:textId="77777777" w:rsidTr="0025113D">
        <w:tc>
          <w:tcPr>
            <w:tcW w:w="4508" w:type="dxa"/>
          </w:tcPr>
          <w:p w14:paraId="4DF9BF98" w14:textId="5A8C06A6" w:rsidR="004000A8" w:rsidRPr="00885843" w:rsidRDefault="004000A8" w:rsidP="004000A8">
            <w:pPr>
              <w:jc w:val="both"/>
              <w:rPr>
                <w:rFonts w:asciiTheme="minorHAnsi" w:hAnsiTheme="minorHAnsi" w:cstheme="minorHAnsi"/>
                <w:sz w:val="22"/>
                <w:lang w:val="fr-BE"/>
              </w:rPr>
            </w:pPr>
            <w:r w:rsidRPr="00885843">
              <w:rPr>
                <w:rFonts w:asciiTheme="minorHAnsi" w:hAnsiTheme="minorHAnsi" w:cstheme="minorHAnsi"/>
                <w:sz w:val="22"/>
                <w:lang w:val="fr-FR"/>
              </w:rPr>
              <w:t>« </w:t>
            </w:r>
            <w:r w:rsidRPr="00885843">
              <w:rPr>
                <w:rFonts w:asciiTheme="minorHAnsi" w:hAnsiTheme="minorHAnsi" w:cstheme="minorHAnsi"/>
                <w:b/>
                <w:bCs/>
                <w:sz w:val="22"/>
                <w:lang w:val="fr-FR"/>
              </w:rPr>
              <w:t>Art. 127/4.</w:t>
            </w:r>
            <w:r w:rsidRPr="00885843">
              <w:rPr>
                <w:rFonts w:asciiTheme="minorHAnsi" w:hAnsiTheme="minorHAnsi" w:cstheme="minorHAnsi"/>
                <w:sz w:val="22"/>
                <w:lang w:val="fr-FR"/>
              </w:rPr>
              <w:t xml:space="preserve"> Sauf pour les systèmes d'encryptage, qui font l’objet de règles particulières prévues à l’article 107/5, il est interdit de fournir ou d'utiliser un service ou un équipement qui empêche la réalisation des opérations suivantes</w:t>
            </w:r>
            <w:r>
              <w:rPr>
                <w:rFonts w:asciiTheme="minorHAnsi" w:hAnsiTheme="minorHAnsi" w:cstheme="minorHAnsi"/>
                <w:sz w:val="22"/>
                <w:lang w:val="fr-FR"/>
              </w:rPr>
              <w:t xml:space="preserve"> </w:t>
            </w:r>
            <w:r w:rsidRPr="00885843">
              <w:rPr>
                <w:rFonts w:asciiTheme="minorHAnsi" w:hAnsiTheme="minorHAnsi" w:cstheme="minorHAnsi"/>
                <w:sz w:val="22"/>
                <w:lang w:val="fr-FR"/>
              </w:rPr>
              <w:t>:</w:t>
            </w:r>
          </w:p>
        </w:tc>
        <w:tc>
          <w:tcPr>
            <w:tcW w:w="4508" w:type="dxa"/>
          </w:tcPr>
          <w:p w14:paraId="0138112D" w14:textId="516C1BA2" w:rsidR="004000A8" w:rsidRPr="00885843" w:rsidRDefault="004000A8" w:rsidP="004000A8">
            <w:pPr>
              <w:jc w:val="both"/>
              <w:rPr>
                <w:rFonts w:asciiTheme="minorHAnsi" w:hAnsiTheme="minorHAnsi" w:cstheme="minorHAnsi"/>
                <w:sz w:val="22"/>
              </w:rPr>
            </w:pPr>
            <w:r w:rsidRPr="00885843">
              <w:rPr>
                <w:rFonts w:asciiTheme="minorHAnsi" w:hAnsiTheme="minorHAnsi" w:cstheme="minorHAnsi"/>
                <w:sz w:val="22"/>
              </w:rPr>
              <w:t>“</w:t>
            </w:r>
            <w:r w:rsidRPr="00885843">
              <w:rPr>
                <w:rFonts w:asciiTheme="minorHAnsi" w:hAnsiTheme="minorHAnsi" w:cstheme="minorHAnsi"/>
                <w:b/>
                <w:bCs/>
                <w:sz w:val="22"/>
              </w:rPr>
              <w:t>Art. 127/4.</w:t>
            </w:r>
            <w:r w:rsidRPr="00885843">
              <w:rPr>
                <w:rFonts w:asciiTheme="minorHAnsi" w:hAnsiTheme="minorHAnsi" w:cstheme="minorHAnsi"/>
                <w:sz w:val="22"/>
              </w:rPr>
              <w:t xml:space="preserve"> Behalve voor de versleutelingssystemen, die het voorwerp uitmaken van specifieke regels die zijn vastgesteld in artikel 107/5, is het verboden om een dienst of een toestel aan te bieden of te gebruiken waardoor de uitvoering van de volgende handelingen wordt verhinderd:</w:t>
            </w:r>
          </w:p>
        </w:tc>
      </w:tr>
      <w:tr w:rsidR="004000A8" w:rsidRPr="00985531" w14:paraId="23BCADBC" w14:textId="77777777" w:rsidTr="0025113D">
        <w:tc>
          <w:tcPr>
            <w:tcW w:w="4508" w:type="dxa"/>
          </w:tcPr>
          <w:p w14:paraId="5A223284" w14:textId="77777777" w:rsidR="004000A8" w:rsidRPr="00885843" w:rsidRDefault="004000A8" w:rsidP="004000A8">
            <w:pPr>
              <w:jc w:val="both"/>
              <w:rPr>
                <w:rFonts w:asciiTheme="minorHAnsi" w:hAnsiTheme="minorHAnsi" w:cstheme="minorHAnsi"/>
                <w:sz w:val="22"/>
              </w:rPr>
            </w:pPr>
          </w:p>
        </w:tc>
        <w:tc>
          <w:tcPr>
            <w:tcW w:w="4508" w:type="dxa"/>
          </w:tcPr>
          <w:p w14:paraId="6CF8E6D7" w14:textId="77777777" w:rsidR="004000A8" w:rsidRPr="00885843" w:rsidRDefault="004000A8" w:rsidP="004000A8">
            <w:pPr>
              <w:jc w:val="both"/>
              <w:rPr>
                <w:rFonts w:asciiTheme="minorHAnsi" w:hAnsiTheme="minorHAnsi" w:cstheme="minorHAnsi"/>
                <w:sz w:val="22"/>
              </w:rPr>
            </w:pPr>
          </w:p>
        </w:tc>
      </w:tr>
      <w:tr w:rsidR="004000A8" w:rsidRPr="00985531" w14:paraId="5F677A86" w14:textId="77777777" w:rsidTr="0025113D">
        <w:tc>
          <w:tcPr>
            <w:tcW w:w="4508" w:type="dxa"/>
          </w:tcPr>
          <w:p w14:paraId="1861C0DE" w14:textId="3B6CFFE0" w:rsidR="004000A8" w:rsidRPr="00885843" w:rsidRDefault="004000A8" w:rsidP="004000A8">
            <w:pPr>
              <w:jc w:val="both"/>
              <w:rPr>
                <w:rFonts w:asciiTheme="minorHAnsi" w:hAnsiTheme="minorHAnsi" w:cstheme="minorHAnsi"/>
                <w:sz w:val="22"/>
                <w:lang w:val="fr-BE"/>
              </w:rPr>
            </w:pPr>
            <w:r w:rsidRPr="00885843">
              <w:rPr>
                <w:rFonts w:asciiTheme="minorHAnsi" w:hAnsiTheme="minorHAnsi" w:cstheme="minorHAnsi"/>
                <w:sz w:val="22"/>
                <w:lang w:val="fr-FR"/>
              </w:rPr>
              <w:t>1° les communications d'urgence, en ce compris l'identification de la ligne appelante et la fourniture des données d’identification de l’appelant ;</w:t>
            </w:r>
          </w:p>
        </w:tc>
        <w:tc>
          <w:tcPr>
            <w:tcW w:w="4508" w:type="dxa"/>
          </w:tcPr>
          <w:p w14:paraId="7930C7A2" w14:textId="5FA10F09" w:rsidR="004000A8" w:rsidRPr="00885843" w:rsidRDefault="004000A8" w:rsidP="004000A8">
            <w:pPr>
              <w:jc w:val="both"/>
              <w:rPr>
                <w:rFonts w:asciiTheme="minorHAnsi" w:hAnsiTheme="minorHAnsi" w:cstheme="minorHAnsi"/>
                <w:sz w:val="22"/>
              </w:rPr>
            </w:pPr>
            <w:r w:rsidRPr="00885843">
              <w:rPr>
                <w:rFonts w:asciiTheme="minorHAnsi" w:hAnsiTheme="minorHAnsi" w:cstheme="minorHAnsi"/>
                <w:sz w:val="22"/>
              </w:rPr>
              <w:t>1° noodcommunicatie, met inbegrip van de identificatie van de oproepende lijn en de verstrekking van de identificatiegegevens van de oproeper;</w:t>
            </w:r>
          </w:p>
        </w:tc>
      </w:tr>
      <w:tr w:rsidR="004000A8" w:rsidRPr="00985531" w14:paraId="09841019" w14:textId="77777777" w:rsidTr="0025113D">
        <w:tc>
          <w:tcPr>
            <w:tcW w:w="4508" w:type="dxa"/>
          </w:tcPr>
          <w:p w14:paraId="1FD45D71" w14:textId="77777777" w:rsidR="004000A8" w:rsidRPr="00885843" w:rsidRDefault="004000A8" w:rsidP="004000A8">
            <w:pPr>
              <w:jc w:val="both"/>
              <w:rPr>
                <w:rFonts w:asciiTheme="minorHAnsi" w:hAnsiTheme="minorHAnsi" w:cstheme="minorHAnsi"/>
                <w:sz w:val="22"/>
              </w:rPr>
            </w:pPr>
          </w:p>
        </w:tc>
        <w:tc>
          <w:tcPr>
            <w:tcW w:w="4508" w:type="dxa"/>
          </w:tcPr>
          <w:p w14:paraId="31118E12" w14:textId="77777777" w:rsidR="004000A8" w:rsidRPr="00885843" w:rsidRDefault="004000A8" w:rsidP="004000A8">
            <w:pPr>
              <w:jc w:val="both"/>
              <w:rPr>
                <w:rFonts w:asciiTheme="minorHAnsi" w:hAnsiTheme="minorHAnsi" w:cstheme="minorHAnsi"/>
                <w:sz w:val="22"/>
              </w:rPr>
            </w:pPr>
          </w:p>
        </w:tc>
      </w:tr>
      <w:tr w:rsidR="004000A8" w:rsidRPr="00985531" w14:paraId="7DD43E04" w14:textId="77777777" w:rsidTr="0025113D">
        <w:tc>
          <w:tcPr>
            <w:tcW w:w="4508" w:type="dxa"/>
          </w:tcPr>
          <w:p w14:paraId="2A6A5478" w14:textId="47AD5882" w:rsidR="004000A8" w:rsidRPr="00885843" w:rsidRDefault="004000A8" w:rsidP="004000A8">
            <w:pPr>
              <w:jc w:val="both"/>
              <w:rPr>
                <w:rFonts w:asciiTheme="minorHAnsi" w:hAnsiTheme="minorHAnsi" w:cstheme="minorHAnsi"/>
                <w:sz w:val="22"/>
                <w:lang w:val="fr-BE"/>
              </w:rPr>
            </w:pPr>
            <w:r w:rsidRPr="00885843">
              <w:rPr>
                <w:rFonts w:asciiTheme="minorHAnsi" w:hAnsiTheme="minorHAnsi" w:cstheme="minorHAnsi"/>
                <w:sz w:val="22"/>
                <w:lang w:val="fr-FR"/>
              </w:rPr>
              <w:t>2° l'identification de l'utilisateur final, le repérage et la localisation des communications privées  aux conditions prévues par la loi</w:t>
            </w:r>
            <w:r>
              <w:rPr>
                <w:rFonts w:asciiTheme="minorHAnsi" w:hAnsiTheme="minorHAnsi" w:cstheme="minorHAnsi"/>
                <w:sz w:val="22"/>
                <w:lang w:val="fr-FR"/>
              </w:rPr>
              <w:t xml:space="preserve"> </w:t>
            </w:r>
            <w:r w:rsidRPr="00885843">
              <w:rPr>
                <w:rFonts w:asciiTheme="minorHAnsi" w:hAnsiTheme="minorHAnsi" w:cstheme="minorHAnsi"/>
                <w:sz w:val="22"/>
                <w:lang w:val="fr-FR"/>
              </w:rPr>
              <w:t>;</w:t>
            </w:r>
          </w:p>
        </w:tc>
        <w:tc>
          <w:tcPr>
            <w:tcW w:w="4508" w:type="dxa"/>
          </w:tcPr>
          <w:p w14:paraId="4C373AB6" w14:textId="40DBC26B" w:rsidR="004000A8" w:rsidRPr="00885843" w:rsidRDefault="004000A8" w:rsidP="004000A8">
            <w:pPr>
              <w:jc w:val="both"/>
              <w:rPr>
                <w:rFonts w:asciiTheme="minorHAnsi" w:hAnsiTheme="minorHAnsi" w:cstheme="minorHAnsi"/>
                <w:sz w:val="22"/>
              </w:rPr>
            </w:pPr>
            <w:r w:rsidRPr="00885843">
              <w:rPr>
                <w:rFonts w:asciiTheme="minorHAnsi" w:hAnsiTheme="minorHAnsi" w:cstheme="minorHAnsi"/>
                <w:sz w:val="22"/>
              </w:rPr>
              <w:t>2° de identificatie van de eindgebruiker, het opsporen en lokaliseren van privécommunicatie onder de voorwaarden bepaald door de wet;</w:t>
            </w:r>
          </w:p>
        </w:tc>
      </w:tr>
      <w:tr w:rsidR="004000A8" w:rsidRPr="00985531" w14:paraId="4E49EDE7" w14:textId="77777777" w:rsidTr="0025113D">
        <w:tc>
          <w:tcPr>
            <w:tcW w:w="4508" w:type="dxa"/>
          </w:tcPr>
          <w:p w14:paraId="525C20DA" w14:textId="77777777" w:rsidR="004000A8" w:rsidRPr="00885843" w:rsidRDefault="004000A8" w:rsidP="004000A8">
            <w:pPr>
              <w:jc w:val="both"/>
              <w:rPr>
                <w:rFonts w:asciiTheme="minorHAnsi" w:hAnsiTheme="minorHAnsi" w:cstheme="minorHAnsi"/>
                <w:sz w:val="22"/>
              </w:rPr>
            </w:pPr>
          </w:p>
        </w:tc>
        <w:tc>
          <w:tcPr>
            <w:tcW w:w="4508" w:type="dxa"/>
          </w:tcPr>
          <w:p w14:paraId="33653FB6" w14:textId="77777777" w:rsidR="004000A8" w:rsidRPr="00885843" w:rsidRDefault="004000A8" w:rsidP="004000A8">
            <w:pPr>
              <w:jc w:val="both"/>
              <w:rPr>
                <w:rFonts w:asciiTheme="minorHAnsi" w:hAnsiTheme="minorHAnsi" w:cstheme="minorHAnsi"/>
                <w:sz w:val="22"/>
              </w:rPr>
            </w:pPr>
          </w:p>
        </w:tc>
      </w:tr>
      <w:tr w:rsidR="004000A8" w:rsidRPr="00985531" w14:paraId="7D19A968" w14:textId="77777777" w:rsidTr="0025113D">
        <w:tc>
          <w:tcPr>
            <w:tcW w:w="4508" w:type="dxa"/>
          </w:tcPr>
          <w:p w14:paraId="05388705" w14:textId="7709ECE7" w:rsidR="004000A8" w:rsidRPr="00885843" w:rsidRDefault="004000A8" w:rsidP="004000A8">
            <w:pPr>
              <w:jc w:val="both"/>
              <w:rPr>
                <w:rFonts w:asciiTheme="minorHAnsi" w:hAnsiTheme="minorHAnsi" w:cstheme="minorHAnsi"/>
                <w:sz w:val="22"/>
                <w:lang w:val="fr-BE"/>
              </w:rPr>
            </w:pPr>
            <w:r w:rsidRPr="00885843">
              <w:rPr>
                <w:rFonts w:asciiTheme="minorHAnsi" w:hAnsiTheme="minorHAnsi" w:cstheme="minorHAnsi"/>
                <w:sz w:val="22"/>
                <w:lang w:val="fr-FR"/>
              </w:rPr>
              <w:t>3° les écoutes, la prise de connaissance et l'enregistrement des communications privées  aux conditions prévues par le Code d'instruction criminelle et par la loi du 30 novembre 1998 organique des services de renseignement et de sécurité. »</w:t>
            </w:r>
            <w:r w:rsidRPr="00885843">
              <w:rPr>
                <w:rFonts w:asciiTheme="minorHAnsi" w:hAnsiTheme="minorHAnsi" w:cstheme="minorHAnsi"/>
                <w:sz w:val="22"/>
                <w:lang w:val="fr-FR"/>
              </w:rPr>
              <w:tab/>
            </w:r>
          </w:p>
        </w:tc>
        <w:tc>
          <w:tcPr>
            <w:tcW w:w="4508" w:type="dxa"/>
          </w:tcPr>
          <w:p w14:paraId="64A084F5" w14:textId="49BE4F73" w:rsidR="004000A8" w:rsidRPr="00885843" w:rsidRDefault="004000A8" w:rsidP="004000A8">
            <w:pPr>
              <w:jc w:val="both"/>
              <w:rPr>
                <w:rFonts w:asciiTheme="minorHAnsi" w:hAnsiTheme="minorHAnsi" w:cstheme="minorHAnsi"/>
                <w:sz w:val="22"/>
              </w:rPr>
            </w:pPr>
            <w:r w:rsidRPr="00885843">
              <w:rPr>
                <w:rFonts w:asciiTheme="minorHAnsi" w:hAnsiTheme="minorHAnsi" w:cstheme="minorHAnsi"/>
                <w:sz w:val="22"/>
              </w:rPr>
              <w:t xml:space="preserve">3° het afluisteren, kennisnemen en opnemen van privécommunicatie onder de voorwaarden bepaald door het Wetboek van </w:t>
            </w:r>
            <w:r w:rsidR="00B40067">
              <w:rPr>
                <w:rFonts w:asciiTheme="minorHAnsi" w:hAnsiTheme="minorHAnsi" w:cstheme="minorHAnsi"/>
                <w:sz w:val="22"/>
              </w:rPr>
              <w:t>S</w:t>
            </w:r>
            <w:r w:rsidRPr="00885843">
              <w:rPr>
                <w:rFonts w:asciiTheme="minorHAnsi" w:hAnsiTheme="minorHAnsi" w:cstheme="minorHAnsi"/>
                <w:sz w:val="22"/>
              </w:rPr>
              <w:t>trafvordering en door de wet van 30 november 1998 houdende regeling van de inlichtingen- en veiligheidsdiensten.”</w:t>
            </w:r>
          </w:p>
        </w:tc>
      </w:tr>
      <w:tr w:rsidR="004000A8" w:rsidRPr="00985531" w14:paraId="1EFC3683" w14:textId="77777777" w:rsidTr="0025113D">
        <w:tc>
          <w:tcPr>
            <w:tcW w:w="4508" w:type="dxa"/>
          </w:tcPr>
          <w:p w14:paraId="5C84E507" w14:textId="77777777" w:rsidR="004000A8" w:rsidRPr="00985531" w:rsidRDefault="004000A8" w:rsidP="004000A8">
            <w:pPr>
              <w:rPr>
                <w:rFonts w:cs="Arial"/>
              </w:rPr>
            </w:pPr>
          </w:p>
        </w:tc>
        <w:tc>
          <w:tcPr>
            <w:tcW w:w="4508" w:type="dxa"/>
          </w:tcPr>
          <w:p w14:paraId="71532D42" w14:textId="77777777" w:rsidR="004000A8" w:rsidRPr="00985531" w:rsidRDefault="004000A8" w:rsidP="004000A8"/>
        </w:tc>
      </w:tr>
      <w:tr w:rsidR="004000A8" w:rsidRPr="00985531" w14:paraId="4CD54F3C" w14:textId="77777777" w:rsidTr="0025113D">
        <w:tc>
          <w:tcPr>
            <w:tcW w:w="4508" w:type="dxa"/>
          </w:tcPr>
          <w:p w14:paraId="4CC40B0B" w14:textId="25BE5A45" w:rsidR="004000A8" w:rsidRPr="00885843" w:rsidRDefault="004000A8" w:rsidP="004000A8">
            <w:pPr>
              <w:jc w:val="center"/>
              <w:rPr>
                <w:rFonts w:asciiTheme="minorHAnsi" w:hAnsiTheme="minorHAnsi" w:cstheme="minorHAnsi"/>
                <w:sz w:val="22"/>
              </w:rPr>
            </w:pPr>
            <w:r w:rsidRPr="00885843">
              <w:rPr>
                <w:rFonts w:asciiTheme="minorHAnsi" w:hAnsiTheme="minorHAnsi" w:cstheme="minorHAnsi"/>
                <w:b/>
                <w:bCs/>
                <w:sz w:val="22"/>
                <w:lang w:eastAsia="fr-FR"/>
              </w:rPr>
              <w:t>JUSTIFICATION</w:t>
            </w:r>
          </w:p>
        </w:tc>
        <w:tc>
          <w:tcPr>
            <w:tcW w:w="4508" w:type="dxa"/>
          </w:tcPr>
          <w:p w14:paraId="17E87B77" w14:textId="1299C6BC" w:rsidR="004000A8" w:rsidRPr="00885843" w:rsidRDefault="004000A8" w:rsidP="004000A8">
            <w:pPr>
              <w:jc w:val="center"/>
              <w:rPr>
                <w:rFonts w:asciiTheme="minorHAnsi" w:hAnsiTheme="minorHAnsi" w:cstheme="minorHAnsi"/>
                <w:sz w:val="22"/>
              </w:rPr>
            </w:pPr>
            <w:r w:rsidRPr="00885843">
              <w:rPr>
                <w:rFonts w:asciiTheme="minorHAnsi" w:hAnsiTheme="minorHAnsi" w:cstheme="minorHAnsi"/>
                <w:b/>
                <w:bCs/>
                <w:sz w:val="22"/>
                <w:lang w:val="fr-BE" w:eastAsia="fr-FR"/>
              </w:rPr>
              <w:t>VERANTWOORDING</w:t>
            </w:r>
          </w:p>
        </w:tc>
      </w:tr>
      <w:tr w:rsidR="004000A8" w:rsidRPr="00985531" w14:paraId="5BA619CD" w14:textId="77777777" w:rsidTr="0025113D">
        <w:tc>
          <w:tcPr>
            <w:tcW w:w="4508" w:type="dxa"/>
          </w:tcPr>
          <w:p w14:paraId="2E4D83D2" w14:textId="77777777" w:rsidR="004000A8" w:rsidRPr="00885843" w:rsidRDefault="004000A8" w:rsidP="004000A8">
            <w:pPr>
              <w:rPr>
                <w:rFonts w:asciiTheme="minorHAnsi" w:hAnsiTheme="minorHAnsi" w:cstheme="minorHAnsi"/>
                <w:sz w:val="22"/>
              </w:rPr>
            </w:pPr>
          </w:p>
        </w:tc>
        <w:tc>
          <w:tcPr>
            <w:tcW w:w="4508" w:type="dxa"/>
          </w:tcPr>
          <w:p w14:paraId="6EC6CCA7" w14:textId="77777777" w:rsidR="004000A8" w:rsidRPr="00885843" w:rsidRDefault="004000A8" w:rsidP="004000A8">
            <w:pPr>
              <w:rPr>
                <w:rFonts w:asciiTheme="minorHAnsi" w:hAnsiTheme="minorHAnsi" w:cstheme="minorHAnsi"/>
                <w:sz w:val="22"/>
              </w:rPr>
            </w:pPr>
          </w:p>
        </w:tc>
      </w:tr>
      <w:tr w:rsidR="004000A8" w:rsidRPr="00985531" w14:paraId="6AF20D33" w14:textId="77777777" w:rsidTr="0025113D">
        <w:tc>
          <w:tcPr>
            <w:tcW w:w="4508" w:type="dxa"/>
          </w:tcPr>
          <w:p w14:paraId="0E38C67C" w14:textId="3069E095" w:rsidR="004000A8" w:rsidRPr="00885843" w:rsidRDefault="004000A8" w:rsidP="004000A8">
            <w:pPr>
              <w:jc w:val="both"/>
              <w:rPr>
                <w:rFonts w:asciiTheme="minorHAnsi" w:hAnsiTheme="minorHAnsi" w:cstheme="minorHAnsi"/>
                <w:sz w:val="22"/>
                <w:lang w:val="fr-BE"/>
              </w:rPr>
            </w:pPr>
            <w:r w:rsidRPr="00885843">
              <w:rPr>
                <w:rFonts w:asciiTheme="minorHAnsi" w:hAnsiTheme="minorHAnsi" w:cstheme="minorHAnsi"/>
                <w:sz w:val="22"/>
                <w:lang w:val="fr-BE" w:eastAsia="fr-FR"/>
              </w:rPr>
              <w:t xml:space="preserve">L’article 127/4 reprend une interdiction qui était auparavant inscrite à l’article 127, § 2, de la loi </w:t>
            </w:r>
            <w:r w:rsidRPr="00885843">
              <w:rPr>
                <w:rFonts w:asciiTheme="minorHAnsi" w:hAnsiTheme="minorHAnsi" w:cstheme="minorHAnsi"/>
                <w:sz w:val="22"/>
                <w:lang w:val="fr-BE" w:eastAsia="fr-FR"/>
              </w:rPr>
              <w:lastRenderedPageBreak/>
              <w:t xml:space="preserve">télécom. Cette interdiction vise des équipements ou services illégaux, auxquels des criminels peuvent recourir pour cacher leurs activités illicites.  </w:t>
            </w:r>
          </w:p>
        </w:tc>
        <w:tc>
          <w:tcPr>
            <w:tcW w:w="4508" w:type="dxa"/>
          </w:tcPr>
          <w:p w14:paraId="332343F0" w14:textId="68D97623" w:rsidR="004000A8" w:rsidRPr="00885843" w:rsidRDefault="004000A8" w:rsidP="004000A8">
            <w:pPr>
              <w:jc w:val="both"/>
              <w:rPr>
                <w:rFonts w:asciiTheme="minorHAnsi" w:hAnsiTheme="minorHAnsi" w:cstheme="minorHAnsi"/>
                <w:sz w:val="22"/>
              </w:rPr>
            </w:pPr>
            <w:r w:rsidRPr="00885843">
              <w:rPr>
                <w:rFonts w:asciiTheme="minorHAnsi" w:hAnsiTheme="minorHAnsi" w:cstheme="minorHAnsi"/>
                <w:sz w:val="22"/>
              </w:rPr>
              <w:lastRenderedPageBreak/>
              <w:t xml:space="preserve">Artikel 127/4 neemt een verbod over dat voordien was ingeschreven in artikel 127, § 2, </w:t>
            </w:r>
            <w:r w:rsidRPr="00885843">
              <w:rPr>
                <w:rFonts w:asciiTheme="minorHAnsi" w:hAnsiTheme="minorHAnsi" w:cstheme="minorHAnsi"/>
                <w:sz w:val="22"/>
              </w:rPr>
              <w:lastRenderedPageBreak/>
              <w:t xml:space="preserve">van de telecomwet. Dat verbod beoogt illegale apparatuur of diensten, waarvan criminelen gebruik kunnen maken om hun onwettige activiteiten te verbergen.  </w:t>
            </w:r>
          </w:p>
        </w:tc>
      </w:tr>
      <w:tr w:rsidR="004000A8" w:rsidRPr="00985531" w14:paraId="513A5325" w14:textId="77777777" w:rsidTr="0025113D">
        <w:tc>
          <w:tcPr>
            <w:tcW w:w="4508" w:type="dxa"/>
          </w:tcPr>
          <w:p w14:paraId="62F15483" w14:textId="77777777" w:rsidR="004000A8" w:rsidRPr="00985531" w:rsidRDefault="004000A8" w:rsidP="004000A8">
            <w:pPr>
              <w:rPr>
                <w:rFonts w:cs="Arial"/>
              </w:rPr>
            </w:pPr>
          </w:p>
        </w:tc>
        <w:tc>
          <w:tcPr>
            <w:tcW w:w="4508" w:type="dxa"/>
          </w:tcPr>
          <w:p w14:paraId="5F441083" w14:textId="77777777" w:rsidR="004000A8" w:rsidRPr="00985531" w:rsidRDefault="004000A8" w:rsidP="004000A8"/>
        </w:tc>
      </w:tr>
      <w:tr w:rsidR="004000A8" w:rsidRPr="00985531" w14:paraId="1E9CE9A3" w14:textId="77777777" w:rsidTr="0025113D">
        <w:tc>
          <w:tcPr>
            <w:tcW w:w="4508" w:type="dxa"/>
          </w:tcPr>
          <w:p w14:paraId="45949F50" w14:textId="24FABAAF" w:rsidR="004000A8" w:rsidRPr="00885843" w:rsidRDefault="004000A8" w:rsidP="004000A8">
            <w:pPr>
              <w:pStyle w:val="Kop1"/>
              <w:outlineLvl w:val="0"/>
              <w:rPr>
                <w:lang w:val="fr-BE"/>
              </w:rPr>
            </w:pPr>
            <w:bookmarkStart w:id="58" w:name="_Toc94800280"/>
            <w:bookmarkStart w:id="59" w:name="_Toc96611621"/>
            <w:r w:rsidRPr="00885843">
              <w:rPr>
                <w:lang w:val="fr-BE" w:eastAsia="fr-FR"/>
              </w:rPr>
              <w:t xml:space="preserve">Amendement n° </w:t>
            </w:r>
            <w:bookmarkEnd w:id="58"/>
            <w:r>
              <w:rPr>
                <w:lang w:val="fr-BE" w:eastAsia="fr-FR"/>
              </w:rPr>
              <w:t>8</w:t>
            </w:r>
            <w:bookmarkEnd w:id="59"/>
          </w:p>
        </w:tc>
        <w:tc>
          <w:tcPr>
            <w:tcW w:w="4508" w:type="dxa"/>
          </w:tcPr>
          <w:p w14:paraId="71B096FA" w14:textId="23F31AAF" w:rsidR="004000A8" w:rsidRPr="00885843" w:rsidRDefault="004000A8" w:rsidP="004000A8">
            <w:pPr>
              <w:pStyle w:val="Kop1"/>
              <w:outlineLvl w:val="0"/>
            </w:pPr>
            <w:bookmarkStart w:id="60" w:name="_Toc94800281"/>
            <w:bookmarkStart w:id="61" w:name="_Toc96611622"/>
            <w:r w:rsidRPr="00885843">
              <w:rPr>
                <w:lang w:eastAsia="fr-FR"/>
              </w:rPr>
              <w:t xml:space="preserve">Amendement nr. </w:t>
            </w:r>
            <w:bookmarkEnd w:id="60"/>
            <w:r>
              <w:rPr>
                <w:lang w:eastAsia="fr-FR"/>
              </w:rPr>
              <w:t>8</w:t>
            </w:r>
            <w:bookmarkEnd w:id="61"/>
          </w:p>
        </w:tc>
      </w:tr>
      <w:tr w:rsidR="004000A8" w:rsidRPr="00985531" w14:paraId="2EBDA5DA" w14:textId="77777777" w:rsidTr="0025113D">
        <w:tc>
          <w:tcPr>
            <w:tcW w:w="4508" w:type="dxa"/>
          </w:tcPr>
          <w:p w14:paraId="54B3BF8B" w14:textId="77777777" w:rsidR="004000A8" w:rsidRPr="005C4713" w:rsidRDefault="004000A8" w:rsidP="004000A8">
            <w:pPr>
              <w:jc w:val="center"/>
              <w:rPr>
                <w:rFonts w:asciiTheme="minorHAnsi" w:hAnsiTheme="minorHAnsi" w:cstheme="minorHAnsi"/>
                <w:b/>
                <w:bCs/>
                <w:sz w:val="22"/>
                <w:lang w:eastAsia="fr-FR"/>
              </w:rPr>
            </w:pPr>
          </w:p>
        </w:tc>
        <w:tc>
          <w:tcPr>
            <w:tcW w:w="4508" w:type="dxa"/>
          </w:tcPr>
          <w:p w14:paraId="0EC82199" w14:textId="77777777" w:rsidR="004000A8" w:rsidRPr="00885843" w:rsidRDefault="004000A8" w:rsidP="004000A8">
            <w:pPr>
              <w:jc w:val="center"/>
              <w:rPr>
                <w:rFonts w:asciiTheme="minorHAnsi" w:hAnsiTheme="minorHAnsi" w:cstheme="minorHAnsi"/>
                <w:b/>
                <w:bCs/>
                <w:sz w:val="22"/>
                <w:lang w:eastAsia="fr-FR"/>
              </w:rPr>
            </w:pPr>
          </w:p>
        </w:tc>
      </w:tr>
      <w:tr w:rsidR="004000A8" w:rsidRPr="00985531" w14:paraId="41DDE603" w14:textId="77777777" w:rsidTr="0025113D">
        <w:tc>
          <w:tcPr>
            <w:tcW w:w="4508" w:type="dxa"/>
          </w:tcPr>
          <w:p w14:paraId="2F3334BE" w14:textId="71385DFC" w:rsidR="004000A8" w:rsidRPr="00885843" w:rsidRDefault="004000A8" w:rsidP="004000A8">
            <w:pPr>
              <w:jc w:val="center"/>
              <w:rPr>
                <w:rFonts w:asciiTheme="minorHAnsi" w:hAnsiTheme="minorHAnsi" w:cstheme="minorHAnsi"/>
                <w:sz w:val="22"/>
              </w:rPr>
            </w:pPr>
            <w:proofErr w:type="spellStart"/>
            <w:r w:rsidRPr="00885843">
              <w:rPr>
                <w:rFonts w:asciiTheme="minorHAnsi" w:hAnsiTheme="minorHAnsi" w:cstheme="minorHAnsi"/>
                <w:b/>
                <w:bCs/>
                <w:sz w:val="22"/>
                <w:lang w:eastAsia="fr-FR"/>
              </w:rPr>
              <w:t>Article</w:t>
            </w:r>
            <w:proofErr w:type="spellEnd"/>
            <w:r w:rsidRPr="00885843">
              <w:rPr>
                <w:rFonts w:asciiTheme="minorHAnsi" w:hAnsiTheme="minorHAnsi" w:cstheme="minorHAnsi"/>
                <w:b/>
                <w:bCs/>
                <w:sz w:val="22"/>
                <w:lang w:eastAsia="fr-FR"/>
              </w:rPr>
              <w:t xml:space="preserve"> 14</w:t>
            </w:r>
          </w:p>
        </w:tc>
        <w:tc>
          <w:tcPr>
            <w:tcW w:w="4508" w:type="dxa"/>
          </w:tcPr>
          <w:p w14:paraId="5A7B28ED" w14:textId="1A7A8555" w:rsidR="004000A8" w:rsidRPr="00885843" w:rsidRDefault="004000A8" w:rsidP="004000A8">
            <w:pPr>
              <w:jc w:val="center"/>
              <w:rPr>
                <w:rFonts w:asciiTheme="minorHAnsi" w:hAnsiTheme="minorHAnsi" w:cstheme="minorHAnsi"/>
                <w:sz w:val="22"/>
              </w:rPr>
            </w:pPr>
            <w:r w:rsidRPr="00885843">
              <w:rPr>
                <w:rFonts w:asciiTheme="minorHAnsi" w:hAnsiTheme="minorHAnsi" w:cstheme="minorHAnsi"/>
                <w:b/>
                <w:bCs/>
                <w:sz w:val="22"/>
                <w:lang w:eastAsia="fr-FR"/>
              </w:rPr>
              <w:t>Artikel 14</w:t>
            </w:r>
          </w:p>
        </w:tc>
      </w:tr>
      <w:tr w:rsidR="004000A8" w:rsidRPr="00985531" w14:paraId="434289A4" w14:textId="77777777" w:rsidTr="0025113D">
        <w:tc>
          <w:tcPr>
            <w:tcW w:w="4508" w:type="dxa"/>
          </w:tcPr>
          <w:p w14:paraId="78CDD9BA" w14:textId="77777777" w:rsidR="004000A8" w:rsidRPr="00985531" w:rsidRDefault="004000A8" w:rsidP="004000A8">
            <w:pPr>
              <w:rPr>
                <w:rFonts w:cs="Arial"/>
              </w:rPr>
            </w:pPr>
          </w:p>
        </w:tc>
        <w:tc>
          <w:tcPr>
            <w:tcW w:w="4508" w:type="dxa"/>
          </w:tcPr>
          <w:p w14:paraId="0C26B035" w14:textId="77777777" w:rsidR="004000A8" w:rsidRPr="00985531" w:rsidRDefault="004000A8" w:rsidP="004000A8"/>
        </w:tc>
      </w:tr>
      <w:tr w:rsidR="004000A8" w:rsidRPr="00985531" w14:paraId="1CAEDD3F" w14:textId="77777777" w:rsidTr="0025113D">
        <w:tc>
          <w:tcPr>
            <w:tcW w:w="4508" w:type="dxa"/>
          </w:tcPr>
          <w:p w14:paraId="6AA72EBE" w14:textId="5814CCE0" w:rsidR="004000A8" w:rsidRPr="00885843" w:rsidRDefault="004000A8" w:rsidP="004000A8">
            <w:pPr>
              <w:jc w:val="both"/>
              <w:rPr>
                <w:rFonts w:asciiTheme="minorHAnsi" w:hAnsiTheme="minorHAnsi" w:cstheme="minorHAnsi"/>
                <w:sz w:val="22"/>
                <w:lang w:val="fr-BE"/>
              </w:rPr>
            </w:pPr>
            <w:r w:rsidRPr="00885843">
              <w:rPr>
                <w:rFonts w:asciiTheme="minorHAnsi" w:hAnsiTheme="minorHAnsi" w:cstheme="minorHAnsi"/>
                <w:sz w:val="22"/>
                <w:lang w:val="fr-BE"/>
              </w:rPr>
              <w:t xml:space="preserve">A l’article 145 de la loi du 13 juin 2005 relative aux communications électroniques, les mots « 126 à 127/3 » sont remplacé par les mots « 126 à 127/4 ».   </w:t>
            </w:r>
          </w:p>
        </w:tc>
        <w:tc>
          <w:tcPr>
            <w:tcW w:w="4508" w:type="dxa"/>
          </w:tcPr>
          <w:p w14:paraId="2AB92AE2" w14:textId="310496A7" w:rsidR="004000A8" w:rsidRPr="00885843" w:rsidRDefault="004000A8" w:rsidP="004000A8">
            <w:pPr>
              <w:jc w:val="both"/>
              <w:rPr>
                <w:rFonts w:asciiTheme="minorHAnsi" w:hAnsiTheme="minorHAnsi" w:cstheme="minorHAnsi"/>
                <w:sz w:val="22"/>
              </w:rPr>
            </w:pPr>
            <w:r w:rsidRPr="00885843">
              <w:rPr>
                <w:rFonts w:asciiTheme="minorHAnsi" w:hAnsiTheme="minorHAnsi" w:cstheme="minorHAnsi"/>
                <w:sz w:val="22"/>
              </w:rPr>
              <w:t xml:space="preserve">In artikel 145 van de wet van 13 juni 2005 betreffende de elektronische communicatie worden de woorden “126 tot en met 127/3” vervangen door de woorden “126 tot en met 127/4”.   </w:t>
            </w:r>
          </w:p>
        </w:tc>
      </w:tr>
      <w:tr w:rsidR="004000A8" w:rsidRPr="00985531" w14:paraId="3818B996" w14:textId="77777777" w:rsidTr="0025113D">
        <w:tc>
          <w:tcPr>
            <w:tcW w:w="4508" w:type="dxa"/>
          </w:tcPr>
          <w:p w14:paraId="1AEC381A" w14:textId="77777777" w:rsidR="004000A8" w:rsidRPr="00885843" w:rsidRDefault="004000A8" w:rsidP="004000A8">
            <w:pPr>
              <w:rPr>
                <w:rFonts w:asciiTheme="minorHAnsi" w:hAnsiTheme="minorHAnsi" w:cstheme="minorHAnsi"/>
                <w:sz w:val="22"/>
              </w:rPr>
            </w:pPr>
          </w:p>
        </w:tc>
        <w:tc>
          <w:tcPr>
            <w:tcW w:w="4508" w:type="dxa"/>
          </w:tcPr>
          <w:p w14:paraId="7330F44A" w14:textId="77777777" w:rsidR="004000A8" w:rsidRPr="00885843" w:rsidRDefault="004000A8" w:rsidP="004000A8">
            <w:pPr>
              <w:rPr>
                <w:rFonts w:asciiTheme="minorHAnsi" w:hAnsiTheme="minorHAnsi" w:cstheme="minorHAnsi"/>
                <w:sz w:val="22"/>
              </w:rPr>
            </w:pPr>
          </w:p>
        </w:tc>
      </w:tr>
      <w:tr w:rsidR="004000A8" w:rsidRPr="00985531" w14:paraId="284438DE" w14:textId="77777777" w:rsidTr="0025113D">
        <w:tc>
          <w:tcPr>
            <w:tcW w:w="4508" w:type="dxa"/>
          </w:tcPr>
          <w:p w14:paraId="27948F54" w14:textId="58F99B3F" w:rsidR="004000A8" w:rsidRPr="00885843" w:rsidRDefault="004000A8" w:rsidP="004000A8">
            <w:pPr>
              <w:jc w:val="center"/>
              <w:rPr>
                <w:rFonts w:asciiTheme="minorHAnsi" w:hAnsiTheme="minorHAnsi" w:cstheme="minorHAnsi"/>
                <w:sz w:val="22"/>
              </w:rPr>
            </w:pPr>
            <w:r w:rsidRPr="00885843">
              <w:rPr>
                <w:rFonts w:asciiTheme="minorHAnsi" w:hAnsiTheme="minorHAnsi" w:cstheme="minorHAnsi"/>
                <w:b/>
                <w:bCs/>
                <w:sz w:val="22"/>
                <w:lang w:eastAsia="fr-FR"/>
              </w:rPr>
              <w:t>JUSTIFICATION</w:t>
            </w:r>
          </w:p>
        </w:tc>
        <w:tc>
          <w:tcPr>
            <w:tcW w:w="4508" w:type="dxa"/>
          </w:tcPr>
          <w:p w14:paraId="094B4935" w14:textId="7AC5A569" w:rsidR="004000A8" w:rsidRPr="00885843" w:rsidRDefault="004000A8" w:rsidP="004000A8">
            <w:pPr>
              <w:jc w:val="center"/>
              <w:rPr>
                <w:rFonts w:asciiTheme="minorHAnsi" w:hAnsiTheme="minorHAnsi" w:cstheme="minorHAnsi"/>
                <w:sz w:val="22"/>
              </w:rPr>
            </w:pPr>
            <w:r w:rsidRPr="00885843">
              <w:rPr>
                <w:rFonts w:asciiTheme="minorHAnsi" w:hAnsiTheme="minorHAnsi" w:cstheme="minorHAnsi"/>
                <w:b/>
                <w:bCs/>
                <w:sz w:val="22"/>
                <w:lang w:val="fr-BE" w:eastAsia="fr-FR"/>
              </w:rPr>
              <w:t>VERANTWOORDING</w:t>
            </w:r>
          </w:p>
        </w:tc>
      </w:tr>
      <w:tr w:rsidR="004000A8" w:rsidRPr="00985531" w14:paraId="23746D37" w14:textId="77777777" w:rsidTr="0025113D">
        <w:tc>
          <w:tcPr>
            <w:tcW w:w="4508" w:type="dxa"/>
          </w:tcPr>
          <w:p w14:paraId="5C46627B" w14:textId="77777777" w:rsidR="004000A8" w:rsidRPr="00885843" w:rsidRDefault="004000A8" w:rsidP="004000A8">
            <w:pPr>
              <w:rPr>
                <w:rFonts w:asciiTheme="minorHAnsi" w:hAnsiTheme="minorHAnsi" w:cstheme="minorHAnsi"/>
                <w:sz w:val="22"/>
              </w:rPr>
            </w:pPr>
          </w:p>
        </w:tc>
        <w:tc>
          <w:tcPr>
            <w:tcW w:w="4508" w:type="dxa"/>
          </w:tcPr>
          <w:p w14:paraId="133CED9D" w14:textId="77777777" w:rsidR="004000A8" w:rsidRPr="00885843" w:rsidRDefault="004000A8" w:rsidP="004000A8">
            <w:pPr>
              <w:rPr>
                <w:rFonts w:asciiTheme="minorHAnsi" w:hAnsiTheme="minorHAnsi" w:cstheme="minorHAnsi"/>
                <w:sz w:val="22"/>
              </w:rPr>
            </w:pPr>
          </w:p>
        </w:tc>
      </w:tr>
      <w:tr w:rsidR="004000A8" w:rsidRPr="00985531" w14:paraId="4CE9AAB5" w14:textId="77777777" w:rsidTr="0025113D">
        <w:tc>
          <w:tcPr>
            <w:tcW w:w="4508" w:type="dxa"/>
          </w:tcPr>
          <w:p w14:paraId="448E8DE7" w14:textId="4C9D85D2" w:rsidR="004000A8" w:rsidRPr="00885843" w:rsidRDefault="004000A8" w:rsidP="004000A8">
            <w:pPr>
              <w:jc w:val="both"/>
              <w:rPr>
                <w:rFonts w:asciiTheme="minorHAnsi" w:hAnsiTheme="minorHAnsi" w:cstheme="minorHAnsi"/>
                <w:sz w:val="22"/>
                <w:lang w:val="fr-BE"/>
              </w:rPr>
            </w:pPr>
            <w:r w:rsidRPr="00885843">
              <w:rPr>
                <w:rFonts w:asciiTheme="minorHAnsi" w:hAnsiTheme="minorHAnsi" w:cstheme="minorHAnsi"/>
                <w:sz w:val="22"/>
                <w:lang w:val="fr-BE"/>
              </w:rPr>
              <w:t xml:space="preserve">Vu l’insertion d’un nouvel article 127/4 dans la loi télécom, proposé par l’amendement n° </w:t>
            </w:r>
            <w:r>
              <w:rPr>
                <w:rFonts w:asciiTheme="minorHAnsi" w:hAnsiTheme="minorHAnsi" w:cstheme="minorHAnsi"/>
                <w:sz w:val="22"/>
                <w:lang w:val="fr-BE"/>
              </w:rPr>
              <w:t>7</w:t>
            </w:r>
            <w:r w:rsidRPr="00885843">
              <w:rPr>
                <w:rFonts w:asciiTheme="minorHAnsi" w:hAnsiTheme="minorHAnsi" w:cstheme="minorHAnsi"/>
                <w:sz w:val="22"/>
                <w:lang w:val="fr-BE"/>
              </w:rPr>
              <w:t>, il est nécessaire d’adapter l’article 145, § 1</w:t>
            </w:r>
            <w:r w:rsidRPr="00885843">
              <w:rPr>
                <w:rFonts w:asciiTheme="minorHAnsi" w:hAnsiTheme="minorHAnsi" w:cstheme="minorHAnsi"/>
                <w:sz w:val="22"/>
                <w:vertAlign w:val="superscript"/>
                <w:lang w:val="fr-BE"/>
              </w:rPr>
              <w:t>er</w:t>
            </w:r>
            <w:r w:rsidRPr="00885843">
              <w:rPr>
                <w:rFonts w:asciiTheme="minorHAnsi" w:hAnsiTheme="minorHAnsi" w:cstheme="minorHAnsi"/>
                <w:sz w:val="22"/>
                <w:lang w:val="fr-BE"/>
              </w:rPr>
              <w:t xml:space="preserve">, de cette même loi, de sorte que le non-respect de l’article 127/4 soit puni par une amende pénale.  </w:t>
            </w:r>
          </w:p>
        </w:tc>
        <w:tc>
          <w:tcPr>
            <w:tcW w:w="4508" w:type="dxa"/>
          </w:tcPr>
          <w:p w14:paraId="2BE6B63A" w14:textId="5223968A" w:rsidR="004000A8" w:rsidRPr="00885843" w:rsidRDefault="004000A8" w:rsidP="004000A8">
            <w:pPr>
              <w:jc w:val="both"/>
              <w:rPr>
                <w:rFonts w:asciiTheme="minorHAnsi" w:hAnsiTheme="minorHAnsi" w:cstheme="minorHAnsi"/>
                <w:sz w:val="22"/>
              </w:rPr>
            </w:pPr>
            <w:r w:rsidRPr="00885843">
              <w:rPr>
                <w:rFonts w:asciiTheme="minorHAnsi" w:hAnsiTheme="minorHAnsi" w:cstheme="minorHAnsi"/>
                <w:sz w:val="22"/>
              </w:rPr>
              <w:t xml:space="preserve">Gelet op de invoeging van een nieuw artikel 127/4 in de telecomwet, zoals voorgesteld door amendement nr. </w:t>
            </w:r>
            <w:r>
              <w:rPr>
                <w:rFonts w:asciiTheme="minorHAnsi" w:hAnsiTheme="minorHAnsi" w:cstheme="minorHAnsi"/>
                <w:sz w:val="22"/>
              </w:rPr>
              <w:t>7</w:t>
            </w:r>
            <w:r w:rsidRPr="00885843">
              <w:rPr>
                <w:rFonts w:asciiTheme="minorHAnsi" w:hAnsiTheme="minorHAnsi" w:cstheme="minorHAnsi"/>
                <w:sz w:val="22"/>
              </w:rPr>
              <w:t xml:space="preserve">, is het noodzakelijk om artikel 145, § 1, van dezelfde wet aan te passen, zodat de niet-naleving van artikel 127/4 bestraft wordt met een geldboete.  </w:t>
            </w:r>
          </w:p>
        </w:tc>
      </w:tr>
      <w:tr w:rsidR="004000A8" w:rsidRPr="00985531" w14:paraId="4368BCEF" w14:textId="77777777" w:rsidTr="0025113D">
        <w:tc>
          <w:tcPr>
            <w:tcW w:w="4508" w:type="dxa"/>
          </w:tcPr>
          <w:p w14:paraId="7FE6D7FB" w14:textId="77777777" w:rsidR="004000A8" w:rsidRPr="00985531" w:rsidRDefault="004000A8" w:rsidP="004000A8">
            <w:pPr>
              <w:rPr>
                <w:rFonts w:cs="Arial"/>
              </w:rPr>
            </w:pPr>
          </w:p>
        </w:tc>
        <w:tc>
          <w:tcPr>
            <w:tcW w:w="4508" w:type="dxa"/>
          </w:tcPr>
          <w:p w14:paraId="55F8C349" w14:textId="77777777" w:rsidR="004000A8" w:rsidRPr="00985531" w:rsidRDefault="004000A8" w:rsidP="004000A8"/>
        </w:tc>
      </w:tr>
      <w:tr w:rsidR="004000A8" w:rsidRPr="00985531" w14:paraId="71CF8D03" w14:textId="77777777" w:rsidTr="0025113D">
        <w:tc>
          <w:tcPr>
            <w:tcW w:w="4508" w:type="dxa"/>
          </w:tcPr>
          <w:p w14:paraId="2424E881" w14:textId="19400E70" w:rsidR="004000A8" w:rsidRPr="003C512A" w:rsidRDefault="004000A8" w:rsidP="004000A8">
            <w:pPr>
              <w:pStyle w:val="Kop1"/>
              <w:outlineLvl w:val="0"/>
              <w:rPr>
                <w:lang w:val="fr-BE"/>
              </w:rPr>
            </w:pPr>
            <w:bookmarkStart w:id="62" w:name="_Toc91768082"/>
            <w:bookmarkStart w:id="63" w:name="_Toc94800282"/>
            <w:bookmarkStart w:id="64" w:name="_Toc96611623"/>
            <w:r w:rsidRPr="003C512A">
              <w:rPr>
                <w:lang w:val="fr-BE"/>
              </w:rPr>
              <w:t xml:space="preserve">Amendement n° </w:t>
            </w:r>
            <w:bookmarkEnd w:id="62"/>
            <w:bookmarkEnd w:id="63"/>
            <w:r>
              <w:rPr>
                <w:lang w:val="fr-BE"/>
              </w:rPr>
              <w:t>9</w:t>
            </w:r>
            <w:bookmarkEnd w:id="64"/>
          </w:p>
        </w:tc>
        <w:tc>
          <w:tcPr>
            <w:tcW w:w="4508" w:type="dxa"/>
          </w:tcPr>
          <w:p w14:paraId="36F861E0" w14:textId="66552086" w:rsidR="004000A8" w:rsidRPr="003C512A" w:rsidRDefault="004000A8" w:rsidP="004000A8">
            <w:pPr>
              <w:pStyle w:val="Kop1"/>
              <w:outlineLvl w:val="0"/>
            </w:pPr>
            <w:bookmarkStart w:id="65" w:name="_Toc91768083"/>
            <w:bookmarkStart w:id="66" w:name="_Toc94800283"/>
            <w:bookmarkStart w:id="67" w:name="_Toc96611624"/>
            <w:r w:rsidRPr="003C512A">
              <w:t>Amendement</w:t>
            </w:r>
            <w:r w:rsidRPr="003C512A">
              <w:rPr>
                <w:lang w:eastAsia="fr-FR"/>
              </w:rPr>
              <w:t xml:space="preserve"> </w:t>
            </w:r>
            <w:r w:rsidRPr="003C512A">
              <w:t xml:space="preserve">nr. </w:t>
            </w:r>
            <w:bookmarkEnd w:id="65"/>
            <w:bookmarkEnd w:id="66"/>
            <w:r>
              <w:t>9</w:t>
            </w:r>
            <w:bookmarkEnd w:id="67"/>
          </w:p>
        </w:tc>
      </w:tr>
      <w:tr w:rsidR="004000A8" w:rsidRPr="00985531" w14:paraId="7D9082E4" w14:textId="77777777" w:rsidTr="0025113D">
        <w:tc>
          <w:tcPr>
            <w:tcW w:w="4508" w:type="dxa"/>
          </w:tcPr>
          <w:p w14:paraId="6817A7AB" w14:textId="77777777" w:rsidR="004000A8" w:rsidRPr="005C4713" w:rsidRDefault="004000A8" w:rsidP="004000A8">
            <w:pPr>
              <w:jc w:val="center"/>
              <w:rPr>
                <w:rFonts w:asciiTheme="minorHAnsi" w:hAnsiTheme="minorHAnsi" w:cstheme="minorHAnsi"/>
                <w:sz w:val="22"/>
              </w:rPr>
            </w:pPr>
          </w:p>
        </w:tc>
        <w:tc>
          <w:tcPr>
            <w:tcW w:w="4508" w:type="dxa"/>
          </w:tcPr>
          <w:p w14:paraId="6E884A1F" w14:textId="77777777" w:rsidR="004000A8" w:rsidRPr="003C512A" w:rsidRDefault="004000A8" w:rsidP="004000A8">
            <w:pPr>
              <w:jc w:val="center"/>
              <w:rPr>
                <w:rFonts w:asciiTheme="minorHAnsi" w:hAnsiTheme="minorHAnsi" w:cstheme="minorHAnsi"/>
                <w:sz w:val="22"/>
              </w:rPr>
            </w:pPr>
          </w:p>
        </w:tc>
      </w:tr>
      <w:tr w:rsidR="004000A8" w:rsidRPr="00985531" w14:paraId="2165DBE2" w14:textId="77777777" w:rsidTr="0025113D">
        <w:tc>
          <w:tcPr>
            <w:tcW w:w="4508" w:type="dxa"/>
          </w:tcPr>
          <w:p w14:paraId="088E02BE" w14:textId="61F71863" w:rsidR="004000A8" w:rsidRPr="003C512A" w:rsidRDefault="004000A8" w:rsidP="004000A8">
            <w:pPr>
              <w:jc w:val="center"/>
              <w:rPr>
                <w:rFonts w:asciiTheme="minorHAnsi" w:hAnsiTheme="minorHAnsi" w:cstheme="minorHAnsi"/>
                <w:sz w:val="22"/>
              </w:rPr>
            </w:pPr>
            <w:proofErr w:type="spellStart"/>
            <w:r w:rsidRPr="003C512A">
              <w:rPr>
                <w:rFonts w:asciiTheme="minorHAnsi" w:eastAsia="Times New Roman" w:hAnsiTheme="minorHAnsi" w:cstheme="minorHAnsi"/>
                <w:b/>
                <w:bCs/>
                <w:sz w:val="22"/>
                <w:lang w:eastAsia="fr-FR"/>
              </w:rPr>
              <w:t>Article</w:t>
            </w:r>
            <w:proofErr w:type="spellEnd"/>
            <w:r w:rsidRPr="003C512A">
              <w:rPr>
                <w:rFonts w:asciiTheme="minorHAnsi" w:eastAsia="Times New Roman" w:hAnsiTheme="minorHAnsi" w:cstheme="minorHAnsi"/>
                <w:b/>
                <w:bCs/>
                <w:sz w:val="22"/>
                <w:lang w:eastAsia="fr-FR"/>
              </w:rPr>
              <w:t xml:space="preserve"> 40</w:t>
            </w:r>
          </w:p>
        </w:tc>
        <w:tc>
          <w:tcPr>
            <w:tcW w:w="4508" w:type="dxa"/>
          </w:tcPr>
          <w:p w14:paraId="4B0BDE8E" w14:textId="5F6F8A45" w:rsidR="004000A8" w:rsidRPr="003C512A" w:rsidRDefault="004000A8" w:rsidP="004000A8">
            <w:pPr>
              <w:jc w:val="center"/>
              <w:rPr>
                <w:rFonts w:asciiTheme="minorHAnsi" w:hAnsiTheme="minorHAnsi" w:cstheme="minorHAnsi"/>
                <w:sz w:val="22"/>
              </w:rPr>
            </w:pPr>
            <w:r w:rsidRPr="003C512A">
              <w:rPr>
                <w:rFonts w:asciiTheme="minorHAnsi" w:eastAsia="Times New Roman" w:hAnsiTheme="minorHAnsi" w:cstheme="minorHAnsi"/>
                <w:b/>
                <w:sz w:val="22"/>
                <w:lang w:eastAsia="fr-FR"/>
              </w:rPr>
              <w:t>Artikel 40</w:t>
            </w:r>
          </w:p>
        </w:tc>
      </w:tr>
      <w:tr w:rsidR="004000A8" w:rsidRPr="00985531" w14:paraId="002FD017" w14:textId="77777777" w:rsidTr="0025113D">
        <w:tc>
          <w:tcPr>
            <w:tcW w:w="4508" w:type="dxa"/>
          </w:tcPr>
          <w:p w14:paraId="5BB12EF6" w14:textId="77777777" w:rsidR="004000A8" w:rsidRPr="003C512A" w:rsidRDefault="004000A8" w:rsidP="004000A8">
            <w:pPr>
              <w:rPr>
                <w:rFonts w:asciiTheme="minorHAnsi" w:hAnsiTheme="minorHAnsi" w:cstheme="minorHAnsi"/>
                <w:sz w:val="22"/>
              </w:rPr>
            </w:pPr>
          </w:p>
        </w:tc>
        <w:tc>
          <w:tcPr>
            <w:tcW w:w="4508" w:type="dxa"/>
          </w:tcPr>
          <w:p w14:paraId="3763869C" w14:textId="77777777" w:rsidR="004000A8" w:rsidRPr="003C512A" w:rsidRDefault="004000A8" w:rsidP="004000A8">
            <w:pPr>
              <w:rPr>
                <w:rFonts w:asciiTheme="minorHAnsi" w:hAnsiTheme="minorHAnsi" w:cstheme="minorHAnsi"/>
                <w:sz w:val="22"/>
              </w:rPr>
            </w:pPr>
          </w:p>
        </w:tc>
      </w:tr>
      <w:tr w:rsidR="004000A8" w:rsidRPr="00985531" w14:paraId="598E0A71" w14:textId="77777777" w:rsidTr="0025113D">
        <w:tc>
          <w:tcPr>
            <w:tcW w:w="4508" w:type="dxa"/>
          </w:tcPr>
          <w:p w14:paraId="454EA56C" w14:textId="55186004" w:rsidR="004000A8" w:rsidRPr="003C512A" w:rsidRDefault="004000A8" w:rsidP="004000A8">
            <w:pPr>
              <w:rPr>
                <w:rFonts w:asciiTheme="minorHAnsi" w:hAnsiTheme="minorHAnsi" w:cstheme="minorHAnsi"/>
                <w:sz w:val="22"/>
                <w:lang w:val="fr-BE"/>
              </w:rPr>
            </w:pPr>
            <w:r w:rsidRPr="003C512A">
              <w:rPr>
                <w:rFonts w:asciiTheme="minorHAnsi" w:eastAsia="Times New Roman" w:hAnsiTheme="minorHAnsi" w:cstheme="minorHAnsi"/>
                <w:bCs/>
                <w:sz w:val="22"/>
                <w:lang w:val="fr-FR" w:eastAsia="fr-FR"/>
              </w:rPr>
              <w:t xml:space="preserve">Insérer un article 40, rédigé comme suit : </w:t>
            </w:r>
          </w:p>
        </w:tc>
        <w:tc>
          <w:tcPr>
            <w:tcW w:w="4508" w:type="dxa"/>
          </w:tcPr>
          <w:p w14:paraId="752CFA5F" w14:textId="23286953" w:rsidR="004000A8" w:rsidRPr="003C512A" w:rsidRDefault="004000A8" w:rsidP="004000A8">
            <w:pPr>
              <w:rPr>
                <w:rFonts w:asciiTheme="minorHAnsi" w:hAnsiTheme="minorHAnsi" w:cstheme="minorHAnsi"/>
                <w:sz w:val="22"/>
              </w:rPr>
            </w:pPr>
            <w:r w:rsidRPr="003C512A">
              <w:rPr>
                <w:rFonts w:asciiTheme="minorHAnsi" w:eastAsia="Times New Roman" w:hAnsiTheme="minorHAnsi" w:cstheme="minorHAnsi"/>
                <w:sz w:val="22"/>
                <w:lang w:eastAsia="fr-FR"/>
              </w:rPr>
              <w:t>Een artikel 40 invoegen, luidende:</w:t>
            </w:r>
          </w:p>
        </w:tc>
      </w:tr>
      <w:tr w:rsidR="004000A8" w:rsidRPr="00985531" w14:paraId="66D67565" w14:textId="77777777" w:rsidTr="0025113D">
        <w:tc>
          <w:tcPr>
            <w:tcW w:w="4508" w:type="dxa"/>
          </w:tcPr>
          <w:p w14:paraId="39337BAD" w14:textId="77777777" w:rsidR="004000A8" w:rsidRPr="00985531" w:rsidRDefault="004000A8" w:rsidP="004000A8">
            <w:pPr>
              <w:rPr>
                <w:rFonts w:cs="Arial"/>
              </w:rPr>
            </w:pPr>
          </w:p>
        </w:tc>
        <w:tc>
          <w:tcPr>
            <w:tcW w:w="4508" w:type="dxa"/>
          </w:tcPr>
          <w:p w14:paraId="071C6189" w14:textId="77777777" w:rsidR="004000A8" w:rsidRPr="00985531" w:rsidRDefault="004000A8" w:rsidP="004000A8"/>
        </w:tc>
      </w:tr>
      <w:tr w:rsidR="004000A8" w:rsidRPr="00985531" w14:paraId="78E7E51F" w14:textId="77777777" w:rsidTr="0025113D">
        <w:tc>
          <w:tcPr>
            <w:tcW w:w="4508" w:type="dxa"/>
          </w:tcPr>
          <w:p w14:paraId="4C629F79" w14:textId="218DE4BA" w:rsidR="004000A8" w:rsidRPr="003C512A" w:rsidRDefault="004000A8" w:rsidP="004000A8">
            <w:pPr>
              <w:jc w:val="both"/>
              <w:rPr>
                <w:rFonts w:asciiTheme="minorHAnsi" w:hAnsiTheme="minorHAnsi" w:cstheme="minorHAnsi"/>
                <w:sz w:val="22"/>
                <w:lang w:val="fr-BE"/>
              </w:rPr>
            </w:pPr>
            <w:r w:rsidRPr="003C512A">
              <w:rPr>
                <w:rFonts w:asciiTheme="minorHAnsi" w:hAnsiTheme="minorHAnsi" w:cstheme="minorHAnsi"/>
                <w:color w:val="000000" w:themeColor="text1"/>
                <w:sz w:val="22"/>
                <w:lang w:val="fr-BE"/>
              </w:rPr>
              <w:t>«</w:t>
            </w:r>
            <w:r w:rsidRPr="003C512A">
              <w:rPr>
                <w:rFonts w:asciiTheme="minorHAnsi" w:hAnsiTheme="minorHAnsi" w:cstheme="minorHAnsi"/>
                <w:sz w:val="22"/>
                <w:lang w:val="fr-BE" w:eastAsia="fr-FR"/>
              </w:rPr>
              <w:t xml:space="preserve"> </w:t>
            </w:r>
            <w:r w:rsidRPr="003C512A">
              <w:rPr>
                <w:rFonts w:asciiTheme="minorHAnsi" w:hAnsiTheme="minorHAnsi" w:cstheme="minorHAnsi"/>
                <w:b/>
                <w:bCs/>
                <w:sz w:val="22"/>
                <w:lang w:val="fr-BE" w:eastAsia="fr-FR"/>
              </w:rPr>
              <w:t>Article 40.</w:t>
            </w:r>
            <w:r w:rsidRPr="003C512A">
              <w:rPr>
                <w:rFonts w:asciiTheme="minorHAnsi" w:hAnsiTheme="minorHAnsi" w:cstheme="minorHAnsi"/>
                <w:sz w:val="22"/>
                <w:lang w:val="fr-BE" w:eastAsia="fr-FR"/>
              </w:rPr>
              <w:t xml:space="preserve">  L’article 127, § 5, alinéa 2 entre au vigueur </w:t>
            </w:r>
            <w:r w:rsidRPr="003C512A">
              <w:rPr>
                <w:rFonts w:asciiTheme="minorHAnsi" w:hAnsiTheme="minorHAnsi" w:cstheme="minorHAnsi"/>
                <w:color w:val="000000" w:themeColor="text1"/>
                <w:sz w:val="22"/>
                <w:lang w:val="fr-BE"/>
              </w:rPr>
              <w:t xml:space="preserve">deux ans après la publication de la présente loi.  </w:t>
            </w:r>
          </w:p>
        </w:tc>
        <w:tc>
          <w:tcPr>
            <w:tcW w:w="4508" w:type="dxa"/>
          </w:tcPr>
          <w:p w14:paraId="7E8CC17D" w14:textId="391DE0BF" w:rsidR="004000A8" w:rsidRPr="003C512A" w:rsidRDefault="004000A8" w:rsidP="004000A8">
            <w:pPr>
              <w:jc w:val="both"/>
              <w:rPr>
                <w:rFonts w:asciiTheme="minorHAnsi" w:hAnsiTheme="minorHAnsi" w:cstheme="minorHAnsi"/>
                <w:sz w:val="22"/>
              </w:rPr>
            </w:pPr>
            <w:r w:rsidRPr="003C512A">
              <w:rPr>
                <w:rFonts w:asciiTheme="minorHAnsi" w:hAnsiTheme="minorHAnsi" w:cstheme="minorHAnsi"/>
                <w:sz w:val="22"/>
              </w:rPr>
              <w:t>"</w:t>
            </w:r>
            <w:r w:rsidRPr="003C512A">
              <w:rPr>
                <w:rFonts w:asciiTheme="minorHAnsi" w:hAnsiTheme="minorHAnsi" w:cstheme="minorHAnsi"/>
                <w:b/>
                <w:sz w:val="22"/>
              </w:rPr>
              <w:t>Artikel 40.</w:t>
            </w:r>
            <w:r w:rsidRPr="003C512A">
              <w:rPr>
                <w:rFonts w:asciiTheme="minorHAnsi" w:hAnsiTheme="minorHAnsi" w:cstheme="minorHAnsi"/>
                <w:sz w:val="22"/>
              </w:rPr>
              <w:t xml:space="preserve"> Artikel 127, § 5, tweede lid, wordt van kracht u</w:t>
            </w:r>
            <w:r w:rsidRPr="003C512A">
              <w:rPr>
                <w:rFonts w:asciiTheme="minorHAnsi" w:hAnsiTheme="minorHAnsi" w:cstheme="minorHAnsi"/>
                <w:color w:val="000000" w:themeColor="text1"/>
                <w:sz w:val="22"/>
              </w:rPr>
              <w:t xml:space="preserve">iterlijk twee jaar na de bekendmaking van deze wet. </w:t>
            </w:r>
          </w:p>
        </w:tc>
      </w:tr>
      <w:tr w:rsidR="004000A8" w:rsidRPr="00985531" w14:paraId="3CAE2442" w14:textId="77777777" w:rsidTr="0025113D">
        <w:tc>
          <w:tcPr>
            <w:tcW w:w="4508" w:type="dxa"/>
          </w:tcPr>
          <w:p w14:paraId="734DDB42" w14:textId="77777777" w:rsidR="004000A8" w:rsidRPr="003C512A" w:rsidRDefault="004000A8" w:rsidP="004000A8">
            <w:pPr>
              <w:jc w:val="both"/>
              <w:rPr>
                <w:rFonts w:asciiTheme="minorHAnsi" w:hAnsiTheme="minorHAnsi" w:cstheme="minorHAnsi"/>
                <w:sz w:val="22"/>
              </w:rPr>
            </w:pPr>
          </w:p>
        </w:tc>
        <w:tc>
          <w:tcPr>
            <w:tcW w:w="4508" w:type="dxa"/>
          </w:tcPr>
          <w:p w14:paraId="0CE15CB4" w14:textId="77777777" w:rsidR="004000A8" w:rsidRPr="003C512A" w:rsidRDefault="004000A8" w:rsidP="004000A8">
            <w:pPr>
              <w:jc w:val="both"/>
              <w:rPr>
                <w:rFonts w:asciiTheme="minorHAnsi" w:hAnsiTheme="minorHAnsi" w:cstheme="minorHAnsi"/>
                <w:sz w:val="22"/>
              </w:rPr>
            </w:pPr>
          </w:p>
        </w:tc>
      </w:tr>
      <w:tr w:rsidR="004000A8" w:rsidRPr="00985531" w14:paraId="654AC6D4" w14:textId="77777777" w:rsidTr="0025113D">
        <w:tc>
          <w:tcPr>
            <w:tcW w:w="4508" w:type="dxa"/>
          </w:tcPr>
          <w:p w14:paraId="7FB1BAA9" w14:textId="431BEDF7" w:rsidR="004000A8" w:rsidRPr="003C512A" w:rsidRDefault="004000A8" w:rsidP="004000A8">
            <w:pPr>
              <w:jc w:val="both"/>
              <w:rPr>
                <w:rFonts w:asciiTheme="minorHAnsi" w:hAnsiTheme="minorHAnsi" w:cstheme="minorHAnsi"/>
                <w:sz w:val="22"/>
                <w:lang w:val="fr-BE"/>
              </w:rPr>
            </w:pPr>
            <w:r w:rsidRPr="003C512A">
              <w:rPr>
                <w:rFonts w:asciiTheme="minorHAnsi" w:hAnsiTheme="minorHAnsi" w:cstheme="minorHAnsi"/>
                <w:sz w:val="22"/>
                <w:lang w:val="fr-BE"/>
              </w:rPr>
              <w:t>Entre l’entrée en vigueur de la présente loi et la date fixée à l’alinéa 1</w:t>
            </w:r>
            <w:r w:rsidRPr="003C512A">
              <w:rPr>
                <w:rFonts w:asciiTheme="minorHAnsi" w:hAnsiTheme="minorHAnsi" w:cstheme="minorHAnsi"/>
                <w:sz w:val="22"/>
                <w:vertAlign w:val="superscript"/>
                <w:lang w:val="fr-BE"/>
              </w:rPr>
              <w:t>er</w:t>
            </w:r>
            <w:r w:rsidRPr="003C512A">
              <w:rPr>
                <w:rFonts w:asciiTheme="minorHAnsi" w:hAnsiTheme="minorHAnsi" w:cstheme="minorHAnsi"/>
                <w:sz w:val="22"/>
                <w:lang w:val="fr-BE"/>
              </w:rPr>
              <w:t xml:space="preserve">, les opérateurs visés à l’article </w:t>
            </w:r>
            <w:r w:rsidRPr="003C512A">
              <w:rPr>
                <w:rFonts w:asciiTheme="minorHAnsi" w:hAnsiTheme="minorHAnsi" w:cstheme="minorHAnsi"/>
                <w:sz w:val="22"/>
                <w:lang w:val="fr-BE" w:eastAsia="fr-FR"/>
              </w:rPr>
              <w:t xml:space="preserve">127, § 5, alinéa 2 </w:t>
            </w:r>
            <w:r w:rsidRPr="003C512A">
              <w:rPr>
                <w:rFonts w:asciiTheme="minorHAnsi" w:hAnsiTheme="minorHAnsi" w:cstheme="minorHAnsi"/>
                <w:color w:val="000000" w:themeColor="text1"/>
                <w:sz w:val="22"/>
                <w:lang w:val="fr-BE"/>
              </w:rPr>
              <w:t>permettent aux abonnés visés à l’alinéa 1</w:t>
            </w:r>
            <w:r w:rsidRPr="003C512A">
              <w:rPr>
                <w:rFonts w:asciiTheme="minorHAnsi" w:hAnsiTheme="minorHAnsi" w:cstheme="minorHAnsi"/>
                <w:color w:val="000000" w:themeColor="text1"/>
                <w:sz w:val="22"/>
                <w:vertAlign w:val="superscript"/>
                <w:lang w:val="fr-BE"/>
              </w:rPr>
              <w:t>er</w:t>
            </w:r>
            <w:r w:rsidRPr="003C512A">
              <w:rPr>
                <w:rFonts w:asciiTheme="minorHAnsi" w:hAnsiTheme="minorHAnsi" w:cstheme="minorHAnsi"/>
                <w:color w:val="000000" w:themeColor="text1"/>
                <w:sz w:val="22"/>
                <w:lang w:val="fr-BE"/>
              </w:rPr>
              <w:t xml:space="preserve">, de s’identifier à l’aide des </w:t>
            </w:r>
            <w:r w:rsidRPr="003C512A">
              <w:rPr>
                <w:rFonts w:asciiTheme="minorHAnsi" w:hAnsiTheme="minorHAnsi" w:cstheme="minorHAnsi"/>
                <w:sz w:val="22"/>
                <w:lang w:val="fr-BE"/>
              </w:rPr>
              <w:t xml:space="preserve"> documents visés à l’article 127, § 5, alinéa 2, 1° à 1</w:t>
            </w:r>
            <w:r w:rsidR="00025E36">
              <w:rPr>
                <w:rFonts w:asciiTheme="minorHAnsi" w:hAnsiTheme="minorHAnsi" w:cstheme="minorHAnsi"/>
                <w:sz w:val="22"/>
                <w:lang w:val="fr-BE"/>
              </w:rPr>
              <w:t>8</w:t>
            </w:r>
            <w:r w:rsidRPr="003C512A">
              <w:rPr>
                <w:rFonts w:asciiTheme="minorHAnsi" w:hAnsiTheme="minorHAnsi" w:cstheme="minorHAnsi"/>
                <w:sz w:val="22"/>
                <w:lang w:val="fr-BE"/>
              </w:rPr>
              <w:t xml:space="preserve">°, </w:t>
            </w:r>
            <w:r w:rsidR="00025E36">
              <w:rPr>
                <w:rFonts w:asciiTheme="minorHAnsi" w:hAnsiTheme="minorHAnsi" w:cstheme="minorHAnsi"/>
                <w:sz w:val="22"/>
                <w:lang w:val="fr-BE"/>
              </w:rPr>
              <w:t>20° à 24°,  26</w:t>
            </w:r>
            <w:r w:rsidRPr="003C512A">
              <w:rPr>
                <w:rFonts w:asciiTheme="minorHAnsi" w:hAnsiTheme="minorHAnsi" w:cstheme="minorHAnsi"/>
                <w:sz w:val="22"/>
                <w:lang w:val="fr-BE"/>
              </w:rPr>
              <w:t xml:space="preserve">°,  </w:t>
            </w:r>
            <w:r w:rsidR="00025E36">
              <w:rPr>
                <w:rFonts w:asciiTheme="minorHAnsi" w:hAnsiTheme="minorHAnsi" w:cstheme="minorHAnsi"/>
                <w:sz w:val="22"/>
                <w:lang w:val="fr-BE"/>
              </w:rPr>
              <w:t>28</w:t>
            </w:r>
            <w:r w:rsidRPr="003C512A">
              <w:rPr>
                <w:rFonts w:asciiTheme="minorHAnsi" w:hAnsiTheme="minorHAnsi" w:cstheme="minorHAnsi"/>
                <w:sz w:val="22"/>
                <w:lang w:val="fr-BE"/>
              </w:rPr>
              <w:t xml:space="preserve">° et </w:t>
            </w:r>
            <w:r w:rsidR="00025E36">
              <w:rPr>
                <w:rFonts w:asciiTheme="minorHAnsi" w:hAnsiTheme="minorHAnsi" w:cstheme="minorHAnsi"/>
                <w:sz w:val="22"/>
                <w:lang w:val="fr-BE"/>
              </w:rPr>
              <w:t>31</w:t>
            </w:r>
            <w:r w:rsidRPr="003C512A">
              <w:rPr>
                <w:rFonts w:asciiTheme="minorHAnsi" w:hAnsiTheme="minorHAnsi" w:cstheme="minorHAnsi"/>
                <w:sz w:val="22"/>
                <w:lang w:val="fr-BE"/>
              </w:rPr>
              <w:t xml:space="preserve">°, </w:t>
            </w:r>
            <w:r w:rsidRPr="003C512A">
              <w:rPr>
                <w:rFonts w:asciiTheme="minorHAnsi" w:hAnsiTheme="minorHAnsi" w:cstheme="minorHAnsi"/>
                <w:color w:val="000000" w:themeColor="text1"/>
                <w:sz w:val="22"/>
                <w:lang w:val="fr-BE"/>
              </w:rPr>
              <w:t>dans le cadre d’au moins une méthode d’identification de leur choix.</w:t>
            </w:r>
          </w:p>
        </w:tc>
        <w:tc>
          <w:tcPr>
            <w:tcW w:w="4508" w:type="dxa"/>
          </w:tcPr>
          <w:p w14:paraId="6052D88F" w14:textId="1D7ED6D0" w:rsidR="004000A8" w:rsidRPr="003C512A" w:rsidRDefault="004000A8" w:rsidP="004000A8">
            <w:pPr>
              <w:jc w:val="both"/>
              <w:rPr>
                <w:rFonts w:asciiTheme="minorHAnsi" w:hAnsiTheme="minorHAnsi" w:cstheme="minorHAnsi"/>
                <w:sz w:val="22"/>
              </w:rPr>
            </w:pPr>
            <w:r w:rsidRPr="003C512A">
              <w:rPr>
                <w:rFonts w:asciiTheme="minorHAnsi" w:hAnsiTheme="minorHAnsi" w:cstheme="minorHAnsi"/>
                <w:sz w:val="22"/>
              </w:rPr>
              <w:t xml:space="preserve">Tussen de inwerkingtreding van deze wet en de in het eerste lid vastgestelde datum maken de in artikel </w:t>
            </w:r>
            <w:r w:rsidRPr="003C512A">
              <w:rPr>
                <w:rFonts w:asciiTheme="minorHAnsi" w:hAnsiTheme="minorHAnsi" w:cstheme="minorHAnsi"/>
                <w:sz w:val="22"/>
                <w:lang w:eastAsia="fr-FR"/>
              </w:rPr>
              <w:t xml:space="preserve">127, § 5, tweede lid, </w:t>
            </w:r>
            <w:r w:rsidRPr="003C512A">
              <w:rPr>
                <w:rFonts w:asciiTheme="minorHAnsi" w:hAnsiTheme="minorHAnsi" w:cstheme="minorHAnsi"/>
                <w:sz w:val="22"/>
              </w:rPr>
              <w:t>bedoelde operatoren het voor de in het eerste lid bedoelde abonnees mogelijk om zich te identificeren aan de hand van de documenten bedoeld in artikel 127, § 5, tweede lid, 1° tot 1</w:t>
            </w:r>
            <w:r w:rsidR="00025E36">
              <w:rPr>
                <w:rFonts w:asciiTheme="minorHAnsi" w:hAnsiTheme="minorHAnsi" w:cstheme="minorHAnsi"/>
                <w:sz w:val="22"/>
              </w:rPr>
              <w:t>8</w:t>
            </w:r>
            <w:r w:rsidRPr="003C512A">
              <w:rPr>
                <w:rFonts w:asciiTheme="minorHAnsi" w:hAnsiTheme="minorHAnsi" w:cstheme="minorHAnsi"/>
                <w:sz w:val="22"/>
              </w:rPr>
              <w:t xml:space="preserve">°, </w:t>
            </w:r>
            <w:r w:rsidR="00025E36">
              <w:rPr>
                <w:rFonts w:asciiTheme="minorHAnsi" w:hAnsiTheme="minorHAnsi" w:cstheme="minorHAnsi"/>
                <w:sz w:val="22"/>
              </w:rPr>
              <w:t>20° tot 24°, 26</w:t>
            </w:r>
            <w:r w:rsidRPr="003C512A">
              <w:rPr>
                <w:rFonts w:asciiTheme="minorHAnsi" w:hAnsiTheme="minorHAnsi" w:cstheme="minorHAnsi"/>
                <w:sz w:val="22"/>
              </w:rPr>
              <w:t xml:space="preserve">°,  </w:t>
            </w:r>
            <w:r w:rsidR="00025E36">
              <w:rPr>
                <w:rFonts w:asciiTheme="minorHAnsi" w:hAnsiTheme="minorHAnsi" w:cstheme="minorHAnsi"/>
                <w:sz w:val="22"/>
              </w:rPr>
              <w:t>28</w:t>
            </w:r>
            <w:r w:rsidRPr="003C512A">
              <w:rPr>
                <w:rFonts w:asciiTheme="minorHAnsi" w:hAnsiTheme="minorHAnsi" w:cstheme="minorHAnsi"/>
                <w:sz w:val="22"/>
              </w:rPr>
              <w:t xml:space="preserve">° en </w:t>
            </w:r>
            <w:r w:rsidR="00025E36">
              <w:rPr>
                <w:rFonts w:asciiTheme="minorHAnsi" w:hAnsiTheme="minorHAnsi" w:cstheme="minorHAnsi"/>
                <w:sz w:val="22"/>
              </w:rPr>
              <w:t>31</w:t>
            </w:r>
            <w:r w:rsidRPr="003C512A">
              <w:rPr>
                <w:rFonts w:asciiTheme="minorHAnsi" w:hAnsiTheme="minorHAnsi" w:cstheme="minorHAnsi"/>
                <w:sz w:val="22"/>
              </w:rPr>
              <w:t>°, in het kader van minstens een identificatiemethode van hun keuze.</w:t>
            </w:r>
          </w:p>
        </w:tc>
      </w:tr>
      <w:tr w:rsidR="004000A8" w:rsidRPr="00985531" w14:paraId="77FC3D9B" w14:textId="77777777" w:rsidTr="0025113D">
        <w:tc>
          <w:tcPr>
            <w:tcW w:w="4508" w:type="dxa"/>
          </w:tcPr>
          <w:p w14:paraId="00BAADE7" w14:textId="77777777" w:rsidR="004000A8" w:rsidRPr="003C512A" w:rsidRDefault="004000A8" w:rsidP="004000A8">
            <w:pPr>
              <w:jc w:val="both"/>
              <w:rPr>
                <w:rFonts w:asciiTheme="minorHAnsi" w:hAnsiTheme="minorHAnsi" w:cstheme="minorHAnsi"/>
                <w:sz w:val="22"/>
              </w:rPr>
            </w:pPr>
          </w:p>
        </w:tc>
        <w:tc>
          <w:tcPr>
            <w:tcW w:w="4508" w:type="dxa"/>
          </w:tcPr>
          <w:p w14:paraId="14AE2633" w14:textId="77777777" w:rsidR="004000A8" w:rsidRPr="003C512A" w:rsidRDefault="004000A8" w:rsidP="004000A8">
            <w:pPr>
              <w:jc w:val="both"/>
              <w:rPr>
                <w:rFonts w:asciiTheme="minorHAnsi" w:hAnsiTheme="minorHAnsi" w:cstheme="minorHAnsi"/>
                <w:sz w:val="22"/>
              </w:rPr>
            </w:pPr>
          </w:p>
        </w:tc>
      </w:tr>
      <w:tr w:rsidR="004000A8" w:rsidRPr="00985531" w14:paraId="1866A24E" w14:textId="77777777" w:rsidTr="0025113D">
        <w:tc>
          <w:tcPr>
            <w:tcW w:w="4508" w:type="dxa"/>
          </w:tcPr>
          <w:p w14:paraId="33DCF43D" w14:textId="15B884F5" w:rsidR="004000A8" w:rsidRPr="003C512A" w:rsidRDefault="004000A8" w:rsidP="004000A8">
            <w:pPr>
              <w:jc w:val="both"/>
              <w:rPr>
                <w:rFonts w:asciiTheme="minorHAnsi" w:hAnsiTheme="minorHAnsi" w:cstheme="minorHAnsi"/>
                <w:sz w:val="22"/>
                <w:lang w:val="fr-BE"/>
              </w:rPr>
            </w:pPr>
            <w:r w:rsidRPr="003C512A">
              <w:rPr>
                <w:rFonts w:asciiTheme="minorHAnsi" w:hAnsiTheme="minorHAnsi" w:cstheme="minorHAnsi"/>
                <w:sz w:val="22"/>
              </w:rPr>
              <w:t xml:space="preserve"> </w:t>
            </w:r>
            <w:r w:rsidRPr="003C512A">
              <w:rPr>
                <w:rFonts w:asciiTheme="minorHAnsi" w:hAnsiTheme="minorHAnsi" w:cstheme="minorHAnsi"/>
                <w:sz w:val="22"/>
                <w:lang w:val="fr-BE"/>
              </w:rPr>
              <w:t xml:space="preserve">Les opérateurs  conservent le nom et le prénom de l’abonné qui est une personne physique </w:t>
            </w:r>
            <w:r w:rsidRPr="003C512A">
              <w:rPr>
                <w:rFonts w:asciiTheme="minorHAnsi" w:hAnsiTheme="minorHAnsi" w:cstheme="minorHAnsi"/>
                <w:sz w:val="22"/>
                <w:lang w:val="fr-BE"/>
              </w:rPr>
              <w:lastRenderedPageBreak/>
              <w:t>prévue à l’article 127, § 6, alinéa 2, 1</w:t>
            </w:r>
            <w:r w:rsidRPr="003C512A">
              <w:rPr>
                <w:rFonts w:asciiTheme="minorHAnsi" w:hAnsiTheme="minorHAnsi" w:cstheme="minorHAnsi"/>
                <w:sz w:val="22"/>
                <w:vertAlign w:val="superscript"/>
                <w:lang w:val="fr-BE"/>
              </w:rPr>
              <w:t>er</w:t>
            </w:r>
            <w:r w:rsidRPr="003C512A">
              <w:rPr>
                <w:rFonts w:asciiTheme="minorHAnsi" w:hAnsiTheme="minorHAnsi" w:cstheme="minorHAnsi"/>
                <w:sz w:val="22"/>
                <w:lang w:val="fr-BE"/>
              </w:rPr>
              <w:t xml:space="preserve"> tiret, au plus tard 24 mois après la publication de la présente loi.</w:t>
            </w:r>
          </w:p>
        </w:tc>
        <w:tc>
          <w:tcPr>
            <w:tcW w:w="4508" w:type="dxa"/>
          </w:tcPr>
          <w:p w14:paraId="3E9294E3" w14:textId="62D16080" w:rsidR="004000A8" w:rsidRPr="003C512A" w:rsidRDefault="004000A8" w:rsidP="004000A8">
            <w:pPr>
              <w:jc w:val="both"/>
              <w:rPr>
                <w:rFonts w:asciiTheme="minorHAnsi" w:hAnsiTheme="minorHAnsi" w:cstheme="minorHAnsi"/>
                <w:sz w:val="22"/>
              </w:rPr>
            </w:pPr>
            <w:r w:rsidRPr="003C512A">
              <w:rPr>
                <w:rFonts w:asciiTheme="minorHAnsi" w:hAnsiTheme="minorHAnsi" w:cstheme="minorHAnsi"/>
                <w:sz w:val="22"/>
              </w:rPr>
              <w:lastRenderedPageBreak/>
              <w:t xml:space="preserve">De operatoren bewaren de naam en voornaam van een abonnee die een natuurlijke persoon is, </w:t>
            </w:r>
            <w:r w:rsidRPr="003C512A">
              <w:rPr>
                <w:rFonts w:asciiTheme="minorHAnsi" w:hAnsiTheme="minorHAnsi" w:cstheme="minorHAnsi"/>
                <w:sz w:val="22"/>
              </w:rPr>
              <w:lastRenderedPageBreak/>
              <w:t>zoals vastgelegd in artikel 127, § 6, tweede lid, 1e streepje, uiterlijk tot 24 maanden na de bekendmaking van deze wet.</w:t>
            </w:r>
          </w:p>
        </w:tc>
      </w:tr>
      <w:tr w:rsidR="004000A8" w:rsidRPr="00985531" w14:paraId="6D45571F" w14:textId="77777777" w:rsidTr="0025113D">
        <w:tc>
          <w:tcPr>
            <w:tcW w:w="4508" w:type="dxa"/>
          </w:tcPr>
          <w:p w14:paraId="346D5C02" w14:textId="77777777" w:rsidR="004000A8" w:rsidRPr="003C512A" w:rsidRDefault="004000A8" w:rsidP="004000A8">
            <w:pPr>
              <w:jc w:val="both"/>
              <w:rPr>
                <w:rFonts w:asciiTheme="minorHAnsi" w:hAnsiTheme="minorHAnsi" w:cstheme="minorHAnsi"/>
                <w:sz w:val="22"/>
              </w:rPr>
            </w:pPr>
          </w:p>
        </w:tc>
        <w:tc>
          <w:tcPr>
            <w:tcW w:w="4508" w:type="dxa"/>
          </w:tcPr>
          <w:p w14:paraId="626F921D" w14:textId="77777777" w:rsidR="004000A8" w:rsidRPr="003C512A" w:rsidRDefault="004000A8" w:rsidP="004000A8">
            <w:pPr>
              <w:jc w:val="both"/>
              <w:rPr>
                <w:rFonts w:asciiTheme="minorHAnsi" w:hAnsiTheme="minorHAnsi" w:cstheme="minorHAnsi"/>
                <w:sz w:val="22"/>
              </w:rPr>
            </w:pPr>
          </w:p>
        </w:tc>
      </w:tr>
      <w:tr w:rsidR="004000A8" w:rsidRPr="00985531" w14:paraId="6C4121BB" w14:textId="77777777" w:rsidTr="0025113D">
        <w:tc>
          <w:tcPr>
            <w:tcW w:w="4508" w:type="dxa"/>
          </w:tcPr>
          <w:p w14:paraId="182C3261" w14:textId="74652C0F" w:rsidR="004000A8" w:rsidRPr="003C512A" w:rsidRDefault="004000A8" w:rsidP="004000A8">
            <w:pPr>
              <w:jc w:val="both"/>
              <w:rPr>
                <w:rFonts w:asciiTheme="minorHAnsi" w:hAnsiTheme="minorHAnsi" w:cstheme="minorHAnsi"/>
                <w:sz w:val="22"/>
                <w:lang w:val="fr-BE"/>
              </w:rPr>
            </w:pPr>
            <w:r w:rsidRPr="003C512A">
              <w:rPr>
                <w:rFonts w:asciiTheme="minorHAnsi" w:hAnsiTheme="minorHAnsi" w:cstheme="minorHAnsi"/>
                <w:color w:val="000000" w:themeColor="text1"/>
                <w:sz w:val="22"/>
                <w:lang w:val="fr-FR"/>
              </w:rPr>
              <w:t xml:space="preserve">A l’exception des  services mobiles accessibles au public fournis au moyen d'une carte prépayée, </w:t>
            </w:r>
            <w:r w:rsidRPr="003C512A">
              <w:rPr>
                <w:rFonts w:asciiTheme="minorHAnsi" w:hAnsiTheme="minorHAnsi" w:cstheme="minorHAnsi"/>
                <w:sz w:val="22"/>
                <w:lang w:val="fr-BE"/>
              </w:rPr>
              <w:t xml:space="preserve"> les opérateurs conservent la date de naissance de l’abonné prévue à l’article 127, § 6, alinéa 2, 2</w:t>
            </w:r>
            <w:r>
              <w:rPr>
                <w:rFonts w:asciiTheme="minorHAnsi" w:hAnsiTheme="minorHAnsi" w:cstheme="minorHAnsi"/>
                <w:sz w:val="22"/>
                <w:vertAlign w:val="superscript"/>
                <w:lang w:val="fr-BE"/>
              </w:rPr>
              <w:t>e</w:t>
            </w:r>
            <w:r w:rsidRPr="003C512A">
              <w:rPr>
                <w:rFonts w:asciiTheme="minorHAnsi" w:hAnsiTheme="minorHAnsi" w:cstheme="minorHAnsi"/>
                <w:sz w:val="22"/>
                <w:lang w:val="fr-BE"/>
              </w:rPr>
              <w:t xml:space="preserve"> tiret, au plus tard  24 mois après la publication de la présente loi. »</w:t>
            </w:r>
          </w:p>
        </w:tc>
        <w:tc>
          <w:tcPr>
            <w:tcW w:w="4508" w:type="dxa"/>
          </w:tcPr>
          <w:p w14:paraId="72957F4A" w14:textId="052AB580" w:rsidR="004000A8" w:rsidRPr="003C512A" w:rsidRDefault="004000A8" w:rsidP="004000A8">
            <w:pPr>
              <w:jc w:val="both"/>
              <w:rPr>
                <w:rFonts w:asciiTheme="minorHAnsi" w:hAnsiTheme="minorHAnsi" w:cstheme="minorHAnsi"/>
                <w:sz w:val="22"/>
              </w:rPr>
            </w:pPr>
            <w:r w:rsidRPr="003C512A">
              <w:rPr>
                <w:rFonts w:asciiTheme="minorHAnsi" w:hAnsiTheme="minorHAnsi" w:cstheme="minorHAnsi"/>
                <w:sz w:val="22"/>
              </w:rPr>
              <w:t xml:space="preserve">Met uitzondering van de voor het publiek beschikbare mobiele diensten die worden aangeboden door middel van een </w:t>
            </w:r>
            <w:proofErr w:type="spellStart"/>
            <w:r w:rsidRPr="003C512A">
              <w:rPr>
                <w:rFonts w:asciiTheme="minorHAnsi" w:hAnsiTheme="minorHAnsi" w:cstheme="minorHAnsi"/>
                <w:sz w:val="22"/>
              </w:rPr>
              <w:t>voorafbetaalde</w:t>
            </w:r>
            <w:proofErr w:type="spellEnd"/>
            <w:r w:rsidRPr="003C512A">
              <w:rPr>
                <w:rFonts w:asciiTheme="minorHAnsi" w:hAnsiTheme="minorHAnsi" w:cstheme="minorHAnsi"/>
                <w:sz w:val="22"/>
              </w:rPr>
              <w:t xml:space="preserve"> kaart, bewaren de operatoren de geboortedatum van de abonnee zoals vastgelegd in artikel 127, § 6, tweede lid, 2</w:t>
            </w:r>
            <w:r w:rsidRPr="003C512A">
              <w:rPr>
                <w:rFonts w:asciiTheme="minorHAnsi" w:hAnsiTheme="minorHAnsi" w:cstheme="minorHAnsi"/>
                <w:sz w:val="22"/>
                <w:vertAlign w:val="superscript"/>
              </w:rPr>
              <w:t>e</w:t>
            </w:r>
            <w:r w:rsidRPr="003C512A">
              <w:rPr>
                <w:rFonts w:asciiTheme="minorHAnsi" w:hAnsiTheme="minorHAnsi" w:cstheme="minorHAnsi"/>
                <w:sz w:val="22"/>
              </w:rPr>
              <w:t xml:space="preserve"> streepje, uiterlijk tot 24 maanden na de bekendmaking van deze wet.”</w:t>
            </w:r>
          </w:p>
        </w:tc>
      </w:tr>
      <w:tr w:rsidR="004000A8" w:rsidRPr="00985531" w14:paraId="7DA46FC8" w14:textId="77777777" w:rsidTr="0025113D">
        <w:tc>
          <w:tcPr>
            <w:tcW w:w="4508" w:type="dxa"/>
          </w:tcPr>
          <w:p w14:paraId="19B7F9D9" w14:textId="77777777" w:rsidR="004000A8" w:rsidRPr="003C512A" w:rsidRDefault="004000A8" w:rsidP="004000A8">
            <w:pPr>
              <w:rPr>
                <w:rFonts w:asciiTheme="minorHAnsi" w:hAnsiTheme="minorHAnsi" w:cstheme="minorHAnsi"/>
                <w:sz w:val="22"/>
              </w:rPr>
            </w:pPr>
          </w:p>
        </w:tc>
        <w:tc>
          <w:tcPr>
            <w:tcW w:w="4508" w:type="dxa"/>
          </w:tcPr>
          <w:p w14:paraId="41F8B780" w14:textId="77777777" w:rsidR="004000A8" w:rsidRPr="003C512A" w:rsidRDefault="004000A8" w:rsidP="004000A8">
            <w:pPr>
              <w:rPr>
                <w:rFonts w:asciiTheme="minorHAnsi" w:hAnsiTheme="minorHAnsi" w:cstheme="minorHAnsi"/>
                <w:sz w:val="22"/>
              </w:rPr>
            </w:pPr>
          </w:p>
        </w:tc>
      </w:tr>
      <w:tr w:rsidR="004000A8" w:rsidRPr="00985531" w14:paraId="48E9DF3F" w14:textId="77777777" w:rsidTr="0025113D">
        <w:tc>
          <w:tcPr>
            <w:tcW w:w="4508" w:type="dxa"/>
          </w:tcPr>
          <w:p w14:paraId="28613408" w14:textId="5281A17A" w:rsidR="004000A8" w:rsidRPr="003C512A" w:rsidRDefault="004000A8" w:rsidP="004000A8">
            <w:pPr>
              <w:jc w:val="center"/>
              <w:rPr>
                <w:rFonts w:asciiTheme="minorHAnsi" w:hAnsiTheme="minorHAnsi" w:cstheme="minorHAnsi"/>
                <w:sz w:val="22"/>
              </w:rPr>
            </w:pPr>
            <w:r w:rsidRPr="003C512A">
              <w:rPr>
                <w:rFonts w:asciiTheme="minorHAnsi" w:hAnsiTheme="minorHAnsi" w:cstheme="minorHAnsi"/>
                <w:b/>
                <w:bCs/>
                <w:sz w:val="22"/>
                <w:lang w:eastAsia="fr-FR"/>
              </w:rPr>
              <w:t>JUSTIFICATION</w:t>
            </w:r>
          </w:p>
        </w:tc>
        <w:tc>
          <w:tcPr>
            <w:tcW w:w="4508" w:type="dxa"/>
          </w:tcPr>
          <w:p w14:paraId="3415F1CC" w14:textId="521CA514" w:rsidR="004000A8" w:rsidRPr="003C512A" w:rsidRDefault="004000A8" w:rsidP="004000A8">
            <w:pPr>
              <w:jc w:val="center"/>
              <w:rPr>
                <w:rFonts w:asciiTheme="minorHAnsi" w:hAnsiTheme="minorHAnsi" w:cstheme="minorHAnsi"/>
                <w:sz w:val="22"/>
              </w:rPr>
            </w:pPr>
            <w:r w:rsidRPr="003C512A">
              <w:rPr>
                <w:rFonts w:asciiTheme="minorHAnsi" w:hAnsiTheme="minorHAnsi" w:cstheme="minorHAnsi"/>
                <w:b/>
                <w:bCs/>
                <w:sz w:val="22"/>
                <w:lang w:val="fr-BE" w:eastAsia="fr-FR"/>
              </w:rPr>
              <w:t>VERANTWOORDING</w:t>
            </w:r>
          </w:p>
        </w:tc>
      </w:tr>
      <w:tr w:rsidR="004000A8" w:rsidRPr="00985531" w14:paraId="36467ACC" w14:textId="77777777" w:rsidTr="0025113D">
        <w:tc>
          <w:tcPr>
            <w:tcW w:w="4508" w:type="dxa"/>
          </w:tcPr>
          <w:p w14:paraId="4F26604F" w14:textId="77777777" w:rsidR="004000A8" w:rsidRPr="003C512A" w:rsidRDefault="004000A8" w:rsidP="004000A8">
            <w:pPr>
              <w:rPr>
                <w:rFonts w:asciiTheme="minorHAnsi" w:hAnsiTheme="minorHAnsi" w:cstheme="minorHAnsi"/>
                <w:sz w:val="22"/>
              </w:rPr>
            </w:pPr>
          </w:p>
        </w:tc>
        <w:tc>
          <w:tcPr>
            <w:tcW w:w="4508" w:type="dxa"/>
          </w:tcPr>
          <w:p w14:paraId="0E498A2C" w14:textId="77777777" w:rsidR="004000A8" w:rsidRPr="003C512A" w:rsidRDefault="004000A8" w:rsidP="004000A8">
            <w:pPr>
              <w:rPr>
                <w:rFonts w:asciiTheme="minorHAnsi" w:hAnsiTheme="minorHAnsi" w:cstheme="minorHAnsi"/>
                <w:sz w:val="22"/>
              </w:rPr>
            </w:pPr>
          </w:p>
        </w:tc>
      </w:tr>
      <w:tr w:rsidR="004000A8" w:rsidRPr="00985531" w14:paraId="766352FF" w14:textId="77777777" w:rsidTr="0025113D">
        <w:tc>
          <w:tcPr>
            <w:tcW w:w="4508" w:type="dxa"/>
          </w:tcPr>
          <w:p w14:paraId="48E1C285" w14:textId="2FF5CF5A" w:rsidR="004000A8" w:rsidRPr="003C512A" w:rsidRDefault="004000A8" w:rsidP="004000A8">
            <w:pPr>
              <w:jc w:val="both"/>
              <w:rPr>
                <w:rFonts w:asciiTheme="minorHAnsi" w:hAnsiTheme="minorHAnsi" w:cstheme="minorHAnsi"/>
                <w:sz w:val="22"/>
                <w:lang w:val="fr-BE"/>
              </w:rPr>
            </w:pPr>
            <w:r w:rsidRPr="003C512A">
              <w:rPr>
                <w:rFonts w:asciiTheme="minorHAnsi" w:hAnsiTheme="minorHAnsi" w:cstheme="minorHAnsi"/>
                <w:sz w:val="22"/>
                <w:lang w:val="fr-BE"/>
              </w:rPr>
              <w:t xml:space="preserve">Tout d’abord, il convient d’indiquer que les modifications à l’article 127 de la loi télécom ne s’appliqueront que pour les contrats postérieurs à l’entrée en vigueur de la loi. En d’autres termes, les opérateurs ne devront pas procéder à une nouvelle identification des abonnés identifiés avant l’entrée en vigueur de la loi. </w:t>
            </w:r>
          </w:p>
        </w:tc>
        <w:tc>
          <w:tcPr>
            <w:tcW w:w="4508" w:type="dxa"/>
          </w:tcPr>
          <w:p w14:paraId="17F03D10" w14:textId="0420766E" w:rsidR="004000A8" w:rsidRPr="003C512A" w:rsidRDefault="004000A8" w:rsidP="004000A8">
            <w:pPr>
              <w:jc w:val="both"/>
              <w:rPr>
                <w:rFonts w:asciiTheme="minorHAnsi" w:hAnsiTheme="minorHAnsi" w:cstheme="minorHAnsi"/>
                <w:sz w:val="22"/>
              </w:rPr>
            </w:pPr>
            <w:r w:rsidRPr="003C512A">
              <w:rPr>
                <w:rFonts w:asciiTheme="minorHAnsi" w:hAnsiTheme="minorHAnsi" w:cstheme="minorHAnsi"/>
                <w:sz w:val="22"/>
              </w:rPr>
              <w:t>Allereerst moet worden vermeld dat de wijzigingen in artikel 127 van de telecomwet enkel van toepassing zullen zijn voor de contracten die na de inwerkingtreding van de wet worden gesloten. De operatoren zullen met andere woorden de abonnees die waren geïdentificeerd voor de inwerkingtreding van de wet, niet opnieuw moeten identificeren.</w:t>
            </w:r>
          </w:p>
        </w:tc>
      </w:tr>
      <w:tr w:rsidR="004000A8" w:rsidRPr="00985531" w14:paraId="7A1A385D" w14:textId="77777777" w:rsidTr="0025113D">
        <w:tc>
          <w:tcPr>
            <w:tcW w:w="4508" w:type="dxa"/>
          </w:tcPr>
          <w:p w14:paraId="23C3DE7E" w14:textId="77777777" w:rsidR="004000A8" w:rsidRPr="00294B75" w:rsidRDefault="004000A8" w:rsidP="004000A8">
            <w:pPr>
              <w:jc w:val="both"/>
              <w:rPr>
                <w:rFonts w:asciiTheme="minorHAnsi" w:hAnsiTheme="minorHAnsi" w:cstheme="minorHAnsi"/>
                <w:sz w:val="22"/>
              </w:rPr>
            </w:pPr>
          </w:p>
        </w:tc>
        <w:tc>
          <w:tcPr>
            <w:tcW w:w="4508" w:type="dxa"/>
          </w:tcPr>
          <w:p w14:paraId="2C3B4D89" w14:textId="77777777" w:rsidR="004000A8" w:rsidRPr="003C512A" w:rsidRDefault="004000A8" w:rsidP="004000A8">
            <w:pPr>
              <w:jc w:val="both"/>
              <w:rPr>
                <w:rFonts w:asciiTheme="minorHAnsi" w:hAnsiTheme="minorHAnsi" w:cstheme="minorHAnsi"/>
                <w:sz w:val="22"/>
              </w:rPr>
            </w:pPr>
          </w:p>
        </w:tc>
      </w:tr>
      <w:tr w:rsidR="004000A8" w:rsidRPr="00985531" w14:paraId="2C621422" w14:textId="77777777" w:rsidTr="0025113D">
        <w:tc>
          <w:tcPr>
            <w:tcW w:w="4508" w:type="dxa"/>
          </w:tcPr>
          <w:p w14:paraId="5B73E5B7" w14:textId="6C6C1F6B" w:rsidR="004000A8" w:rsidRPr="003C512A" w:rsidRDefault="004000A8" w:rsidP="004000A8">
            <w:pPr>
              <w:jc w:val="both"/>
              <w:rPr>
                <w:rFonts w:asciiTheme="minorHAnsi" w:hAnsiTheme="minorHAnsi" w:cstheme="minorHAnsi"/>
                <w:sz w:val="22"/>
                <w:lang w:val="fr-BE"/>
              </w:rPr>
            </w:pPr>
            <w:r w:rsidRPr="003C512A">
              <w:rPr>
                <w:rFonts w:asciiTheme="minorHAnsi" w:hAnsiTheme="minorHAnsi" w:cstheme="minorHAnsi"/>
                <w:sz w:val="22"/>
                <w:lang w:val="fr-BE"/>
              </w:rPr>
              <w:t xml:space="preserve">L’article 127 oblige les opérateurs à accepter toute une série de documents d’identité dans le cadre de l’identification de l’abonné. Dès lors que certains opérateurs n’acceptent pas tous ces documents d’identité en pratique, vu les difficultés d’enregistrer de manière automatique les données qui se trouvent sur ces documents dans leurs bases de données et vu certains doutes qui pourraient exister quant à la fiabilité de certains documents, un délai est donné aux opérateurs pour adapter leurs systèmes. </w:t>
            </w:r>
          </w:p>
        </w:tc>
        <w:tc>
          <w:tcPr>
            <w:tcW w:w="4508" w:type="dxa"/>
          </w:tcPr>
          <w:p w14:paraId="084078AC" w14:textId="0AFE3453" w:rsidR="004000A8" w:rsidRPr="003C512A" w:rsidRDefault="004000A8" w:rsidP="004000A8">
            <w:pPr>
              <w:jc w:val="both"/>
              <w:rPr>
                <w:rFonts w:asciiTheme="minorHAnsi" w:hAnsiTheme="minorHAnsi" w:cstheme="minorHAnsi"/>
                <w:sz w:val="22"/>
              </w:rPr>
            </w:pPr>
            <w:r w:rsidRPr="003C512A">
              <w:rPr>
                <w:rFonts w:asciiTheme="minorHAnsi" w:hAnsiTheme="minorHAnsi" w:cstheme="minorHAnsi"/>
                <w:sz w:val="22"/>
              </w:rPr>
              <w:t>Artikel 127 verplicht de operatoren om een hele reeks identificatiedocumenten te aanvaarden in het kader van de identificatie van de abonnee. Aangezien sommige operatoren in de praktijk niet al deze identificatiedocumenten aanvaarden, gelet op de moeilijkheden om de gegevens die op deze documenten vermeld zijn in hun databanken te registreren en gelet op bepaalde twijfels die zouden kunnen bestaan in verband met de betrouwbaarheid van sommige documenten, wordt aan de operatoren een termijn toegestaan om hun systemen aan te passen.</w:t>
            </w:r>
          </w:p>
        </w:tc>
      </w:tr>
      <w:tr w:rsidR="004000A8" w:rsidRPr="00985531" w14:paraId="0D962A8B" w14:textId="77777777" w:rsidTr="0025113D">
        <w:tc>
          <w:tcPr>
            <w:tcW w:w="4508" w:type="dxa"/>
          </w:tcPr>
          <w:p w14:paraId="6EE78C63" w14:textId="77777777" w:rsidR="004000A8" w:rsidRPr="00294B75" w:rsidRDefault="004000A8" w:rsidP="004000A8">
            <w:pPr>
              <w:jc w:val="both"/>
              <w:rPr>
                <w:rFonts w:asciiTheme="minorHAnsi" w:hAnsiTheme="minorHAnsi" w:cstheme="minorHAnsi"/>
                <w:sz w:val="22"/>
              </w:rPr>
            </w:pPr>
          </w:p>
        </w:tc>
        <w:tc>
          <w:tcPr>
            <w:tcW w:w="4508" w:type="dxa"/>
          </w:tcPr>
          <w:p w14:paraId="4401A14F" w14:textId="77777777" w:rsidR="004000A8" w:rsidRPr="003C512A" w:rsidRDefault="004000A8" w:rsidP="004000A8">
            <w:pPr>
              <w:jc w:val="both"/>
              <w:rPr>
                <w:rFonts w:asciiTheme="minorHAnsi" w:hAnsiTheme="minorHAnsi" w:cstheme="minorHAnsi"/>
                <w:sz w:val="22"/>
              </w:rPr>
            </w:pPr>
          </w:p>
        </w:tc>
      </w:tr>
      <w:tr w:rsidR="004000A8" w:rsidRPr="00985531" w14:paraId="0786DB4A" w14:textId="77777777" w:rsidTr="0025113D">
        <w:tc>
          <w:tcPr>
            <w:tcW w:w="4508" w:type="dxa"/>
          </w:tcPr>
          <w:p w14:paraId="49AB384A" w14:textId="552A0FB8" w:rsidR="004000A8" w:rsidRPr="003C512A" w:rsidRDefault="004000A8" w:rsidP="004000A8">
            <w:pPr>
              <w:jc w:val="both"/>
              <w:rPr>
                <w:rFonts w:asciiTheme="minorHAnsi" w:hAnsiTheme="minorHAnsi" w:cstheme="minorHAnsi"/>
                <w:sz w:val="22"/>
                <w:lang w:val="fr-BE"/>
              </w:rPr>
            </w:pPr>
            <w:r w:rsidRPr="003C512A">
              <w:rPr>
                <w:rFonts w:asciiTheme="minorHAnsi" w:hAnsiTheme="minorHAnsi" w:cstheme="minorHAnsi"/>
                <w:sz w:val="22"/>
                <w:lang w:val="fr-BE"/>
              </w:rPr>
              <w:t>Pour ce qui concerne les données minimales à collecter prévues par l’article 127, § 6, les  opérateurs disposent de 24 mois après la publication de la loi pour mettre en œuvre les nouvelles exigences.</w:t>
            </w:r>
          </w:p>
        </w:tc>
        <w:tc>
          <w:tcPr>
            <w:tcW w:w="4508" w:type="dxa"/>
          </w:tcPr>
          <w:p w14:paraId="489B43DA" w14:textId="49A9EF31" w:rsidR="004000A8" w:rsidRPr="003C512A" w:rsidRDefault="004000A8" w:rsidP="004000A8">
            <w:pPr>
              <w:jc w:val="both"/>
              <w:rPr>
                <w:rFonts w:asciiTheme="minorHAnsi" w:hAnsiTheme="minorHAnsi" w:cstheme="minorHAnsi"/>
                <w:sz w:val="22"/>
              </w:rPr>
            </w:pPr>
            <w:r w:rsidRPr="003C512A">
              <w:rPr>
                <w:rFonts w:asciiTheme="minorHAnsi" w:hAnsiTheme="minorHAnsi" w:cstheme="minorHAnsi"/>
                <w:sz w:val="22"/>
              </w:rPr>
              <w:t>Wat betreft de te verzamelen minimale gegevens waarvan sprake in artikel 127, § 6, beschikken de operatoren over 24 maanden na de bekendmaking van de wet om aan de nieuwe eisen te voldoen.</w:t>
            </w:r>
          </w:p>
        </w:tc>
      </w:tr>
    </w:tbl>
    <w:p w14:paraId="3286A9FF" w14:textId="77777777" w:rsidR="00A907E6" w:rsidRPr="00985531" w:rsidRDefault="00A907E6" w:rsidP="00270C6B"/>
    <w:sectPr w:rsidR="00A907E6" w:rsidRPr="0098553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A6550" w14:textId="77777777" w:rsidR="008B372C" w:rsidRDefault="008B372C" w:rsidP="008B372C">
      <w:pPr>
        <w:spacing w:after="0" w:line="240" w:lineRule="auto"/>
      </w:pPr>
      <w:r>
        <w:separator/>
      </w:r>
    </w:p>
  </w:endnote>
  <w:endnote w:type="continuationSeparator" w:id="0">
    <w:p w14:paraId="78ADA668" w14:textId="77777777" w:rsidR="008B372C" w:rsidRDefault="008B372C" w:rsidP="008B3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19976"/>
      <w:docPartObj>
        <w:docPartGallery w:val="Page Numbers (Bottom of Page)"/>
        <w:docPartUnique/>
      </w:docPartObj>
    </w:sdtPr>
    <w:sdtEndPr/>
    <w:sdtContent>
      <w:p w14:paraId="62893934" w14:textId="37D2D596" w:rsidR="00294B75" w:rsidRDefault="00294B75">
        <w:pPr>
          <w:pStyle w:val="Voettekst"/>
          <w:jc w:val="center"/>
        </w:pPr>
        <w:r>
          <w:fldChar w:fldCharType="begin"/>
        </w:r>
        <w:r>
          <w:instrText>PAGE   \* MERGEFORMAT</w:instrText>
        </w:r>
        <w:r>
          <w:fldChar w:fldCharType="separate"/>
        </w:r>
        <w:r>
          <w:rPr>
            <w:lang w:val="nl-NL"/>
          </w:rPr>
          <w:t>2</w:t>
        </w:r>
        <w:r>
          <w:fldChar w:fldCharType="end"/>
        </w:r>
      </w:p>
    </w:sdtContent>
  </w:sdt>
  <w:p w14:paraId="4FC2F3C4" w14:textId="77777777" w:rsidR="00294B75" w:rsidRDefault="00294B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C471" w14:textId="77777777" w:rsidR="008B372C" w:rsidRDefault="008B372C" w:rsidP="008B372C">
      <w:pPr>
        <w:spacing w:after="0" w:line="240" w:lineRule="auto"/>
      </w:pPr>
      <w:r>
        <w:separator/>
      </w:r>
    </w:p>
  </w:footnote>
  <w:footnote w:type="continuationSeparator" w:id="0">
    <w:p w14:paraId="267CE6CD" w14:textId="77777777" w:rsidR="008B372C" w:rsidRDefault="008B372C" w:rsidP="008B37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157F"/>
    <w:multiLevelType w:val="hybridMultilevel"/>
    <w:tmpl w:val="8AE4F120"/>
    <w:lvl w:ilvl="0" w:tplc="119259CE">
      <w:start w:val="10"/>
      <w:numFmt w:val="bullet"/>
      <w:lvlText w:val="-"/>
      <w:lvlJc w:val="left"/>
      <w:pPr>
        <w:ind w:left="720" w:hanging="360"/>
      </w:pPr>
      <w:rPr>
        <w:rFonts w:ascii="Calibri" w:eastAsiaTheme="minorHAnsi" w:hAnsi="Calibri" w:cs="Calibri" w:hint="default"/>
        <w:color w:val="000000" w:themeColor="text1"/>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3B6061B"/>
    <w:multiLevelType w:val="hybridMultilevel"/>
    <w:tmpl w:val="9986239A"/>
    <w:lvl w:ilvl="0" w:tplc="1BE0D33E">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DB12E5"/>
    <w:multiLevelType w:val="hybridMultilevel"/>
    <w:tmpl w:val="AFBC66DC"/>
    <w:lvl w:ilvl="0" w:tplc="87CE606E">
      <w:start w:val="2"/>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CA032B5"/>
    <w:multiLevelType w:val="hybridMultilevel"/>
    <w:tmpl w:val="FD0446CA"/>
    <w:lvl w:ilvl="0" w:tplc="11EE2FF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AC37849"/>
    <w:multiLevelType w:val="multilevel"/>
    <w:tmpl w:val="D0D4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13D"/>
    <w:rsid w:val="00003C67"/>
    <w:rsid w:val="000129CC"/>
    <w:rsid w:val="00025E36"/>
    <w:rsid w:val="00026FED"/>
    <w:rsid w:val="00037235"/>
    <w:rsid w:val="00045340"/>
    <w:rsid w:val="00045A81"/>
    <w:rsid w:val="00075722"/>
    <w:rsid w:val="000B3975"/>
    <w:rsid w:val="000F32A0"/>
    <w:rsid w:val="000F35C0"/>
    <w:rsid w:val="00121BCF"/>
    <w:rsid w:val="00132B82"/>
    <w:rsid w:val="00136EDB"/>
    <w:rsid w:val="0014723C"/>
    <w:rsid w:val="00151618"/>
    <w:rsid w:val="00194F2C"/>
    <w:rsid w:val="001C1369"/>
    <w:rsid w:val="001C2FB8"/>
    <w:rsid w:val="001D49F5"/>
    <w:rsid w:val="001D550A"/>
    <w:rsid w:val="00205E14"/>
    <w:rsid w:val="00215790"/>
    <w:rsid w:val="00223DEB"/>
    <w:rsid w:val="002275AE"/>
    <w:rsid w:val="002414D3"/>
    <w:rsid w:val="0025113D"/>
    <w:rsid w:val="00251925"/>
    <w:rsid w:val="00267689"/>
    <w:rsid w:val="00270C6B"/>
    <w:rsid w:val="00281341"/>
    <w:rsid w:val="00294B75"/>
    <w:rsid w:val="002C3924"/>
    <w:rsid w:val="002D4DB7"/>
    <w:rsid w:val="002E12F5"/>
    <w:rsid w:val="00305664"/>
    <w:rsid w:val="00311A19"/>
    <w:rsid w:val="00317374"/>
    <w:rsid w:val="0033133C"/>
    <w:rsid w:val="003610CC"/>
    <w:rsid w:val="00390DA1"/>
    <w:rsid w:val="0039499B"/>
    <w:rsid w:val="003B29D5"/>
    <w:rsid w:val="003C512A"/>
    <w:rsid w:val="003D3B28"/>
    <w:rsid w:val="003E0EDF"/>
    <w:rsid w:val="004000A8"/>
    <w:rsid w:val="00416AF7"/>
    <w:rsid w:val="0042084E"/>
    <w:rsid w:val="00453237"/>
    <w:rsid w:val="00470B40"/>
    <w:rsid w:val="00472BDC"/>
    <w:rsid w:val="00474278"/>
    <w:rsid w:val="004844CD"/>
    <w:rsid w:val="004844F1"/>
    <w:rsid w:val="00484876"/>
    <w:rsid w:val="004C503D"/>
    <w:rsid w:val="004F2323"/>
    <w:rsid w:val="005012B8"/>
    <w:rsid w:val="00510B37"/>
    <w:rsid w:val="00530AB0"/>
    <w:rsid w:val="005815E2"/>
    <w:rsid w:val="005858C3"/>
    <w:rsid w:val="005A01BC"/>
    <w:rsid w:val="005C321B"/>
    <w:rsid w:val="005C4713"/>
    <w:rsid w:val="00612B55"/>
    <w:rsid w:val="0062099D"/>
    <w:rsid w:val="006452AE"/>
    <w:rsid w:val="00653D61"/>
    <w:rsid w:val="00673C92"/>
    <w:rsid w:val="00695B8B"/>
    <w:rsid w:val="006A5CAE"/>
    <w:rsid w:val="006E22DB"/>
    <w:rsid w:val="006F79C6"/>
    <w:rsid w:val="00724117"/>
    <w:rsid w:val="007471E0"/>
    <w:rsid w:val="007611B5"/>
    <w:rsid w:val="00792142"/>
    <w:rsid w:val="00793672"/>
    <w:rsid w:val="007B309D"/>
    <w:rsid w:val="007B3F64"/>
    <w:rsid w:val="007D08D1"/>
    <w:rsid w:val="007D71FB"/>
    <w:rsid w:val="00867C3E"/>
    <w:rsid w:val="00885843"/>
    <w:rsid w:val="008910B6"/>
    <w:rsid w:val="008B372C"/>
    <w:rsid w:val="008C1238"/>
    <w:rsid w:val="00906BE2"/>
    <w:rsid w:val="0091738A"/>
    <w:rsid w:val="00920140"/>
    <w:rsid w:val="00947C96"/>
    <w:rsid w:val="00951308"/>
    <w:rsid w:val="00985531"/>
    <w:rsid w:val="009910AA"/>
    <w:rsid w:val="009E07D7"/>
    <w:rsid w:val="00A13922"/>
    <w:rsid w:val="00A13F7A"/>
    <w:rsid w:val="00A26678"/>
    <w:rsid w:val="00A30B47"/>
    <w:rsid w:val="00A61847"/>
    <w:rsid w:val="00A63AA9"/>
    <w:rsid w:val="00A80C6F"/>
    <w:rsid w:val="00A836EA"/>
    <w:rsid w:val="00A907E6"/>
    <w:rsid w:val="00B13DDD"/>
    <w:rsid w:val="00B250BC"/>
    <w:rsid w:val="00B40067"/>
    <w:rsid w:val="00B81FB2"/>
    <w:rsid w:val="00BA197B"/>
    <w:rsid w:val="00BA2FFB"/>
    <w:rsid w:val="00BC1135"/>
    <w:rsid w:val="00BC252F"/>
    <w:rsid w:val="00BC4E38"/>
    <w:rsid w:val="00BE0B48"/>
    <w:rsid w:val="00C1019B"/>
    <w:rsid w:val="00C24DF3"/>
    <w:rsid w:val="00C45B34"/>
    <w:rsid w:val="00C5629D"/>
    <w:rsid w:val="00C75F00"/>
    <w:rsid w:val="00C75FB2"/>
    <w:rsid w:val="00CA2966"/>
    <w:rsid w:val="00CB6730"/>
    <w:rsid w:val="00D06723"/>
    <w:rsid w:val="00D22785"/>
    <w:rsid w:val="00D36BE4"/>
    <w:rsid w:val="00D45090"/>
    <w:rsid w:val="00D463F7"/>
    <w:rsid w:val="00D53AC0"/>
    <w:rsid w:val="00D608D4"/>
    <w:rsid w:val="00D6245E"/>
    <w:rsid w:val="00D637A0"/>
    <w:rsid w:val="00D70F41"/>
    <w:rsid w:val="00D75783"/>
    <w:rsid w:val="00D91799"/>
    <w:rsid w:val="00DA5983"/>
    <w:rsid w:val="00DB53F2"/>
    <w:rsid w:val="00DD15A4"/>
    <w:rsid w:val="00DE7A3F"/>
    <w:rsid w:val="00DF4BA6"/>
    <w:rsid w:val="00E408A9"/>
    <w:rsid w:val="00E4186A"/>
    <w:rsid w:val="00EB164B"/>
    <w:rsid w:val="00ED2262"/>
    <w:rsid w:val="00F12096"/>
    <w:rsid w:val="00F56ABA"/>
    <w:rsid w:val="00F9080B"/>
    <w:rsid w:val="00F9211E"/>
    <w:rsid w:val="00FB1A8A"/>
    <w:rsid w:val="00FC6CFE"/>
    <w:rsid w:val="00FF775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A007F"/>
  <w15:chartTrackingRefBased/>
  <w15:docId w15:val="{55EB9ED3-715C-4425-A1A8-C6D58100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3D61"/>
    <w:rPr>
      <w:rFonts w:ascii="Tahoma" w:hAnsi="Tahoma"/>
      <w:sz w:val="20"/>
    </w:rPr>
  </w:style>
  <w:style w:type="paragraph" w:styleId="Kop1">
    <w:name w:val="heading 1"/>
    <w:basedOn w:val="Standaard"/>
    <w:next w:val="Standaard"/>
    <w:link w:val="Kop1Char"/>
    <w:uiPriority w:val="9"/>
    <w:qFormat/>
    <w:rsid w:val="00F56ABA"/>
    <w:pPr>
      <w:keepNext/>
      <w:keepLines/>
      <w:spacing w:before="240" w:after="0" w:line="480" w:lineRule="auto"/>
      <w:jc w:val="center"/>
      <w:outlineLvl w:val="0"/>
    </w:pPr>
    <w:rPr>
      <w:rFonts w:ascii="Calibri" w:eastAsiaTheme="majorEastAsia" w:hAnsi="Calibri" w:cstheme="majorBidi"/>
      <w:b/>
      <w:sz w:val="22"/>
      <w:szCs w:val="32"/>
    </w:rPr>
  </w:style>
  <w:style w:type="paragraph" w:styleId="Kop2">
    <w:name w:val="heading 2"/>
    <w:basedOn w:val="Standaard"/>
    <w:next w:val="Standaard"/>
    <w:link w:val="Kop2Char"/>
    <w:uiPriority w:val="9"/>
    <w:unhideWhenUsed/>
    <w:qFormat/>
    <w:rsid w:val="009910AA"/>
    <w:pPr>
      <w:keepNext/>
      <w:keepLines/>
      <w:spacing w:before="40" w:after="0"/>
      <w:jc w:val="center"/>
      <w:outlineLvl w:val="1"/>
    </w:pPr>
    <w:rPr>
      <w:rFonts w:ascii="Calibri" w:eastAsiaTheme="majorEastAsia" w:hAnsi="Calibri" w:cstheme="majorBidi"/>
      <w:b/>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6ABA"/>
    <w:rPr>
      <w:rFonts w:ascii="Calibri" w:eastAsiaTheme="majorEastAsia" w:hAnsi="Calibri" w:cstheme="majorBidi"/>
      <w:b/>
      <w:szCs w:val="32"/>
    </w:rPr>
  </w:style>
  <w:style w:type="paragraph" w:styleId="Titel">
    <w:name w:val="Title"/>
    <w:basedOn w:val="Standaard"/>
    <w:next w:val="Standaard"/>
    <w:link w:val="TitelChar"/>
    <w:uiPriority w:val="10"/>
    <w:qFormat/>
    <w:rsid w:val="00A907E6"/>
    <w:pPr>
      <w:spacing w:after="0" w:line="240" w:lineRule="auto"/>
      <w:contextualSpacing/>
    </w:pPr>
    <w:rPr>
      <w:rFonts w:eastAsiaTheme="majorEastAsia" w:cstheme="majorBidi"/>
      <w:spacing w:val="-10"/>
      <w:kern w:val="28"/>
      <w:sz w:val="76"/>
      <w:szCs w:val="56"/>
    </w:rPr>
  </w:style>
  <w:style w:type="character" w:customStyle="1" w:styleId="TitelChar">
    <w:name w:val="Titel Char"/>
    <w:basedOn w:val="Standaardalinea-lettertype"/>
    <w:link w:val="Titel"/>
    <w:uiPriority w:val="10"/>
    <w:rsid w:val="00A907E6"/>
    <w:rPr>
      <w:rFonts w:ascii="Tahoma" w:eastAsiaTheme="majorEastAsia" w:hAnsi="Tahoma" w:cstheme="majorBidi"/>
      <w:spacing w:val="-10"/>
      <w:kern w:val="28"/>
      <w:sz w:val="76"/>
      <w:szCs w:val="56"/>
    </w:rPr>
  </w:style>
  <w:style w:type="character" w:customStyle="1" w:styleId="Kop2Char">
    <w:name w:val="Kop 2 Char"/>
    <w:basedOn w:val="Standaardalinea-lettertype"/>
    <w:link w:val="Kop2"/>
    <w:uiPriority w:val="9"/>
    <w:rsid w:val="009910AA"/>
    <w:rPr>
      <w:rFonts w:ascii="Calibri" w:eastAsiaTheme="majorEastAsia" w:hAnsi="Calibri" w:cstheme="majorBidi"/>
      <w:b/>
      <w:szCs w:val="26"/>
    </w:rPr>
  </w:style>
  <w:style w:type="table" w:styleId="Tabelraster">
    <w:name w:val="Table Grid"/>
    <w:basedOn w:val="Standaardtabel"/>
    <w:uiPriority w:val="39"/>
    <w:rsid w:val="00251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A80C6F"/>
    <w:pPr>
      <w:spacing w:before="240" w:after="0" w:line="240" w:lineRule="auto"/>
      <w:ind w:left="720"/>
      <w:contextualSpacing/>
      <w:jc w:val="both"/>
    </w:pPr>
    <w:rPr>
      <w:rFonts w:ascii="Arial" w:hAnsi="Arial"/>
      <w:sz w:val="22"/>
      <w:lang w:val="en-GB"/>
    </w:rPr>
  </w:style>
  <w:style w:type="character" w:customStyle="1" w:styleId="LijstalineaChar">
    <w:name w:val="Lijstalinea Char"/>
    <w:basedOn w:val="Standaardalinea-lettertype"/>
    <w:link w:val="Lijstalinea"/>
    <w:uiPriority w:val="34"/>
    <w:rsid w:val="00A80C6F"/>
    <w:rPr>
      <w:rFonts w:ascii="Arial" w:hAnsi="Arial"/>
      <w:lang w:val="en-GB"/>
    </w:rPr>
  </w:style>
  <w:style w:type="character" w:styleId="Nadruk">
    <w:name w:val="Emphasis"/>
    <w:basedOn w:val="Standaardalinea-lettertype"/>
    <w:uiPriority w:val="20"/>
    <w:qFormat/>
    <w:rsid w:val="00A80C6F"/>
    <w:rPr>
      <w:i/>
      <w:iCs/>
    </w:rPr>
  </w:style>
  <w:style w:type="paragraph" w:styleId="Revisie">
    <w:name w:val="Revision"/>
    <w:hidden/>
    <w:uiPriority w:val="99"/>
    <w:semiHidden/>
    <w:rsid w:val="00037235"/>
    <w:pPr>
      <w:spacing w:after="0" w:line="240" w:lineRule="auto"/>
    </w:pPr>
    <w:rPr>
      <w:rFonts w:ascii="Tahoma" w:hAnsi="Tahoma"/>
      <w:sz w:val="20"/>
    </w:rPr>
  </w:style>
  <w:style w:type="character" w:styleId="Verwijzingopmerking">
    <w:name w:val="annotation reference"/>
    <w:basedOn w:val="Standaardalinea-lettertype"/>
    <w:uiPriority w:val="99"/>
    <w:semiHidden/>
    <w:unhideWhenUsed/>
    <w:rsid w:val="00792142"/>
    <w:rPr>
      <w:sz w:val="16"/>
      <w:szCs w:val="16"/>
    </w:rPr>
  </w:style>
  <w:style w:type="paragraph" w:styleId="Tekstopmerking">
    <w:name w:val="annotation text"/>
    <w:basedOn w:val="Standaard"/>
    <w:link w:val="TekstopmerkingChar"/>
    <w:uiPriority w:val="99"/>
    <w:unhideWhenUsed/>
    <w:rsid w:val="00792142"/>
    <w:pPr>
      <w:spacing w:after="180" w:line="240" w:lineRule="auto"/>
    </w:pPr>
    <w:rPr>
      <w:rFonts w:asciiTheme="minorHAnsi" w:hAnsiTheme="minorHAnsi" w:cs="Times New Roman"/>
      <w:kern w:val="24"/>
      <w:sz w:val="22"/>
      <w:szCs w:val="20"/>
      <w:lang w:eastAsia="nl-BE"/>
      <w14:ligatures w14:val="standardContextual"/>
      <w14:numForm w14:val="lining"/>
    </w:rPr>
  </w:style>
  <w:style w:type="character" w:customStyle="1" w:styleId="TekstopmerkingChar">
    <w:name w:val="Tekst opmerking Char"/>
    <w:basedOn w:val="Standaardalinea-lettertype"/>
    <w:link w:val="Tekstopmerking"/>
    <w:uiPriority w:val="99"/>
    <w:rsid w:val="00792142"/>
    <w:rPr>
      <w:rFonts w:cs="Times New Roman"/>
      <w:kern w:val="24"/>
      <w:szCs w:val="20"/>
      <w:lang w:eastAsia="nl-BE"/>
      <w14:ligatures w14:val="standardContextual"/>
      <w14:numForm w14:val="lining"/>
    </w:rPr>
  </w:style>
  <w:style w:type="paragraph" w:styleId="Onderwerpvanopmerking">
    <w:name w:val="annotation subject"/>
    <w:basedOn w:val="Tekstopmerking"/>
    <w:next w:val="Tekstopmerking"/>
    <w:link w:val="OnderwerpvanopmerkingChar"/>
    <w:uiPriority w:val="99"/>
    <w:semiHidden/>
    <w:unhideWhenUsed/>
    <w:rsid w:val="000129CC"/>
    <w:pPr>
      <w:spacing w:after="160"/>
    </w:pPr>
    <w:rPr>
      <w:rFonts w:ascii="Tahoma" w:hAnsi="Tahoma" w:cstheme="minorBidi"/>
      <w:b/>
      <w:bCs/>
      <w:kern w:val="0"/>
      <w:sz w:val="20"/>
      <w:lang w:eastAsia="en-US"/>
      <w14:ligatures w14:val="none"/>
      <w14:numForm w14:val="default"/>
    </w:rPr>
  </w:style>
  <w:style w:type="character" w:customStyle="1" w:styleId="OnderwerpvanopmerkingChar">
    <w:name w:val="Onderwerp van opmerking Char"/>
    <w:basedOn w:val="TekstopmerkingChar"/>
    <w:link w:val="Onderwerpvanopmerking"/>
    <w:uiPriority w:val="99"/>
    <w:semiHidden/>
    <w:rsid w:val="000129CC"/>
    <w:rPr>
      <w:rFonts w:ascii="Tahoma" w:hAnsi="Tahoma" w:cs="Times New Roman"/>
      <w:b/>
      <w:bCs/>
      <w:kern w:val="24"/>
      <w:sz w:val="20"/>
      <w:szCs w:val="20"/>
      <w:lang w:eastAsia="nl-BE"/>
      <w14:ligatures w14:val="standardContextual"/>
      <w14:numForm w14:val="lining"/>
    </w:rPr>
  </w:style>
  <w:style w:type="character" w:styleId="Hyperlink">
    <w:name w:val="Hyperlink"/>
    <w:basedOn w:val="Standaardalinea-lettertype"/>
    <w:uiPriority w:val="99"/>
    <w:unhideWhenUsed/>
    <w:rsid w:val="0033133C"/>
    <w:rPr>
      <w:color w:val="32A8E0" w:themeColor="hyperlink"/>
      <w:u w:val="single"/>
    </w:rPr>
  </w:style>
  <w:style w:type="character" w:styleId="Onopgelostemelding">
    <w:name w:val="Unresolved Mention"/>
    <w:basedOn w:val="Standaardalinea-lettertype"/>
    <w:uiPriority w:val="99"/>
    <w:semiHidden/>
    <w:unhideWhenUsed/>
    <w:rsid w:val="0033133C"/>
    <w:rPr>
      <w:color w:val="605E5C"/>
      <w:shd w:val="clear" w:color="auto" w:fill="E1DFDD"/>
    </w:rPr>
  </w:style>
  <w:style w:type="character" w:styleId="GevolgdeHyperlink">
    <w:name w:val="FollowedHyperlink"/>
    <w:basedOn w:val="Standaardalinea-lettertype"/>
    <w:uiPriority w:val="99"/>
    <w:semiHidden/>
    <w:unhideWhenUsed/>
    <w:rsid w:val="0033133C"/>
    <w:rPr>
      <w:color w:val="834B93" w:themeColor="followedHyperlink"/>
      <w:u w:val="single"/>
    </w:rPr>
  </w:style>
  <w:style w:type="paragraph" w:styleId="Inhopg3">
    <w:name w:val="toc 3"/>
    <w:basedOn w:val="Standaard"/>
    <w:next w:val="Standaard"/>
    <w:autoRedefine/>
    <w:uiPriority w:val="39"/>
    <w:qFormat/>
    <w:rsid w:val="00B13DDD"/>
    <w:pPr>
      <w:spacing w:after="0" w:line="240" w:lineRule="auto"/>
      <w:ind w:left="400"/>
      <w:jc w:val="both"/>
    </w:pPr>
    <w:rPr>
      <w:rFonts w:ascii="Arial" w:eastAsia="Times New Roman" w:hAnsi="Arial" w:cs="Times New Roman"/>
      <w:i/>
      <w:spacing w:val="-5"/>
      <w:sz w:val="22"/>
      <w:lang w:val="fr-BE"/>
    </w:rPr>
  </w:style>
  <w:style w:type="paragraph" w:styleId="Kopvaninhoudsopgave">
    <w:name w:val="TOC Heading"/>
    <w:basedOn w:val="Kop1"/>
    <w:next w:val="Standaard"/>
    <w:uiPriority w:val="39"/>
    <w:unhideWhenUsed/>
    <w:qFormat/>
    <w:rsid w:val="00B13DDD"/>
    <w:pPr>
      <w:spacing w:line="240" w:lineRule="auto"/>
      <w:jc w:val="both"/>
      <w:outlineLvl w:val="9"/>
    </w:pPr>
    <w:rPr>
      <w:rFonts w:asciiTheme="majorHAnsi" w:hAnsiTheme="majorHAnsi"/>
      <w:sz w:val="32"/>
      <w:lang w:val="fr-BE"/>
    </w:rPr>
  </w:style>
  <w:style w:type="paragraph" w:styleId="Inhopg1">
    <w:name w:val="toc 1"/>
    <w:basedOn w:val="Standaard"/>
    <w:next w:val="Standaard"/>
    <w:autoRedefine/>
    <w:uiPriority w:val="39"/>
    <w:unhideWhenUsed/>
    <w:rsid w:val="00294B75"/>
    <w:pPr>
      <w:tabs>
        <w:tab w:val="right" w:leader="dot" w:pos="9016"/>
      </w:tabs>
      <w:spacing w:after="100"/>
    </w:pPr>
  </w:style>
  <w:style w:type="paragraph" w:styleId="Koptekst">
    <w:name w:val="header"/>
    <w:basedOn w:val="Standaard"/>
    <w:link w:val="KoptekstChar"/>
    <w:uiPriority w:val="99"/>
    <w:unhideWhenUsed/>
    <w:rsid w:val="008B37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372C"/>
    <w:rPr>
      <w:rFonts w:ascii="Tahoma" w:hAnsi="Tahoma"/>
      <w:sz w:val="20"/>
    </w:rPr>
  </w:style>
  <w:style w:type="paragraph" w:styleId="Voettekst">
    <w:name w:val="footer"/>
    <w:basedOn w:val="Standaard"/>
    <w:link w:val="VoettekstChar"/>
    <w:uiPriority w:val="99"/>
    <w:unhideWhenUsed/>
    <w:rsid w:val="008B37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372C"/>
    <w:rPr>
      <w:rFonts w:ascii="Tahoma" w:hAnsi="Tahoma"/>
      <w:sz w:val="20"/>
    </w:rPr>
  </w:style>
  <w:style w:type="paragraph" w:styleId="Inhopg2">
    <w:name w:val="toc 2"/>
    <w:basedOn w:val="Standaard"/>
    <w:next w:val="Standaard"/>
    <w:autoRedefine/>
    <w:uiPriority w:val="39"/>
    <w:unhideWhenUsed/>
    <w:rsid w:val="00294B75"/>
    <w:pPr>
      <w:spacing w:after="100"/>
      <w:ind w:left="200"/>
    </w:pPr>
  </w:style>
  <w:style w:type="paragraph" w:customStyle="1" w:styleId="xxmsonormal">
    <w:name w:val="x_xmsonormal"/>
    <w:basedOn w:val="Standaard"/>
    <w:rsid w:val="00D45090"/>
    <w:pPr>
      <w:spacing w:after="0" w:line="240" w:lineRule="auto"/>
    </w:pPr>
    <w:rPr>
      <w:rFonts w:ascii="Calibri" w:hAnsi="Calibri" w:cs="Calibri"/>
      <w:sz w:val="22"/>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4062">
      <w:bodyDiv w:val="1"/>
      <w:marLeft w:val="0"/>
      <w:marRight w:val="0"/>
      <w:marTop w:val="0"/>
      <w:marBottom w:val="0"/>
      <w:divBdr>
        <w:top w:val="none" w:sz="0" w:space="0" w:color="auto"/>
        <w:left w:val="none" w:sz="0" w:space="0" w:color="auto"/>
        <w:bottom w:val="none" w:sz="0" w:space="0" w:color="auto"/>
        <w:right w:val="none" w:sz="0" w:space="0" w:color="auto"/>
      </w:divBdr>
    </w:div>
    <w:div w:id="211624179">
      <w:bodyDiv w:val="1"/>
      <w:marLeft w:val="0"/>
      <w:marRight w:val="0"/>
      <w:marTop w:val="0"/>
      <w:marBottom w:val="0"/>
      <w:divBdr>
        <w:top w:val="none" w:sz="0" w:space="0" w:color="auto"/>
        <w:left w:val="none" w:sz="0" w:space="0" w:color="auto"/>
        <w:bottom w:val="none" w:sz="0" w:space="0" w:color="auto"/>
        <w:right w:val="none" w:sz="0" w:space="0" w:color="auto"/>
      </w:divBdr>
    </w:div>
    <w:div w:id="441268033">
      <w:bodyDiv w:val="1"/>
      <w:marLeft w:val="0"/>
      <w:marRight w:val="0"/>
      <w:marTop w:val="0"/>
      <w:marBottom w:val="0"/>
      <w:divBdr>
        <w:top w:val="none" w:sz="0" w:space="0" w:color="auto"/>
        <w:left w:val="none" w:sz="0" w:space="0" w:color="auto"/>
        <w:bottom w:val="none" w:sz="0" w:space="0" w:color="auto"/>
        <w:right w:val="none" w:sz="0" w:space="0" w:color="auto"/>
      </w:divBdr>
    </w:div>
    <w:div w:id="612638221">
      <w:bodyDiv w:val="1"/>
      <w:marLeft w:val="0"/>
      <w:marRight w:val="0"/>
      <w:marTop w:val="0"/>
      <w:marBottom w:val="0"/>
      <w:divBdr>
        <w:top w:val="none" w:sz="0" w:space="0" w:color="auto"/>
        <w:left w:val="none" w:sz="0" w:space="0" w:color="auto"/>
        <w:bottom w:val="none" w:sz="0" w:space="0" w:color="auto"/>
        <w:right w:val="none" w:sz="0" w:space="0" w:color="auto"/>
      </w:divBdr>
    </w:div>
    <w:div w:id="1805388866">
      <w:bodyDiv w:val="1"/>
      <w:marLeft w:val="0"/>
      <w:marRight w:val="0"/>
      <w:marTop w:val="0"/>
      <w:marBottom w:val="0"/>
      <w:divBdr>
        <w:top w:val="none" w:sz="0" w:space="0" w:color="auto"/>
        <w:left w:val="none" w:sz="0" w:space="0" w:color="auto"/>
        <w:bottom w:val="none" w:sz="0" w:space="0" w:color="auto"/>
        <w:right w:val="none" w:sz="0" w:space="0" w:color="auto"/>
      </w:divBdr>
    </w:div>
    <w:div w:id="196741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BIPT-IBPT">
  <a:themeElements>
    <a:clrScheme name="IBPT Stijlgids 2">
      <a:dk1>
        <a:sysClr val="windowText" lastClr="000000"/>
      </a:dk1>
      <a:lt1>
        <a:sysClr val="window" lastClr="FFFFFF"/>
      </a:lt1>
      <a:dk2>
        <a:srgbClr val="292A81"/>
      </a:dk2>
      <a:lt2>
        <a:srgbClr val="E0EDFA"/>
      </a:lt2>
      <a:accent1>
        <a:srgbClr val="32A8E0"/>
      </a:accent1>
      <a:accent2>
        <a:srgbClr val="C73432"/>
      </a:accent2>
      <a:accent3>
        <a:srgbClr val="D06516"/>
      </a:accent3>
      <a:accent4>
        <a:srgbClr val="EAB80F"/>
      </a:accent4>
      <a:accent5>
        <a:srgbClr val="A1C049"/>
      </a:accent5>
      <a:accent6>
        <a:srgbClr val="53AAA7"/>
      </a:accent6>
      <a:hlink>
        <a:srgbClr val="32A8E0"/>
      </a:hlink>
      <a:folHlink>
        <a:srgbClr val="834B9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Add Dossier Service and Service Nr Eventhandler (Added)</Name>
    <Synchronization>Synchronous</Synchronization>
    <Type>10001</Type>
    <SequenceNumber>10030</SequenceNumber>
    <Assembly>BIPT.Ged, Version=1.0.0.0, Culture=neutral, PublicKeyToken=423c9e81cd84949a</Assembly>
    <Class>BIPT.Ged.EventReceivers.FillOutDossierServiceAndServiceNumber.FillOutDossierServiceAndServiceNumber</Class>
    <Data/>
    <Filter/>
  </Receiver>
  <Receiver>
    <Name>addin</Name>
    <Synchronization>Synchronous</Synchronization>
    <Type>1</Type>
    <SequenceNumber>10240</SequenceNumber>
    <Assembly>BIPT.Ged, Version=1.0.0.0, Culture=neutral, PublicKeyToken=423c9e81cd84949a</Assembly>
    <Class>BIPT.Ged.EventReceivers.FillOutDossierServiceAndServiceNumber.FillOutDossierServiceAndServiceNumber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ssier Document FR" ma:contentTypeID="0x0101004FA21861B553C741A1AA3F2E5831C1CC0507009B219235E488424E858FD5EE5506841D" ma:contentTypeVersion="66" ma:contentTypeDescription="Een nieuw document maken." ma:contentTypeScope="" ma:versionID="54b1b19eda27af1f23de764352b334bd">
  <xsd:schema xmlns:xsd="http://www.w3.org/2001/XMLSchema" xmlns:xs="http://www.w3.org/2001/XMLSchema" xmlns:p="http://schemas.microsoft.com/office/2006/metadata/properties" xmlns:ns2="2b4b6fc7-bde4-44a8-8bca-a78eb25a27e9" targetNamespace="http://schemas.microsoft.com/office/2006/metadata/properties" ma:root="true" ma:fieldsID="4877b5d9374d1717e04382829402bc6b" ns2:_="">
    <xsd:import namespace="2b4b6fc7-bde4-44a8-8bca-a78eb25a27e9"/>
    <xsd:element name="properties">
      <xsd:complexType>
        <xsd:sequence>
          <xsd:element name="documentManagement">
            <xsd:complexType>
              <xsd:all>
                <xsd:element ref="ns2:Dossier_x0020_Number" minOccurs="0"/>
                <xsd:element ref="ns2:History_x0020_of_x0020_Remarks" minOccurs="0"/>
                <xsd:element ref="ns2:Administrative" minOccurs="0"/>
                <xsd:element ref="ns2:Confidential1" minOccurs="0"/>
                <xsd:element ref="ns2:Version_x0020_Published_x0020_To_x0020_Library" minOccurs="0"/>
                <xsd:element ref="ns2:_dlc_DocIdUrl" minOccurs="0"/>
                <xsd:element ref="ns2:_dlc_DocIdPersistId" minOccurs="0"/>
                <xsd:element ref="ns2:abfcb1f17d5f4555baa428617776f0c1" minOccurs="0"/>
                <xsd:element ref="ns2:TaxCatchAllLabel" minOccurs="0"/>
                <xsd:element ref="ns2:d4ec9b080060429989fa5f940ee3f852" minOccurs="0"/>
                <xsd:element ref="ns2:TaxCatchAll" minOccurs="0"/>
                <xsd:element ref="ns2:o3cf37d2a5d34fd7955003a053893e5e" minOccurs="0"/>
                <xsd:element ref="ns2:_dlc_DocId" minOccurs="0"/>
                <xsd:element ref="ns2:Version_x0020_Published_x0020_to_x0020_Internet" minOccurs="0"/>
                <xsd:element ref="ns2:QuickPartDocumentId" minOccurs="0"/>
                <xsd:element ref="ns2:Maste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b6fc7-bde4-44a8-8bca-a78eb25a27e9" elementFormDefault="qualified">
    <xsd:import namespace="http://schemas.microsoft.com/office/2006/documentManagement/types"/>
    <xsd:import namespace="http://schemas.microsoft.com/office/infopath/2007/PartnerControls"/>
    <xsd:element name="Dossier_x0020_Number" ma:index="5" nillable="true" ma:displayName="Dossier Number" ma:internalName="Dossier_x0020_Number">
      <xsd:simpleType>
        <xsd:restriction base="dms:Text">
          <xsd:maxLength value="255"/>
        </xsd:restriction>
      </xsd:simpleType>
    </xsd:element>
    <xsd:element name="History_x0020_of_x0020_Remarks" ma:index="6" nillable="true" ma:displayName="History of Remarks" ma:internalName="History_x0020_of_x0020_Remarks">
      <xsd:simpleType>
        <xsd:restriction base="dms:Note">
          <xsd:maxLength value="255"/>
        </xsd:restriction>
      </xsd:simpleType>
    </xsd:element>
    <xsd:element name="Administrative" ma:index="7" nillable="true" ma:displayName="Administrative" ma:default="0" ma:internalName="Administrative">
      <xsd:simpleType>
        <xsd:restriction base="dms:Boolean"/>
      </xsd:simpleType>
    </xsd:element>
    <xsd:element name="Confidential1" ma:index="8" nillable="true" ma:displayName="Confidential" ma:default="0" ma:internalName="Confidential1">
      <xsd:simpleType>
        <xsd:restriction base="dms:Boolean"/>
      </xsd:simpleType>
    </xsd:element>
    <xsd:element name="Version_x0020_Published_x0020_To_x0020_Library" ma:index="9" nillable="true" ma:displayName="Version Published to Library" ma:internalName="Version_x0020_Published_x0020_To_x0020_Library">
      <xsd:simpleType>
        <xsd:restriction base="dms:Text">
          <xsd:maxLength value="255"/>
        </xsd:restrictio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abfcb1f17d5f4555baa428617776f0c1" ma:index="12" nillable="true" ma:taxonomy="true" ma:internalName="abfcb1f17d5f4555baa428617776f0c1" ma:taxonomyFieldName="Document_x0020_Type" ma:displayName="Document Type" ma:default="" ma:fieldId="{abfcb1f1-7d5f-4555-baa4-28617776f0c1}" ma:sspId="75b52628-4ae0-409d-b79e-6d0521b2c784" ma:termSetId="0add2e65-f722-4dcd-91e5-e26bd7158a0c" ma:anchorId="00000000-0000-0000-0000-000000000000" ma:open="false" ma:isKeyword="false">
      <xsd:complexType>
        <xsd:sequence>
          <xsd:element ref="pc:Terms" minOccurs="0" maxOccurs="1"/>
        </xsd:sequence>
      </xsd:complexType>
    </xsd:element>
    <xsd:element name="TaxCatchAllLabel" ma:index="14" nillable="true" ma:displayName="Taxonomy Catch All Column1" ma:hidden="true" ma:list="{aacb5312-317a-4e89-849f-bd5396de7844}" ma:internalName="TaxCatchAllLabel" ma:readOnly="true" ma:showField="CatchAllDataLabel"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d4ec9b080060429989fa5f940ee3f852" ma:index="18" nillable="true" ma:taxonomy="true" ma:internalName="d4ec9b080060429989fa5f940ee3f852" ma:taxonomyFieldName="Service1" ma:displayName="Service" ma:readOnly="false" ma:default="" ma:fieldId="{d4ec9b08-0060-4299-89fa-5f940ee3f852}" ma:sspId="75b52628-4ae0-409d-b79e-6d0521b2c784" ma:termSetId="46b8dc2a-6372-4a7b-bdd4-6b0c5e787490"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aacb5312-317a-4e89-849f-bd5396de7844}" ma:internalName="TaxCatchAll" ma:showField="CatchAllData" ma:web="ee4a8943-b5a3-4828-a533-4ae5fe2be810">
      <xsd:complexType>
        <xsd:complexContent>
          <xsd:extension base="dms:MultiChoiceLookup">
            <xsd:sequence>
              <xsd:element name="Value" type="dms:Lookup" maxOccurs="unbounded" minOccurs="0" nillable="true"/>
            </xsd:sequence>
          </xsd:extension>
        </xsd:complexContent>
      </xsd:complexType>
    </xsd:element>
    <xsd:element name="o3cf37d2a5d34fd7955003a053893e5e" ma:index="20" nillable="true" ma:taxonomy="true" ma:internalName="o3cf37d2a5d34fd7955003a053893e5e" ma:taxonomyFieldName="Languages" ma:displayName="Languages" ma:default="" ma:fieldId="{83cf37d2-a5d3-4fd7-9550-03a053893e5e}" ma:taxonomyMulti="true" ma:sspId="75b52628-4ae0-409d-b79e-6d0521b2c784" ma:termSetId="af6d6fcf-919d-4606-93f6-1f52cad124cb"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Version_x0020_Published_x0020_to_x0020_Internet" ma:index="24" nillable="true" ma:displayName="Version Published to Internet" ma:internalName="Version_x0020_Published_x0020_to_x0020_Internet">
      <xsd:simpleType>
        <xsd:restriction base="dms:Text">
          <xsd:maxLength value="255"/>
        </xsd:restriction>
      </xsd:simpleType>
    </xsd:element>
    <xsd:element name="QuickPartDocumentId" ma:index="25" nillable="true" ma:displayName="Doc Id" ma:internalName="QuickPartDocumentId" ma:readOnly="false">
      <xsd:simpleType>
        <xsd:restriction base="dms:Text">
          <xsd:maxLength value="255"/>
        </xsd:restriction>
      </xsd:simpleType>
    </xsd:element>
    <xsd:element name="Master_x0020_Id" ma:index="26" nillable="true" ma:displayName="Master Id" ma:internalName="Master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Version_x0020_Published_x0020_To_x0020_Library xmlns="2b4b6fc7-bde4-44a8-8bca-a78eb25a27e9" xsi:nil="true"/>
    <d4ec9b080060429989fa5f940ee3f852 xmlns="2b4b6fc7-bde4-44a8-8bca-a78eb25a27e9">
      <Terms xmlns="http://schemas.microsoft.com/office/infopath/2007/PartnerControls">
        <TermInfo xmlns="http://schemas.microsoft.com/office/infopath/2007/PartnerControls">
          <TermName xmlns="http://schemas.microsoft.com/office/infopath/2007/PartnerControls">Legal Department</TermName>
          <TermId xmlns="http://schemas.microsoft.com/office/infopath/2007/PartnerControls">dd78c772-9794-4686-a245-4df1b644d6ba</TermId>
        </TermInfo>
      </Terms>
    </d4ec9b080060429989fa5f940ee3f852>
    <o3cf37d2a5d34fd7955003a053893e5e xmlns="2b4b6fc7-bde4-44a8-8bca-a78eb25a27e9">
      <Terms xmlns="http://schemas.microsoft.com/office/infopath/2007/PartnerControls">
        <TermInfo xmlns="http://schemas.microsoft.com/office/infopath/2007/PartnerControls">
          <TermName xmlns="http://schemas.microsoft.com/office/infopath/2007/PartnerControls">Dutch</TermName>
          <TermId xmlns="http://schemas.microsoft.com/office/infopath/2007/PartnerControls">6a9e699e-14a6-4582-b99d-f214c5b8b963</TermId>
        </TermInfo>
      </Terms>
    </o3cf37d2a5d34fd7955003a053893e5e>
    <Master_x0020_Id xmlns="2b4b6fc7-bde4-44a8-8bca-a78eb25a27e9" xsi:nil="true"/>
    <Dossier_x0020_Number xmlns="2b4b6fc7-bde4-44a8-8bca-a78eb25a27e9">2020-001255</Dossier_x0020_Number>
    <Version_x0020_Published_x0020_to_x0020_Internet xmlns="2b4b6fc7-bde4-44a8-8bca-a78eb25a27e9" xsi:nil="true"/>
    <abfcb1f17d5f4555baa428617776f0c1 xmlns="2b4b6fc7-bde4-44a8-8bca-a78eb25a27e9">
      <Terms xmlns="http://schemas.microsoft.com/office/infopath/2007/PartnerControls"/>
    </abfcb1f17d5f4555baa428617776f0c1>
    <TaxCatchAll xmlns="2b4b6fc7-bde4-44a8-8bca-a78eb25a27e9">
      <Value>5</Value>
      <Value>27</Value>
    </TaxCatchAll>
    <QuickPartDocumentId xmlns="2b4b6fc7-bde4-44a8-8bca-a78eb25a27e9">DS20-1372834777-2334</QuickPartDocumentId>
    <History_x0020_of_x0020_Remarks xmlns="2b4b6fc7-bde4-44a8-8bca-a78eb25a27e9" xsi:nil="true"/>
    <Administrative xmlns="2b4b6fc7-bde4-44a8-8bca-a78eb25a27e9">false</Administrative>
    <Confidential1 xmlns="2b4b6fc7-bde4-44a8-8bca-a78eb25a27e9">false</Confidential1>
    <_dlc_DocId xmlns="2b4b6fc7-bde4-44a8-8bca-a78eb25a27e9">DS20-1372834777-2334</_dlc_DocId>
    <_dlc_DocIdUrl xmlns="2b4b6fc7-bde4-44a8-8bca-a78eb25a27e9">
      <Url>http://teamworkingspace.bipt.local/sites/dossiers2020/12/2020001255/_layouts/DocIdRedir.aspx?ID=DS20-1372834777-2334</Url>
      <Description>DS20-1372834777-2334</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EE41-C567-4910-B6BD-4B5183C49043}"/>
</file>

<file path=customXml/itemProps2.xml><?xml version="1.0" encoding="utf-8"?>
<ds:datastoreItem xmlns:ds="http://schemas.openxmlformats.org/officeDocument/2006/customXml" ds:itemID="{67C9274A-091B-46B8-B1C3-3B3EB2EB6890}"/>
</file>

<file path=customXml/itemProps3.xml><?xml version="1.0" encoding="utf-8"?>
<ds:datastoreItem xmlns:ds="http://schemas.openxmlformats.org/officeDocument/2006/customXml" ds:itemID="{7BF5E7C2-B5B8-4D41-923E-91916C2F1B20}"/>
</file>

<file path=customXml/itemProps4.xml><?xml version="1.0" encoding="utf-8"?>
<ds:datastoreItem xmlns:ds="http://schemas.openxmlformats.org/officeDocument/2006/customXml" ds:itemID="{8DB0AFD9-F96F-4D12-A8B2-6878559BCC32}"/>
</file>

<file path=customXml/itemProps5.xml><?xml version="1.0" encoding="utf-8"?>
<ds:datastoreItem xmlns:ds="http://schemas.openxmlformats.org/officeDocument/2006/customXml" ds:itemID="{3581B98E-9E92-44E6-BEB7-52DA1FE35FB1}"/>
</file>

<file path=customXml/itemProps6.xml><?xml version="1.0" encoding="utf-8"?>
<ds:datastoreItem xmlns:ds="http://schemas.openxmlformats.org/officeDocument/2006/customXml" ds:itemID="{B6E66F3D-7FE1-4CD6-8FE7-A488BE673C46}"/>
</file>

<file path=docProps/app.xml><?xml version="1.0" encoding="utf-8"?>
<Properties xmlns="http://schemas.openxmlformats.org/officeDocument/2006/extended-properties" xmlns:vt="http://schemas.openxmlformats.org/officeDocument/2006/docPropsVTypes">
  <Template>Normal</Template>
  <TotalTime>525</TotalTime>
  <Pages>48</Pages>
  <Words>25767</Words>
  <Characters>141724</Characters>
  <Application>Microsoft Office Word</Application>
  <DocSecurity>0</DocSecurity>
  <Lines>1181</Lines>
  <Paragraphs>334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2022 02 17 amendements art. 127 et autres_NL</vt:lpstr>
      <vt:lpstr>2022 02 17 amendements art. 127 et autres_NL</vt:lpstr>
      <vt:lpstr>Projet de loi_Art. 127_Après amendement</vt:lpstr>
    </vt:vector>
  </TitlesOfParts>
  <Company/>
  <LinksUpToDate>false</LinksUpToDate>
  <CharactersWithSpaces>167157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02 17 amendements art. 127 et autres_NL</dc:title>
  <dc:subject/>
  <dc:creator>Fabienne Wauty</dc:creator>
  <cp:keywords/>
  <dc:description/>
  <cp:lastModifiedBy>Pierre-Yves Dethy</cp:lastModifiedBy>
  <cp:revision>22</cp:revision>
  <dcterms:created xsi:type="dcterms:W3CDTF">2022-02-16T14:43:00Z</dcterms:created>
  <dcterms:modified xsi:type="dcterms:W3CDTF">2022-02-25T11:08:00Z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0x0101004FA21861B553C741A1AA3F2E5831C1CC0507009B219235E488424E858FD5EE5506841D</vt:lpwstr>
  </property>
  <property fmtid="{D5CDD505-2E9C-101B-9397-08002B2CF9AE}" pid="3" name="_dlc_DocIdItemGuid">
    <vt:lpwstr>1abf07ac-cf2e-46ec-8ae1-142dd9a6ad32</vt:lpwstr>
  </property>
  <property fmtid="{D5CDD505-2E9C-101B-9397-08002B2CF9AE}" pid="4" name="p5514218fd064764993fc7f005d66e34">
    <vt:lpwstr/>
  </property>
  <property fmtid="{D5CDD505-2E9C-101B-9397-08002B2CF9AE}" pid="5" name="nd8a4f3b4df3473d8008d70ef4499b5e">
    <vt:lpwstr/>
  </property>
  <property fmtid="{D5CDD505-2E9C-101B-9397-08002B2CF9AE}" pid="6" name="Medium Type">
    <vt:lpwstr/>
  </property>
  <property fmtid="{D5CDD505-2E9C-101B-9397-08002B2CF9AE}" pid="7" name="Service1">
    <vt:lpwstr>27;#Legal Department|dd78c772-9794-4686-a245-4df1b644d6ba</vt:lpwstr>
  </property>
  <property fmtid="{D5CDD505-2E9C-101B-9397-08002B2CF9AE}" pid="8" name="Languages">
    <vt:lpwstr>5;#Dutch|6a9e699e-14a6-4582-b99d-f214c5b8b963</vt:lpwstr>
  </property>
  <property fmtid="{D5CDD505-2E9C-101B-9397-08002B2CF9AE}" pid="9" name="Document Type">
    <vt:lpwstr/>
  </property>
  <property fmtid="{D5CDD505-2E9C-101B-9397-08002B2CF9AE}" pid="10" name="Answer or Initiative">
    <vt:lpwstr/>
  </property>
</Properties>
</file>