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450C" w14:textId="77777777" w:rsidR="00034129" w:rsidRDefault="00034129" w:rsidP="00034129">
      <w:pPr>
        <w:pStyle w:val="Title"/>
      </w:pPr>
    </w:p>
    <w:p w14:paraId="317396FB" w14:textId="77777777" w:rsidR="00034129" w:rsidRDefault="00034129" w:rsidP="00034129"/>
    <w:p w14:paraId="3A73E8CF" w14:textId="77777777" w:rsidR="00034129" w:rsidRDefault="00034129" w:rsidP="00034129"/>
    <w:p w14:paraId="0BB72DEF" w14:textId="77777777" w:rsidR="00034129" w:rsidRDefault="00034129" w:rsidP="00034129"/>
    <w:p w14:paraId="0D69F069" w14:textId="77777777" w:rsidR="00034129" w:rsidRDefault="00034129" w:rsidP="00034129"/>
    <w:p w14:paraId="3438A3AB" w14:textId="77777777" w:rsidR="00034129" w:rsidRDefault="00034129" w:rsidP="00034129"/>
    <w:p w14:paraId="7BEBA172" w14:textId="77777777" w:rsidR="00034129" w:rsidRDefault="00034129" w:rsidP="00034129"/>
    <w:p w14:paraId="199D99D0" w14:textId="77777777" w:rsidR="00034129" w:rsidRDefault="00034129" w:rsidP="00034129"/>
    <w:p w14:paraId="4E227CBB" w14:textId="77777777" w:rsidR="00034129" w:rsidRDefault="00034129" w:rsidP="00034129"/>
    <w:p w14:paraId="1C17E64E" w14:textId="77777777" w:rsidR="00034129" w:rsidRDefault="00034129" w:rsidP="00034129"/>
    <w:p w14:paraId="5BEB060A" w14:textId="77777777" w:rsidR="00034129" w:rsidRDefault="00034129" w:rsidP="00034129"/>
    <w:p w14:paraId="6253A751" w14:textId="77777777" w:rsidR="00034129" w:rsidRDefault="00034129" w:rsidP="00034129"/>
    <w:p w14:paraId="3E46A7AA" w14:textId="77777777" w:rsidR="00034129" w:rsidRDefault="00034129" w:rsidP="00034129"/>
    <w:p w14:paraId="379B0B69" w14:textId="77777777" w:rsidR="00034129" w:rsidRDefault="00034129" w:rsidP="00034129"/>
    <w:p w14:paraId="52118F23" w14:textId="77777777" w:rsidR="00034129" w:rsidRDefault="00034129" w:rsidP="00034129"/>
    <w:p w14:paraId="06AD234F" w14:textId="77777777" w:rsidR="00034129" w:rsidRDefault="00034129" w:rsidP="00034129"/>
    <w:p w14:paraId="3B304F43" w14:textId="77777777" w:rsidR="00034129" w:rsidRDefault="00034129" w:rsidP="00034129"/>
    <w:p w14:paraId="475D94B5" w14:textId="77777777" w:rsidR="00034129" w:rsidRPr="00DF6358" w:rsidRDefault="00034129" w:rsidP="00034129"/>
    <w:p w14:paraId="6C1EB5A6" w14:textId="77777777" w:rsidR="00034129" w:rsidRDefault="00034129" w:rsidP="00034129">
      <w:pPr>
        <w:pStyle w:val="Title"/>
      </w:pPr>
    </w:p>
    <w:p w14:paraId="712B8F99" w14:textId="77777777" w:rsidR="00034129" w:rsidRDefault="00034129" w:rsidP="00034129">
      <w:pPr>
        <w:pStyle w:val="Title"/>
      </w:pPr>
    </w:p>
    <w:p w14:paraId="2F30C8CF" w14:textId="77777777" w:rsidR="00034129" w:rsidRDefault="00034129" w:rsidP="00034129">
      <w:pPr>
        <w:pStyle w:val="Title"/>
      </w:pPr>
    </w:p>
    <w:p w14:paraId="7D947A26" w14:textId="77777777" w:rsidR="00034129" w:rsidRPr="00715DE3" w:rsidRDefault="00034129" w:rsidP="00034129">
      <w:pPr>
        <w:rPr>
          <w:rFonts w:eastAsiaTheme="majorEastAsia" w:cstheme="majorBidi"/>
          <w:color w:val="292A81"/>
          <w:sz w:val="28"/>
          <w:szCs w:val="28"/>
          <w:lang w:val="nl-BE"/>
        </w:rPr>
      </w:pPr>
      <w:r w:rsidRPr="00715DE3">
        <w:rPr>
          <w:color w:val="292A81"/>
          <w:sz w:val="28"/>
          <w:lang w:val="nl-BE"/>
        </w:rPr>
        <w:t xml:space="preserve">Een verzoek om voorafgaande machtiging of om regularisatie </w:t>
      </w:r>
      <w:proofErr w:type="gramStart"/>
      <w:r w:rsidRPr="00715DE3">
        <w:rPr>
          <w:color w:val="292A81"/>
          <w:sz w:val="28"/>
          <w:lang w:val="nl-BE"/>
        </w:rPr>
        <w:t>betreffende</w:t>
      </w:r>
      <w:proofErr w:type="gramEnd"/>
      <w:r w:rsidRPr="00715DE3">
        <w:rPr>
          <w:color w:val="292A81"/>
          <w:sz w:val="28"/>
          <w:lang w:val="nl-BE"/>
        </w:rPr>
        <w:t xml:space="preserve"> de beveiliging van 5G indienen bij het BIPT</w:t>
      </w:r>
    </w:p>
    <w:p w14:paraId="441EF28C" w14:textId="77777777" w:rsidR="00034129" w:rsidRPr="00715DE3" w:rsidRDefault="00034129" w:rsidP="00034129">
      <w:pPr>
        <w:rPr>
          <w:lang w:val="nl-BE"/>
        </w:rPr>
      </w:pPr>
    </w:p>
    <w:p w14:paraId="724BD0AE" w14:textId="77777777" w:rsidR="00034129" w:rsidRPr="00715DE3" w:rsidRDefault="00034129" w:rsidP="00034129">
      <w:pPr>
        <w:spacing w:after="160" w:line="259" w:lineRule="auto"/>
        <w:jc w:val="left"/>
        <w:rPr>
          <w:lang w:val="nl-BE"/>
        </w:rPr>
      </w:pPr>
    </w:p>
    <w:p w14:paraId="61918BA9" w14:textId="77777777" w:rsidR="00034129" w:rsidRPr="00715DE3" w:rsidRDefault="00034129" w:rsidP="00034129">
      <w:pPr>
        <w:spacing w:after="160" w:line="259" w:lineRule="auto"/>
        <w:jc w:val="left"/>
        <w:rPr>
          <w:lang w:val="nl-BE"/>
        </w:rPr>
      </w:pPr>
    </w:p>
    <w:p w14:paraId="27A7B454" w14:textId="77777777" w:rsidR="00034129" w:rsidRPr="00715DE3" w:rsidRDefault="00034129" w:rsidP="00034129">
      <w:pPr>
        <w:spacing w:after="160" w:line="259" w:lineRule="auto"/>
        <w:jc w:val="left"/>
        <w:rPr>
          <w:lang w:val="nl-BE"/>
        </w:rPr>
      </w:pPr>
    </w:p>
    <w:p w14:paraId="67BDBD80" w14:textId="77777777" w:rsidR="00034129" w:rsidRPr="00715DE3" w:rsidRDefault="00034129" w:rsidP="00034129">
      <w:pPr>
        <w:spacing w:after="160" w:line="259" w:lineRule="auto"/>
        <w:jc w:val="left"/>
        <w:rPr>
          <w:lang w:val="nl-BE"/>
        </w:rPr>
      </w:pPr>
    </w:p>
    <w:p w14:paraId="751BC02C" w14:textId="77777777" w:rsidR="00034129" w:rsidRPr="00715DE3" w:rsidRDefault="00034129" w:rsidP="00034129">
      <w:pPr>
        <w:spacing w:after="160" w:line="259" w:lineRule="auto"/>
        <w:jc w:val="left"/>
        <w:rPr>
          <w:lang w:val="nl-BE"/>
        </w:rPr>
      </w:pPr>
    </w:p>
    <w:p w14:paraId="44A84EAC" w14:textId="77777777" w:rsidR="00034129" w:rsidRPr="00715DE3" w:rsidRDefault="00034129" w:rsidP="00034129">
      <w:pPr>
        <w:spacing w:after="160" w:line="259" w:lineRule="auto"/>
        <w:jc w:val="left"/>
        <w:rPr>
          <w:lang w:val="nl-BE"/>
        </w:rPr>
      </w:pPr>
    </w:p>
    <w:p w14:paraId="07DEEB8A" w14:textId="77777777" w:rsidR="00034129" w:rsidRPr="00715DE3" w:rsidRDefault="00034129" w:rsidP="00034129">
      <w:pPr>
        <w:spacing w:after="160" w:line="259" w:lineRule="auto"/>
        <w:jc w:val="left"/>
        <w:rPr>
          <w:lang w:val="nl-BE"/>
        </w:rPr>
      </w:pPr>
    </w:p>
    <w:p w14:paraId="0DFEB273" w14:textId="77777777" w:rsidR="00034129" w:rsidRPr="00715DE3" w:rsidRDefault="00034129" w:rsidP="00034129">
      <w:pPr>
        <w:spacing w:after="160" w:line="259" w:lineRule="auto"/>
        <w:jc w:val="left"/>
        <w:rPr>
          <w:lang w:val="nl-BE"/>
        </w:rPr>
      </w:pPr>
    </w:p>
    <w:p w14:paraId="7F10AAC8" w14:textId="77777777" w:rsidR="00034129" w:rsidRPr="00715DE3" w:rsidRDefault="00034129" w:rsidP="00034129">
      <w:pPr>
        <w:spacing w:after="160" w:line="259" w:lineRule="auto"/>
        <w:jc w:val="left"/>
        <w:rPr>
          <w:lang w:val="nl-BE"/>
        </w:rPr>
      </w:pPr>
    </w:p>
    <w:p w14:paraId="3D74C606" w14:textId="77777777" w:rsidR="00034129" w:rsidRPr="00715DE3" w:rsidRDefault="00034129" w:rsidP="00034129">
      <w:pPr>
        <w:spacing w:after="160" w:line="259" w:lineRule="auto"/>
        <w:jc w:val="left"/>
        <w:rPr>
          <w:lang w:val="nl-BE"/>
        </w:rPr>
      </w:pPr>
    </w:p>
    <w:p w14:paraId="43DDA853" w14:textId="77777777" w:rsidR="00034129" w:rsidRPr="00715DE3" w:rsidRDefault="00034129" w:rsidP="00034129">
      <w:pPr>
        <w:spacing w:after="160" w:line="259" w:lineRule="auto"/>
        <w:jc w:val="left"/>
        <w:rPr>
          <w:lang w:val="nl-BE"/>
        </w:rPr>
      </w:pPr>
    </w:p>
    <w:p w14:paraId="298F5152" w14:textId="77777777" w:rsidR="00034129" w:rsidRPr="00715DE3" w:rsidRDefault="00034129" w:rsidP="00034129">
      <w:pPr>
        <w:spacing w:after="160" w:line="259" w:lineRule="auto"/>
        <w:jc w:val="left"/>
        <w:rPr>
          <w:lang w:val="nl-BE"/>
        </w:rPr>
      </w:pPr>
    </w:p>
    <w:p w14:paraId="7A2F701B" w14:textId="77777777" w:rsidR="00034129" w:rsidRPr="00715DE3" w:rsidRDefault="00034129" w:rsidP="00034129">
      <w:pPr>
        <w:spacing w:after="160" w:line="259" w:lineRule="auto"/>
        <w:jc w:val="left"/>
        <w:rPr>
          <w:lang w:val="nl-BE"/>
        </w:rPr>
      </w:pPr>
    </w:p>
    <w:p w14:paraId="08ECBA4B" w14:textId="77777777" w:rsidR="00034129" w:rsidRPr="00715DE3" w:rsidRDefault="00034129" w:rsidP="00034129">
      <w:pPr>
        <w:spacing w:after="160" w:line="259" w:lineRule="auto"/>
        <w:jc w:val="left"/>
        <w:rPr>
          <w:lang w:val="nl-BE"/>
        </w:rPr>
      </w:pPr>
    </w:p>
    <w:p w14:paraId="7CB373BC" w14:textId="77777777" w:rsidR="00034129" w:rsidRPr="00715DE3" w:rsidRDefault="00034129" w:rsidP="00034129">
      <w:pPr>
        <w:spacing w:after="160" w:line="259" w:lineRule="auto"/>
        <w:jc w:val="left"/>
        <w:rPr>
          <w:lang w:val="nl-BE"/>
        </w:rPr>
      </w:pPr>
    </w:p>
    <w:p w14:paraId="0B6BDEBF" w14:textId="77777777" w:rsidR="00034129" w:rsidRPr="00715DE3" w:rsidRDefault="00034129" w:rsidP="00034129">
      <w:pPr>
        <w:spacing w:after="160" w:line="259" w:lineRule="auto"/>
        <w:jc w:val="left"/>
        <w:rPr>
          <w:lang w:val="nl-BE"/>
        </w:rPr>
      </w:pPr>
    </w:p>
    <w:p w14:paraId="444D0B25" w14:textId="77777777" w:rsidR="00034129" w:rsidRPr="00715DE3" w:rsidRDefault="00034129" w:rsidP="00034129">
      <w:pPr>
        <w:spacing w:after="160" w:line="259" w:lineRule="auto"/>
        <w:jc w:val="left"/>
        <w:rPr>
          <w:lang w:val="nl-BE"/>
        </w:rPr>
      </w:pPr>
    </w:p>
    <w:sdt>
      <w:sdtPr>
        <w:rPr>
          <w:rFonts w:ascii="Tahoma" w:eastAsiaTheme="minorHAnsi" w:hAnsi="Tahoma" w:cstheme="minorBidi"/>
          <w:color w:val="auto"/>
          <w:sz w:val="20"/>
          <w:szCs w:val="22"/>
          <w:shd w:val="clear" w:color="auto" w:fill="E6E6E6"/>
          <w:lang w:eastAsia="en-US"/>
        </w:rPr>
        <w:id w:val="985748558"/>
        <w:docPartObj>
          <w:docPartGallery w:val="Table of Contents"/>
          <w:docPartUnique/>
        </w:docPartObj>
      </w:sdtPr>
      <w:sdtEndPr>
        <w:rPr>
          <w:b/>
          <w:bCs/>
        </w:rPr>
      </w:sdtEndPr>
      <w:sdtContent>
        <w:p w14:paraId="5AB16866" w14:textId="77777777" w:rsidR="00034129" w:rsidRPr="00715DE3" w:rsidRDefault="00034129" w:rsidP="00034129">
          <w:pPr>
            <w:pStyle w:val="TOCHeading"/>
            <w:jc w:val="center"/>
          </w:pPr>
          <w:proofErr w:type="spellStart"/>
          <w:r w:rsidRPr="00715DE3">
            <w:t>Inhoudsopgave</w:t>
          </w:r>
          <w:proofErr w:type="spellEnd"/>
        </w:p>
        <w:p w14:paraId="61B6653C" w14:textId="572D62C4" w:rsidR="003471C6" w:rsidRDefault="00034129">
          <w:pPr>
            <w:pStyle w:val="TOC1"/>
            <w:tabs>
              <w:tab w:val="left" w:pos="400"/>
            </w:tabs>
            <w:rPr>
              <w:rFonts w:asciiTheme="minorHAnsi" w:eastAsiaTheme="minorEastAsia" w:hAnsiTheme="minorHAnsi" w:cstheme="minorBidi"/>
              <w:noProof/>
              <w:sz w:val="22"/>
              <w:lang w:eastAsia="fr-BE"/>
            </w:rPr>
          </w:pPr>
          <w:r w:rsidRPr="00715DE3">
            <w:rPr>
              <w:color w:val="2B579A"/>
              <w:shd w:val="clear" w:color="auto" w:fill="E6E6E6"/>
            </w:rPr>
            <w:fldChar w:fldCharType="begin"/>
          </w:r>
          <w:r w:rsidRPr="00715DE3">
            <w:instrText xml:space="preserve"> TOC \o "1-3" \h \z \u </w:instrText>
          </w:r>
          <w:r w:rsidRPr="00715DE3">
            <w:rPr>
              <w:color w:val="2B579A"/>
              <w:shd w:val="clear" w:color="auto" w:fill="E6E6E6"/>
            </w:rPr>
            <w:fldChar w:fldCharType="separate"/>
          </w:r>
          <w:hyperlink w:anchor="_Toc135085662" w:history="1">
            <w:r w:rsidR="003471C6" w:rsidRPr="006A4A80">
              <w:rPr>
                <w:rStyle w:val="Hyperlink"/>
                <w:noProof/>
                <w14:scene3d>
                  <w14:camera w14:prst="orthographicFront"/>
                  <w14:lightRig w14:rig="threePt" w14:dir="t">
                    <w14:rot w14:lat="0" w14:lon="0" w14:rev="0"/>
                  </w14:lightRig>
                </w14:scene3d>
              </w:rPr>
              <w:t>1.</w:t>
            </w:r>
            <w:r w:rsidR="003471C6">
              <w:rPr>
                <w:rFonts w:asciiTheme="minorHAnsi" w:eastAsiaTheme="minorEastAsia" w:hAnsiTheme="minorHAnsi" w:cstheme="minorBidi"/>
                <w:noProof/>
                <w:sz w:val="22"/>
                <w:lang w:eastAsia="fr-BE"/>
              </w:rPr>
              <w:tab/>
            </w:r>
            <w:r w:rsidR="003471C6" w:rsidRPr="006A4A80">
              <w:rPr>
                <w:rStyle w:val="Hyperlink"/>
                <w:noProof/>
              </w:rPr>
              <w:t>Doel van dit document</w:t>
            </w:r>
            <w:r w:rsidR="003471C6">
              <w:rPr>
                <w:noProof/>
                <w:webHidden/>
              </w:rPr>
              <w:tab/>
            </w:r>
            <w:r w:rsidR="003471C6">
              <w:rPr>
                <w:noProof/>
                <w:webHidden/>
              </w:rPr>
              <w:fldChar w:fldCharType="begin"/>
            </w:r>
            <w:r w:rsidR="003471C6">
              <w:rPr>
                <w:noProof/>
                <w:webHidden/>
              </w:rPr>
              <w:instrText xml:space="preserve"> PAGEREF _Toc135085662 \h </w:instrText>
            </w:r>
            <w:r w:rsidR="003471C6">
              <w:rPr>
                <w:noProof/>
                <w:webHidden/>
              </w:rPr>
            </w:r>
            <w:r w:rsidR="003471C6">
              <w:rPr>
                <w:noProof/>
                <w:webHidden/>
              </w:rPr>
              <w:fldChar w:fldCharType="separate"/>
            </w:r>
            <w:r w:rsidR="003471C6">
              <w:rPr>
                <w:noProof/>
                <w:webHidden/>
              </w:rPr>
              <w:t>3</w:t>
            </w:r>
            <w:r w:rsidR="003471C6">
              <w:rPr>
                <w:noProof/>
                <w:webHidden/>
              </w:rPr>
              <w:fldChar w:fldCharType="end"/>
            </w:r>
          </w:hyperlink>
        </w:p>
        <w:p w14:paraId="2D56AC27" w14:textId="76C28E04" w:rsidR="003471C6" w:rsidRDefault="00E872DF">
          <w:pPr>
            <w:pStyle w:val="TOC1"/>
            <w:tabs>
              <w:tab w:val="left" w:pos="400"/>
            </w:tabs>
            <w:rPr>
              <w:rFonts w:asciiTheme="minorHAnsi" w:eastAsiaTheme="minorEastAsia" w:hAnsiTheme="minorHAnsi" w:cstheme="minorBidi"/>
              <w:noProof/>
              <w:sz w:val="22"/>
              <w:lang w:eastAsia="fr-BE"/>
            </w:rPr>
          </w:pPr>
          <w:hyperlink w:anchor="_Toc135085663" w:history="1">
            <w:r w:rsidR="003471C6" w:rsidRPr="006A4A80">
              <w:rPr>
                <w:rStyle w:val="Hyperlink"/>
                <w:noProof/>
                <w:lang w:val="nl-BE"/>
                <w14:scene3d>
                  <w14:camera w14:prst="orthographicFront"/>
                  <w14:lightRig w14:rig="threePt" w14:dir="t">
                    <w14:rot w14:lat="0" w14:lon="0" w14:rev="0"/>
                  </w14:lightRig>
                </w14:scene3d>
              </w:rPr>
              <w:t>2.</w:t>
            </w:r>
            <w:r w:rsidR="003471C6">
              <w:rPr>
                <w:rFonts w:asciiTheme="minorHAnsi" w:eastAsiaTheme="minorEastAsia" w:hAnsiTheme="minorHAnsi" w:cstheme="minorBidi"/>
                <w:noProof/>
                <w:sz w:val="22"/>
                <w:lang w:eastAsia="fr-BE"/>
              </w:rPr>
              <w:tab/>
            </w:r>
            <w:r w:rsidR="003471C6" w:rsidRPr="006A4A80">
              <w:rPr>
                <w:rStyle w:val="Hyperlink"/>
                <w:noProof/>
                <w:lang w:val="nl-BE"/>
              </w:rPr>
              <w:t>Netwerkelementen buiten de scope van het KB machtigingen</w:t>
            </w:r>
            <w:r w:rsidR="003471C6">
              <w:rPr>
                <w:noProof/>
                <w:webHidden/>
              </w:rPr>
              <w:tab/>
            </w:r>
            <w:r w:rsidR="003471C6">
              <w:rPr>
                <w:noProof/>
                <w:webHidden/>
              </w:rPr>
              <w:fldChar w:fldCharType="begin"/>
            </w:r>
            <w:r w:rsidR="003471C6">
              <w:rPr>
                <w:noProof/>
                <w:webHidden/>
              </w:rPr>
              <w:instrText xml:space="preserve"> PAGEREF _Toc135085663 \h </w:instrText>
            </w:r>
            <w:r w:rsidR="003471C6">
              <w:rPr>
                <w:noProof/>
                <w:webHidden/>
              </w:rPr>
            </w:r>
            <w:r w:rsidR="003471C6">
              <w:rPr>
                <w:noProof/>
                <w:webHidden/>
              </w:rPr>
              <w:fldChar w:fldCharType="separate"/>
            </w:r>
            <w:r w:rsidR="003471C6">
              <w:rPr>
                <w:noProof/>
                <w:webHidden/>
              </w:rPr>
              <w:t>3</w:t>
            </w:r>
            <w:r w:rsidR="003471C6">
              <w:rPr>
                <w:noProof/>
                <w:webHidden/>
              </w:rPr>
              <w:fldChar w:fldCharType="end"/>
            </w:r>
          </w:hyperlink>
        </w:p>
        <w:p w14:paraId="71172995" w14:textId="613D1785" w:rsidR="003471C6" w:rsidRDefault="00E872DF">
          <w:pPr>
            <w:pStyle w:val="TOC1"/>
            <w:tabs>
              <w:tab w:val="left" w:pos="400"/>
            </w:tabs>
            <w:rPr>
              <w:rFonts w:asciiTheme="minorHAnsi" w:eastAsiaTheme="minorEastAsia" w:hAnsiTheme="minorHAnsi" w:cstheme="minorBidi"/>
              <w:noProof/>
              <w:sz w:val="22"/>
              <w:lang w:eastAsia="fr-BE"/>
            </w:rPr>
          </w:pPr>
          <w:hyperlink w:anchor="_Toc135085664" w:history="1">
            <w:r w:rsidR="003471C6" w:rsidRPr="006A4A80">
              <w:rPr>
                <w:rStyle w:val="Hyperlink"/>
                <w:noProof/>
                <w:lang w:val="nl-BE"/>
                <w14:scene3d>
                  <w14:camera w14:prst="orthographicFront"/>
                  <w14:lightRig w14:rig="threePt" w14:dir="t">
                    <w14:rot w14:lat="0" w14:lon="0" w14:rev="0"/>
                  </w14:lightRig>
                </w14:scene3d>
              </w:rPr>
              <w:t>3.</w:t>
            </w:r>
            <w:r w:rsidR="003471C6">
              <w:rPr>
                <w:rFonts w:asciiTheme="minorHAnsi" w:eastAsiaTheme="minorEastAsia" w:hAnsiTheme="minorHAnsi" w:cstheme="minorBidi"/>
                <w:noProof/>
                <w:sz w:val="22"/>
                <w:lang w:eastAsia="fr-BE"/>
              </w:rPr>
              <w:tab/>
            </w:r>
            <w:r w:rsidR="003471C6" w:rsidRPr="006A4A80">
              <w:rPr>
                <w:rStyle w:val="Hyperlink"/>
                <w:noProof/>
                <w:lang w:val="nl-BE"/>
              </w:rPr>
              <w:t>Mobiele Private netwerken</w:t>
            </w:r>
            <w:r w:rsidR="003471C6">
              <w:rPr>
                <w:noProof/>
                <w:webHidden/>
              </w:rPr>
              <w:tab/>
            </w:r>
            <w:r w:rsidR="003471C6">
              <w:rPr>
                <w:noProof/>
                <w:webHidden/>
              </w:rPr>
              <w:fldChar w:fldCharType="begin"/>
            </w:r>
            <w:r w:rsidR="003471C6">
              <w:rPr>
                <w:noProof/>
                <w:webHidden/>
              </w:rPr>
              <w:instrText xml:space="preserve"> PAGEREF _Toc135085664 \h </w:instrText>
            </w:r>
            <w:r w:rsidR="003471C6">
              <w:rPr>
                <w:noProof/>
                <w:webHidden/>
              </w:rPr>
            </w:r>
            <w:r w:rsidR="003471C6">
              <w:rPr>
                <w:noProof/>
                <w:webHidden/>
              </w:rPr>
              <w:fldChar w:fldCharType="separate"/>
            </w:r>
            <w:r w:rsidR="003471C6">
              <w:rPr>
                <w:noProof/>
                <w:webHidden/>
              </w:rPr>
              <w:t>5</w:t>
            </w:r>
            <w:r w:rsidR="003471C6">
              <w:rPr>
                <w:noProof/>
                <w:webHidden/>
              </w:rPr>
              <w:fldChar w:fldCharType="end"/>
            </w:r>
          </w:hyperlink>
        </w:p>
        <w:p w14:paraId="20A33C08" w14:textId="1A3879A5" w:rsidR="003471C6" w:rsidRDefault="00E872DF">
          <w:pPr>
            <w:pStyle w:val="TOC1"/>
            <w:tabs>
              <w:tab w:val="left" w:pos="400"/>
            </w:tabs>
            <w:rPr>
              <w:rFonts w:asciiTheme="minorHAnsi" w:eastAsiaTheme="minorEastAsia" w:hAnsiTheme="minorHAnsi" w:cstheme="minorBidi"/>
              <w:noProof/>
              <w:sz w:val="22"/>
              <w:lang w:eastAsia="fr-BE"/>
            </w:rPr>
          </w:pPr>
          <w:hyperlink w:anchor="_Toc135085665" w:history="1">
            <w:r w:rsidR="003471C6" w:rsidRPr="006A4A80">
              <w:rPr>
                <w:rStyle w:val="Hyperlink"/>
                <w:noProof/>
                <w:lang w:val="nl-BE"/>
                <w14:scene3d>
                  <w14:camera w14:prst="orthographicFront"/>
                  <w14:lightRig w14:rig="threePt" w14:dir="t">
                    <w14:rot w14:lat="0" w14:lon="0" w14:rev="0"/>
                  </w14:lightRig>
                </w14:scene3d>
              </w:rPr>
              <w:t>4.</w:t>
            </w:r>
            <w:r w:rsidR="003471C6">
              <w:rPr>
                <w:rFonts w:asciiTheme="minorHAnsi" w:eastAsiaTheme="minorEastAsia" w:hAnsiTheme="minorHAnsi" w:cstheme="minorBidi"/>
                <w:noProof/>
                <w:sz w:val="22"/>
                <w:lang w:eastAsia="fr-BE"/>
              </w:rPr>
              <w:tab/>
            </w:r>
            <w:r w:rsidR="003471C6" w:rsidRPr="006A4A80">
              <w:rPr>
                <w:rStyle w:val="Hyperlink"/>
                <w:noProof/>
                <w:lang w:val="nl-BE"/>
              </w:rPr>
              <w:t>Raadpleging van de lijst met gevoelige zones</w:t>
            </w:r>
            <w:r w:rsidR="003471C6">
              <w:rPr>
                <w:noProof/>
                <w:webHidden/>
              </w:rPr>
              <w:tab/>
            </w:r>
            <w:r w:rsidR="003471C6">
              <w:rPr>
                <w:noProof/>
                <w:webHidden/>
              </w:rPr>
              <w:fldChar w:fldCharType="begin"/>
            </w:r>
            <w:r w:rsidR="003471C6">
              <w:rPr>
                <w:noProof/>
                <w:webHidden/>
              </w:rPr>
              <w:instrText xml:space="preserve"> PAGEREF _Toc135085665 \h </w:instrText>
            </w:r>
            <w:r w:rsidR="003471C6">
              <w:rPr>
                <w:noProof/>
                <w:webHidden/>
              </w:rPr>
            </w:r>
            <w:r w:rsidR="003471C6">
              <w:rPr>
                <w:noProof/>
                <w:webHidden/>
              </w:rPr>
              <w:fldChar w:fldCharType="separate"/>
            </w:r>
            <w:r w:rsidR="003471C6">
              <w:rPr>
                <w:noProof/>
                <w:webHidden/>
              </w:rPr>
              <w:t>6</w:t>
            </w:r>
            <w:r w:rsidR="003471C6">
              <w:rPr>
                <w:noProof/>
                <w:webHidden/>
              </w:rPr>
              <w:fldChar w:fldCharType="end"/>
            </w:r>
          </w:hyperlink>
        </w:p>
        <w:p w14:paraId="3142BEF9" w14:textId="292AF274" w:rsidR="003471C6" w:rsidRDefault="00E872DF">
          <w:pPr>
            <w:pStyle w:val="TOC1"/>
            <w:tabs>
              <w:tab w:val="left" w:pos="400"/>
            </w:tabs>
            <w:rPr>
              <w:rFonts w:asciiTheme="minorHAnsi" w:eastAsiaTheme="minorEastAsia" w:hAnsiTheme="minorHAnsi" w:cstheme="minorBidi"/>
              <w:noProof/>
              <w:sz w:val="22"/>
              <w:lang w:eastAsia="fr-BE"/>
            </w:rPr>
          </w:pPr>
          <w:hyperlink w:anchor="_Toc135085666" w:history="1">
            <w:r w:rsidR="003471C6" w:rsidRPr="006A4A80">
              <w:rPr>
                <w:rStyle w:val="Hyperlink"/>
                <w:noProof/>
                <w14:scene3d>
                  <w14:camera w14:prst="orthographicFront"/>
                  <w14:lightRig w14:rig="threePt" w14:dir="t">
                    <w14:rot w14:lat="0" w14:lon="0" w14:rev="0"/>
                  </w14:lightRig>
                </w14:scene3d>
              </w:rPr>
              <w:t>5.</w:t>
            </w:r>
            <w:r w:rsidR="003471C6">
              <w:rPr>
                <w:rFonts w:asciiTheme="minorHAnsi" w:eastAsiaTheme="minorEastAsia" w:hAnsiTheme="minorHAnsi" w:cstheme="minorBidi"/>
                <w:noProof/>
                <w:sz w:val="22"/>
                <w:lang w:eastAsia="fr-BE"/>
              </w:rPr>
              <w:tab/>
            </w:r>
            <w:r w:rsidR="003471C6" w:rsidRPr="006A4A80">
              <w:rPr>
                <w:rStyle w:val="Hyperlink"/>
                <w:noProof/>
              </w:rPr>
              <w:t>Termijnen</w:t>
            </w:r>
            <w:r w:rsidR="003471C6">
              <w:rPr>
                <w:noProof/>
                <w:webHidden/>
              </w:rPr>
              <w:tab/>
            </w:r>
            <w:r w:rsidR="003471C6">
              <w:rPr>
                <w:noProof/>
                <w:webHidden/>
              </w:rPr>
              <w:fldChar w:fldCharType="begin"/>
            </w:r>
            <w:r w:rsidR="003471C6">
              <w:rPr>
                <w:noProof/>
                <w:webHidden/>
              </w:rPr>
              <w:instrText xml:space="preserve"> PAGEREF _Toc135085666 \h </w:instrText>
            </w:r>
            <w:r w:rsidR="003471C6">
              <w:rPr>
                <w:noProof/>
                <w:webHidden/>
              </w:rPr>
            </w:r>
            <w:r w:rsidR="003471C6">
              <w:rPr>
                <w:noProof/>
                <w:webHidden/>
              </w:rPr>
              <w:fldChar w:fldCharType="separate"/>
            </w:r>
            <w:r w:rsidR="003471C6">
              <w:rPr>
                <w:noProof/>
                <w:webHidden/>
              </w:rPr>
              <w:t>6</w:t>
            </w:r>
            <w:r w:rsidR="003471C6">
              <w:rPr>
                <w:noProof/>
                <w:webHidden/>
              </w:rPr>
              <w:fldChar w:fldCharType="end"/>
            </w:r>
          </w:hyperlink>
        </w:p>
        <w:p w14:paraId="68A5158B" w14:textId="0F146BC8" w:rsidR="003471C6" w:rsidRDefault="00E872DF">
          <w:pPr>
            <w:pStyle w:val="TOC1"/>
            <w:tabs>
              <w:tab w:val="left" w:pos="400"/>
            </w:tabs>
            <w:rPr>
              <w:rFonts w:asciiTheme="minorHAnsi" w:eastAsiaTheme="minorEastAsia" w:hAnsiTheme="minorHAnsi" w:cstheme="minorBidi"/>
              <w:noProof/>
              <w:sz w:val="22"/>
              <w:lang w:eastAsia="fr-BE"/>
            </w:rPr>
          </w:pPr>
          <w:hyperlink w:anchor="_Toc135085667" w:history="1">
            <w:r w:rsidR="003471C6" w:rsidRPr="006A4A80">
              <w:rPr>
                <w:rStyle w:val="Hyperlink"/>
                <w:noProof/>
                <w:lang w:val="nl-BE"/>
                <w14:scene3d>
                  <w14:camera w14:prst="orthographicFront"/>
                  <w14:lightRig w14:rig="threePt" w14:dir="t">
                    <w14:rot w14:lat="0" w14:lon="0" w14:rev="0"/>
                  </w14:lightRig>
                </w14:scene3d>
              </w:rPr>
              <w:t>6.</w:t>
            </w:r>
            <w:r w:rsidR="003471C6">
              <w:rPr>
                <w:rFonts w:asciiTheme="minorHAnsi" w:eastAsiaTheme="minorEastAsia" w:hAnsiTheme="minorHAnsi" w:cstheme="minorBidi"/>
                <w:noProof/>
                <w:sz w:val="22"/>
                <w:lang w:eastAsia="fr-BE"/>
              </w:rPr>
              <w:tab/>
            </w:r>
            <w:r w:rsidR="003471C6" w:rsidRPr="006A4A80">
              <w:rPr>
                <w:rStyle w:val="Hyperlink"/>
                <w:noProof/>
                <w:lang w:val="nl-BE"/>
              </w:rPr>
              <w:t>Indiening van het dossier door de verzoeker</w:t>
            </w:r>
            <w:r w:rsidR="003471C6">
              <w:rPr>
                <w:noProof/>
                <w:webHidden/>
              </w:rPr>
              <w:tab/>
            </w:r>
            <w:r w:rsidR="003471C6">
              <w:rPr>
                <w:noProof/>
                <w:webHidden/>
              </w:rPr>
              <w:fldChar w:fldCharType="begin"/>
            </w:r>
            <w:r w:rsidR="003471C6">
              <w:rPr>
                <w:noProof/>
                <w:webHidden/>
              </w:rPr>
              <w:instrText xml:space="preserve"> PAGEREF _Toc135085667 \h </w:instrText>
            </w:r>
            <w:r w:rsidR="003471C6">
              <w:rPr>
                <w:noProof/>
                <w:webHidden/>
              </w:rPr>
            </w:r>
            <w:r w:rsidR="003471C6">
              <w:rPr>
                <w:noProof/>
                <w:webHidden/>
              </w:rPr>
              <w:fldChar w:fldCharType="separate"/>
            </w:r>
            <w:r w:rsidR="003471C6">
              <w:rPr>
                <w:noProof/>
                <w:webHidden/>
              </w:rPr>
              <w:t>6</w:t>
            </w:r>
            <w:r w:rsidR="003471C6">
              <w:rPr>
                <w:noProof/>
                <w:webHidden/>
              </w:rPr>
              <w:fldChar w:fldCharType="end"/>
            </w:r>
          </w:hyperlink>
        </w:p>
        <w:p w14:paraId="20387374" w14:textId="587E4C2C" w:rsidR="003471C6" w:rsidRDefault="00E872DF">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668" w:history="1">
            <w:r w:rsidR="003471C6" w:rsidRPr="006A4A80">
              <w:rPr>
                <w:rStyle w:val="Hyperlink"/>
                <w:noProof/>
                <w:lang w:val="nl-BE"/>
              </w:rPr>
              <w:t>6.1.</w:t>
            </w:r>
            <w:r w:rsidR="003471C6">
              <w:rPr>
                <w:rFonts w:asciiTheme="minorHAnsi" w:eastAsiaTheme="minorEastAsia" w:hAnsiTheme="minorHAnsi" w:cstheme="minorBidi"/>
                <w:noProof/>
                <w:spacing w:val="0"/>
                <w:sz w:val="22"/>
                <w:lang w:eastAsia="fr-BE"/>
              </w:rPr>
              <w:tab/>
            </w:r>
            <w:r w:rsidR="003471C6" w:rsidRPr="006A4A80">
              <w:rPr>
                <w:rStyle w:val="Hyperlink"/>
                <w:noProof/>
                <w:lang w:val="nl-BE"/>
              </w:rPr>
              <w:t>Documenten ter beschikking gesteld door het BIPT</w:t>
            </w:r>
            <w:r w:rsidR="003471C6">
              <w:rPr>
                <w:noProof/>
                <w:webHidden/>
              </w:rPr>
              <w:tab/>
            </w:r>
            <w:r w:rsidR="003471C6">
              <w:rPr>
                <w:noProof/>
                <w:webHidden/>
              </w:rPr>
              <w:fldChar w:fldCharType="begin"/>
            </w:r>
            <w:r w:rsidR="003471C6">
              <w:rPr>
                <w:noProof/>
                <w:webHidden/>
              </w:rPr>
              <w:instrText xml:space="preserve"> PAGEREF _Toc135085668 \h </w:instrText>
            </w:r>
            <w:r w:rsidR="003471C6">
              <w:rPr>
                <w:noProof/>
                <w:webHidden/>
              </w:rPr>
            </w:r>
            <w:r w:rsidR="003471C6">
              <w:rPr>
                <w:noProof/>
                <w:webHidden/>
              </w:rPr>
              <w:fldChar w:fldCharType="separate"/>
            </w:r>
            <w:r w:rsidR="003471C6">
              <w:rPr>
                <w:noProof/>
                <w:webHidden/>
              </w:rPr>
              <w:t>6</w:t>
            </w:r>
            <w:r w:rsidR="003471C6">
              <w:rPr>
                <w:noProof/>
                <w:webHidden/>
              </w:rPr>
              <w:fldChar w:fldCharType="end"/>
            </w:r>
          </w:hyperlink>
        </w:p>
        <w:p w14:paraId="30B1E995" w14:textId="1A00A78C" w:rsidR="003471C6" w:rsidRDefault="00E872DF">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669" w:history="1">
            <w:r w:rsidR="003471C6" w:rsidRPr="006A4A80">
              <w:rPr>
                <w:rStyle w:val="Hyperlink"/>
                <w:noProof/>
              </w:rPr>
              <w:t>6.2.</w:t>
            </w:r>
            <w:r w:rsidR="003471C6">
              <w:rPr>
                <w:rFonts w:asciiTheme="minorHAnsi" w:eastAsiaTheme="minorEastAsia" w:hAnsiTheme="minorHAnsi" w:cstheme="minorBidi"/>
                <w:noProof/>
                <w:spacing w:val="0"/>
                <w:sz w:val="22"/>
                <w:lang w:eastAsia="fr-BE"/>
              </w:rPr>
              <w:tab/>
            </w:r>
            <w:r w:rsidR="003471C6" w:rsidRPr="006A4A80">
              <w:rPr>
                <w:rStyle w:val="Hyperlink"/>
                <w:noProof/>
              </w:rPr>
              <w:t>Voorwerp van de aanvraag</w:t>
            </w:r>
            <w:r w:rsidR="003471C6">
              <w:rPr>
                <w:noProof/>
                <w:webHidden/>
              </w:rPr>
              <w:tab/>
            </w:r>
            <w:r w:rsidR="003471C6">
              <w:rPr>
                <w:noProof/>
                <w:webHidden/>
              </w:rPr>
              <w:fldChar w:fldCharType="begin"/>
            </w:r>
            <w:r w:rsidR="003471C6">
              <w:rPr>
                <w:noProof/>
                <w:webHidden/>
              </w:rPr>
              <w:instrText xml:space="preserve"> PAGEREF _Toc135085669 \h </w:instrText>
            </w:r>
            <w:r w:rsidR="003471C6">
              <w:rPr>
                <w:noProof/>
                <w:webHidden/>
              </w:rPr>
            </w:r>
            <w:r w:rsidR="003471C6">
              <w:rPr>
                <w:noProof/>
                <w:webHidden/>
              </w:rPr>
              <w:fldChar w:fldCharType="separate"/>
            </w:r>
            <w:r w:rsidR="003471C6">
              <w:rPr>
                <w:noProof/>
                <w:webHidden/>
              </w:rPr>
              <w:t>7</w:t>
            </w:r>
            <w:r w:rsidR="003471C6">
              <w:rPr>
                <w:noProof/>
                <w:webHidden/>
              </w:rPr>
              <w:fldChar w:fldCharType="end"/>
            </w:r>
          </w:hyperlink>
        </w:p>
        <w:p w14:paraId="345AB4B3" w14:textId="32D2DA5D" w:rsidR="003471C6" w:rsidRDefault="00E872DF">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670" w:history="1">
            <w:r w:rsidR="003471C6" w:rsidRPr="006A4A80">
              <w:rPr>
                <w:rStyle w:val="Hyperlink"/>
                <w:noProof/>
                <w:lang w:val="nl-BE"/>
              </w:rPr>
              <w:t>6.3.</w:t>
            </w:r>
            <w:r w:rsidR="003471C6">
              <w:rPr>
                <w:rFonts w:asciiTheme="minorHAnsi" w:eastAsiaTheme="minorEastAsia" w:hAnsiTheme="minorHAnsi" w:cstheme="minorBidi"/>
                <w:noProof/>
                <w:spacing w:val="0"/>
                <w:sz w:val="22"/>
                <w:lang w:eastAsia="fr-BE"/>
              </w:rPr>
              <w:tab/>
            </w:r>
            <w:r w:rsidR="003471C6" w:rsidRPr="006A4A80">
              <w:rPr>
                <w:rStyle w:val="Hyperlink"/>
                <w:noProof/>
                <w:lang w:val="nl-BE"/>
              </w:rPr>
              <w:t>Granulariteit van de netwerkelementen waarvoor een individuele fiche dient opgesteld te worden</w:t>
            </w:r>
            <w:r w:rsidR="003471C6">
              <w:rPr>
                <w:noProof/>
                <w:webHidden/>
              </w:rPr>
              <w:tab/>
            </w:r>
            <w:r w:rsidR="003471C6">
              <w:rPr>
                <w:noProof/>
                <w:webHidden/>
              </w:rPr>
              <w:fldChar w:fldCharType="begin"/>
            </w:r>
            <w:r w:rsidR="003471C6">
              <w:rPr>
                <w:noProof/>
                <w:webHidden/>
              </w:rPr>
              <w:instrText xml:space="preserve"> PAGEREF _Toc135085670 \h </w:instrText>
            </w:r>
            <w:r w:rsidR="003471C6">
              <w:rPr>
                <w:noProof/>
                <w:webHidden/>
              </w:rPr>
            </w:r>
            <w:r w:rsidR="003471C6">
              <w:rPr>
                <w:noProof/>
                <w:webHidden/>
              </w:rPr>
              <w:fldChar w:fldCharType="separate"/>
            </w:r>
            <w:r w:rsidR="003471C6">
              <w:rPr>
                <w:noProof/>
                <w:webHidden/>
              </w:rPr>
              <w:t>8</w:t>
            </w:r>
            <w:r w:rsidR="003471C6">
              <w:rPr>
                <w:noProof/>
                <w:webHidden/>
              </w:rPr>
              <w:fldChar w:fldCharType="end"/>
            </w:r>
          </w:hyperlink>
        </w:p>
        <w:p w14:paraId="16D2FA04" w14:textId="33EDF301" w:rsidR="003471C6" w:rsidRDefault="00E872DF">
          <w:pPr>
            <w:pStyle w:val="TOC2"/>
            <w:tabs>
              <w:tab w:val="left" w:pos="880"/>
              <w:tab w:val="right" w:leader="dot" w:pos="9062"/>
            </w:tabs>
            <w:rPr>
              <w:rFonts w:asciiTheme="minorHAnsi" w:eastAsiaTheme="minorEastAsia" w:hAnsiTheme="minorHAnsi" w:cstheme="minorBidi"/>
              <w:noProof/>
              <w:spacing w:val="0"/>
              <w:sz w:val="22"/>
              <w:lang w:eastAsia="fr-BE"/>
            </w:rPr>
          </w:pPr>
          <w:hyperlink w:anchor="_Toc135085671" w:history="1">
            <w:r w:rsidR="003471C6" w:rsidRPr="006A4A80">
              <w:rPr>
                <w:rStyle w:val="Hyperlink"/>
                <w:noProof/>
                <w:lang w:val="nl-BE"/>
              </w:rPr>
              <w:t>6.4.</w:t>
            </w:r>
            <w:r w:rsidR="003471C6">
              <w:rPr>
                <w:rFonts w:asciiTheme="minorHAnsi" w:eastAsiaTheme="minorEastAsia" w:hAnsiTheme="minorHAnsi" w:cstheme="minorBidi"/>
                <w:noProof/>
                <w:spacing w:val="0"/>
                <w:sz w:val="22"/>
                <w:lang w:eastAsia="fr-BE"/>
              </w:rPr>
              <w:tab/>
            </w:r>
            <w:r w:rsidR="003471C6" w:rsidRPr="006A4A80">
              <w:rPr>
                <w:rStyle w:val="Hyperlink"/>
                <w:noProof/>
                <w:lang w:val="nl-BE"/>
              </w:rPr>
              <w:t>Nadere bepalingen voor de verzending van het dossier aan het BIPT</w:t>
            </w:r>
            <w:r w:rsidR="003471C6">
              <w:rPr>
                <w:noProof/>
                <w:webHidden/>
              </w:rPr>
              <w:tab/>
            </w:r>
            <w:r w:rsidR="003471C6">
              <w:rPr>
                <w:noProof/>
                <w:webHidden/>
              </w:rPr>
              <w:fldChar w:fldCharType="begin"/>
            </w:r>
            <w:r w:rsidR="003471C6">
              <w:rPr>
                <w:noProof/>
                <w:webHidden/>
              </w:rPr>
              <w:instrText xml:space="preserve"> PAGEREF _Toc135085671 \h </w:instrText>
            </w:r>
            <w:r w:rsidR="003471C6">
              <w:rPr>
                <w:noProof/>
                <w:webHidden/>
              </w:rPr>
            </w:r>
            <w:r w:rsidR="003471C6">
              <w:rPr>
                <w:noProof/>
                <w:webHidden/>
              </w:rPr>
              <w:fldChar w:fldCharType="separate"/>
            </w:r>
            <w:r w:rsidR="003471C6">
              <w:rPr>
                <w:noProof/>
                <w:webHidden/>
              </w:rPr>
              <w:t>11</w:t>
            </w:r>
            <w:r w:rsidR="003471C6">
              <w:rPr>
                <w:noProof/>
                <w:webHidden/>
              </w:rPr>
              <w:fldChar w:fldCharType="end"/>
            </w:r>
          </w:hyperlink>
        </w:p>
        <w:p w14:paraId="36CE2DC4" w14:textId="7C0A7F25" w:rsidR="003471C6" w:rsidRDefault="00E872DF">
          <w:pPr>
            <w:pStyle w:val="TOC1"/>
            <w:tabs>
              <w:tab w:val="left" w:pos="400"/>
            </w:tabs>
            <w:rPr>
              <w:rFonts w:asciiTheme="minorHAnsi" w:eastAsiaTheme="minorEastAsia" w:hAnsiTheme="minorHAnsi" w:cstheme="minorBidi"/>
              <w:noProof/>
              <w:sz w:val="22"/>
              <w:lang w:eastAsia="fr-BE"/>
            </w:rPr>
          </w:pPr>
          <w:hyperlink w:anchor="_Toc135085672" w:history="1">
            <w:r w:rsidR="003471C6" w:rsidRPr="006A4A80">
              <w:rPr>
                <w:rStyle w:val="Hyperlink"/>
                <w:noProof/>
                <w:lang w:val="nl-BE"/>
                <w14:scene3d>
                  <w14:camera w14:prst="orthographicFront"/>
                  <w14:lightRig w14:rig="threePt" w14:dir="t">
                    <w14:rot w14:lat="0" w14:lon="0" w14:rev="0"/>
                  </w14:lightRig>
                </w14:scene3d>
              </w:rPr>
              <w:t>7.</w:t>
            </w:r>
            <w:r w:rsidR="003471C6">
              <w:rPr>
                <w:rFonts w:asciiTheme="minorHAnsi" w:eastAsiaTheme="minorEastAsia" w:hAnsiTheme="minorHAnsi" w:cstheme="minorBidi"/>
                <w:noProof/>
                <w:sz w:val="22"/>
                <w:lang w:eastAsia="fr-BE"/>
              </w:rPr>
              <w:tab/>
            </w:r>
            <w:r w:rsidR="003471C6" w:rsidRPr="006A4A80">
              <w:rPr>
                <w:rStyle w:val="Hyperlink"/>
                <w:noProof/>
                <w:lang w:val="nl-BE"/>
              </w:rPr>
              <w:t>Doorzenden van het dossier aan de betrokken ministers en aan de inlichtingen- en veiligheidsdiensten</w:t>
            </w:r>
            <w:r w:rsidR="003471C6">
              <w:rPr>
                <w:noProof/>
                <w:webHidden/>
              </w:rPr>
              <w:tab/>
            </w:r>
            <w:r w:rsidR="003471C6">
              <w:rPr>
                <w:noProof/>
                <w:webHidden/>
              </w:rPr>
              <w:fldChar w:fldCharType="begin"/>
            </w:r>
            <w:r w:rsidR="003471C6">
              <w:rPr>
                <w:noProof/>
                <w:webHidden/>
              </w:rPr>
              <w:instrText xml:space="preserve"> PAGEREF _Toc135085672 \h </w:instrText>
            </w:r>
            <w:r w:rsidR="003471C6">
              <w:rPr>
                <w:noProof/>
                <w:webHidden/>
              </w:rPr>
            </w:r>
            <w:r w:rsidR="003471C6">
              <w:rPr>
                <w:noProof/>
                <w:webHidden/>
              </w:rPr>
              <w:fldChar w:fldCharType="separate"/>
            </w:r>
            <w:r w:rsidR="003471C6">
              <w:rPr>
                <w:noProof/>
                <w:webHidden/>
              </w:rPr>
              <w:t>12</w:t>
            </w:r>
            <w:r w:rsidR="003471C6">
              <w:rPr>
                <w:noProof/>
                <w:webHidden/>
              </w:rPr>
              <w:fldChar w:fldCharType="end"/>
            </w:r>
          </w:hyperlink>
        </w:p>
        <w:p w14:paraId="1EBE8887" w14:textId="0FE01084" w:rsidR="003471C6" w:rsidRDefault="00E872DF">
          <w:pPr>
            <w:pStyle w:val="TOC1"/>
            <w:tabs>
              <w:tab w:val="left" w:pos="400"/>
            </w:tabs>
            <w:rPr>
              <w:rFonts w:asciiTheme="minorHAnsi" w:eastAsiaTheme="minorEastAsia" w:hAnsiTheme="minorHAnsi" w:cstheme="minorBidi"/>
              <w:noProof/>
              <w:sz w:val="22"/>
              <w:lang w:eastAsia="fr-BE"/>
            </w:rPr>
          </w:pPr>
          <w:hyperlink w:anchor="_Toc135085673" w:history="1">
            <w:r w:rsidR="003471C6" w:rsidRPr="006A4A80">
              <w:rPr>
                <w:rStyle w:val="Hyperlink"/>
                <w:noProof/>
                <w14:scene3d>
                  <w14:camera w14:prst="orthographicFront"/>
                  <w14:lightRig w14:rig="threePt" w14:dir="t">
                    <w14:rot w14:lat="0" w14:lon="0" w14:rev="0"/>
                  </w14:lightRig>
                </w14:scene3d>
              </w:rPr>
              <w:t>8.</w:t>
            </w:r>
            <w:r w:rsidR="003471C6">
              <w:rPr>
                <w:rFonts w:asciiTheme="minorHAnsi" w:eastAsiaTheme="minorEastAsia" w:hAnsiTheme="minorHAnsi" w:cstheme="minorBidi"/>
                <w:noProof/>
                <w:sz w:val="22"/>
                <w:lang w:eastAsia="fr-BE"/>
              </w:rPr>
              <w:tab/>
            </w:r>
            <w:r w:rsidR="003471C6" w:rsidRPr="006A4A80">
              <w:rPr>
                <w:rStyle w:val="Hyperlink"/>
                <w:noProof/>
              </w:rPr>
              <w:t>Aanvullende informatie</w:t>
            </w:r>
            <w:r w:rsidR="003471C6">
              <w:rPr>
                <w:noProof/>
                <w:webHidden/>
              </w:rPr>
              <w:tab/>
            </w:r>
            <w:r w:rsidR="003471C6">
              <w:rPr>
                <w:noProof/>
                <w:webHidden/>
              </w:rPr>
              <w:fldChar w:fldCharType="begin"/>
            </w:r>
            <w:r w:rsidR="003471C6">
              <w:rPr>
                <w:noProof/>
                <w:webHidden/>
              </w:rPr>
              <w:instrText xml:space="preserve"> PAGEREF _Toc135085673 \h </w:instrText>
            </w:r>
            <w:r w:rsidR="003471C6">
              <w:rPr>
                <w:noProof/>
                <w:webHidden/>
              </w:rPr>
            </w:r>
            <w:r w:rsidR="003471C6">
              <w:rPr>
                <w:noProof/>
                <w:webHidden/>
              </w:rPr>
              <w:fldChar w:fldCharType="separate"/>
            </w:r>
            <w:r w:rsidR="003471C6">
              <w:rPr>
                <w:noProof/>
                <w:webHidden/>
              </w:rPr>
              <w:t>12</w:t>
            </w:r>
            <w:r w:rsidR="003471C6">
              <w:rPr>
                <w:noProof/>
                <w:webHidden/>
              </w:rPr>
              <w:fldChar w:fldCharType="end"/>
            </w:r>
          </w:hyperlink>
        </w:p>
        <w:p w14:paraId="0E887218" w14:textId="56B4674D" w:rsidR="003471C6" w:rsidRDefault="00E872DF">
          <w:pPr>
            <w:pStyle w:val="TOC1"/>
            <w:tabs>
              <w:tab w:val="left" w:pos="400"/>
            </w:tabs>
            <w:rPr>
              <w:rFonts w:asciiTheme="minorHAnsi" w:eastAsiaTheme="minorEastAsia" w:hAnsiTheme="minorHAnsi" w:cstheme="minorBidi"/>
              <w:noProof/>
              <w:sz w:val="22"/>
              <w:lang w:eastAsia="fr-BE"/>
            </w:rPr>
          </w:pPr>
          <w:hyperlink w:anchor="_Toc135085674" w:history="1">
            <w:r w:rsidR="003471C6" w:rsidRPr="006A4A80">
              <w:rPr>
                <w:rStyle w:val="Hyperlink"/>
                <w:noProof/>
                <w:lang w:val="nl-BE"/>
                <w14:scene3d>
                  <w14:camera w14:prst="orthographicFront"/>
                  <w14:lightRig w14:rig="threePt" w14:dir="t">
                    <w14:rot w14:lat="0" w14:lon="0" w14:rev="0"/>
                  </w14:lightRig>
                </w14:scene3d>
              </w:rPr>
              <w:t>9.</w:t>
            </w:r>
            <w:r w:rsidR="003471C6">
              <w:rPr>
                <w:rFonts w:asciiTheme="minorHAnsi" w:eastAsiaTheme="minorEastAsia" w:hAnsiTheme="minorHAnsi" w:cstheme="minorBidi"/>
                <w:noProof/>
                <w:sz w:val="22"/>
                <w:lang w:eastAsia="fr-BE"/>
              </w:rPr>
              <w:tab/>
            </w:r>
            <w:r w:rsidR="003471C6" w:rsidRPr="006A4A80">
              <w:rPr>
                <w:rStyle w:val="Hyperlink"/>
                <w:noProof/>
                <w:lang w:val="nl-BE"/>
              </w:rPr>
              <w:t>Advies van het BIPT en de inlichtingen- en veiligheidsdiensten</w:t>
            </w:r>
            <w:r w:rsidR="003471C6">
              <w:rPr>
                <w:noProof/>
                <w:webHidden/>
              </w:rPr>
              <w:tab/>
            </w:r>
            <w:r w:rsidR="003471C6">
              <w:rPr>
                <w:noProof/>
                <w:webHidden/>
              </w:rPr>
              <w:fldChar w:fldCharType="begin"/>
            </w:r>
            <w:r w:rsidR="003471C6">
              <w:rPr>
                <w:noProof/>
                <w:webHidden/>
              </w:rPr>
              <w:instrText xml:space="preserve"> PAGEREF _Toc135085674 \h </w:instrText>
            </w:r>
            <w:r w:rsidR="003471C6">
              <w:rPr>
                <w:noProof/>
                <w:webHidden/>
              </w:rPr>
            </w:r>
            <w:r w:rsidR="003471C6">
              <w:rPr>
                <w:noProof/>
                <w:webHidden/>
              </w:rPr>
              <w:fldChar w:fldCharType="separate"/>
            </w:r>
            <w:r w:rsidR="003471C6">
              <w:rPr>
                <w:noProof/>
                <w:webHidden/>
              </w:rPr>
              <w:t>13</w:t>
            </w:r>
            <w:r w:rsidR="003471C6">
              <w:rPr>
                <w:noProof/>
                <w:webHidden/>
              </w:rPr>
              <w:fldChar w:fldCharType="end"/>
            </w:r>
          </w:hyperlink>
        </w:p>
        <w:p w14:paraId="238DCE66" w14:textId="26894076" w:rsidR="003471C6" w:rsidRDefault="00E872DF">
          <w:pPr>
            <w:pStyle w:val="TOC1"/>
            <w:tabs>
              <w:tab w:val="left" w:pos="660"/>
            </w:tabs>
            <w:rPr>
              <w:rFonts w:asciiTheme="minorHAnsi" w:eastAsiaTheme="minorEastAsia" w:hAnsiTheme="minorHAnsi" w:cstheme="minorBidi"/>
              <w:noProof/>
              <w:sz w:val="22"/>
              <w:lang w:eastAsia="fr-BE"/>
            </w:rPr>
          </w:pPr>
          <w:hyperlink w:anchor="_Toc135085675" w:history="1">
            <w:r w:rsidR="003471C6" w:rsidRPr="006A4A80">
              <w:rPr>
                <w:rStyle w:val="Hyperlink"/>
                <w:noProof/>
                <w:lang w:val="nl-BE"/>
                <w14:scene3d>
                  <w14:camera w14:prst="orthographicFront"/>
                  <w14:lightRig w14:rig="threePt" w14:dir="t">
                    <w14:rot w14:lat="0" w14:lon="0" w14:rev="0"/>
                  </w14:lightRig>
                </w14:scene3d>
              </w:rPr>
              <w:t>10.</w:t>
            </w:r>
            <w:r w:rsidR="003471C6">
              <w:rPr>
                <w:rFonts w:asciiTheme="minorHAnsi" w:eastAsiaTheme="minorEastAsia" w:hAnsiTheme="minorHAnsi" w:cstheme="minorBidi"/>
                <w:noProof/>
                <w:sz w:val="22"/>
                <w:lang w:eastAsia="fr-BE"/>
              </w:rPr>
              <w:tab/>
            </w:r>
            <w:r w:rsidR="003471C6" w:rsidRPr="006A4A80">
              <w:rPr>
                <w:rStyle w:val="Hyperlink"/>
                <w:noProof/>
                <w:lang w:val="nl-BE"/>
              </w:rPr>
              <w:t>Aanvullende informatie wanneer wordt beschouwd dat de producent van netwerkelementen een hoog risico vormt (enkel van toepassing wanneer de verzoeker een MNO is)</w:t>
            </w:r>
            <w:r w:rsidR="003471C6">
              <w:rPr>
                <w:noProof/>
                <w:webHidden/>
              </w:rPr>
              <w:tab/>
            </w:r>
            <w:r w:rsidR="003471C6">
              <w:rPr>
                <w:noProof/>
                <w:webHidden/>
              </w:rPr>
              <w:fldChar w:fldCharType="begin"/>
            </w:r>
            <w:r w:rsidR="003471C6">
              <w:rPr>
                <w:noProof/>
                <w:webHidden/>
              </w:rPr>
              <w:instrText xml:space="preserve"> PAGEREF _Toc135085675 \h </w:instrText>
            </w:r>
            <w:r w:rsidR="003471C6">
              <w:rPr>
                <w:noProof/>
                <w:webHidden/>
              </w:rPr>
            </w:r>
            <w:r w:rsidR="003471C6">
              <w:rPr>
                <w:noProof/>
                <w:webHidden/>
              </w:rPr>
              <w:fldChar w:fldCharType="separate"/>
            </w:r>
            <w:r w:rsidR="003471C6">
              <w:rPr>
                <w:noProof/>
                <w:webHidden/>
              </w:rPr>
              <w:t>13</w:t>
            </w:r>
            <w:r w:rsidR="003471C6">
              <w:rPr>
                <w:noProof/>
                <w:webHidden/>
              </w:rPr>
              <w:fldChar w:fldCharType="end"/>
            </w:r>
          </w:hyperlink>
        </w:p>
        <w:p w14:paraId="1233E411" w14:textId="7099E243" w:rsidR="003471C6" w:rsidRDefault="00E872DF">
          <w:pPr>
            <w:pStyle w:val="TOC1"/>
            <w:tabs>
              <w:tab w:val="left" w:pos="660"/>
            </w:tabs>
            <w:rPr>
              <w:rFonts w:asciiTheme="minorHAnsi" w:eastAsiaTheme="minorEastAsia" w:hAnsiTheme="minorHAnsi" w:cstheme="minorBidi"/>
              <w:noProof/>
              <w:sz w:val="22"/>
              <w:lang w:eastAsia="fr-BE"/>
            </w:rPr>
          </w:pPr>
          <w:hyperlink w:anchor="_Toc135085676" w:history="1">
            <w:r w:rsidR="003471C6" w:rsidRPr="006A4A80">
              <w:rPr>
                <w:rStyle w:val="Hyperlink"/>
                <w:noProof/>
                <w:lang w:val="nl-BE"/>
                <w14:scene3d>
                  <w14:camera w14:prst="orthographicFront"/>
                  <w14:lightRig w14:rig="threePt" w14:dir="t">
                    <w14:rot w14:lat="0" w14:lon="0" w14:rev="0"/>
                  </w14:lightRig>
                </w14:scene3d>
              </w:rPr>
              <w:t>11.</w:t>
            </w:r>
            <w:r w:rsidR="003471C6">
              <w:rPr>
                <w:rFonts w:asciiTheme="minorHAnsi" w:eastAsiaTheme="minorEastAsia" w:hAnsiTheme="minorHAnsi" w:cstheme="minorBidi"/>
                <w:noProof/>
                <w:sz w:val="22"/>
                <w:lang w:eastAsia="fr-BE"/>
              </w:rPr>
              <w:tab/>
            </w:r>
            <w:r w:rsidR="003471C6" w:rsidRPr="006A4A80">
              <w:rPr>
                <w:rStyle w:val="Hyperlink"/>
                <w:noProof/>
                <w:lang w:val="nl-BE"/>
              </w:rPr>
              <w:t>Hoorzitting van de verzoeker en verstrekking van zijn schriftelijke opmerkingen</w:t>
            </w:r>
            <w:r w:rsidR="003471C6">
              <w:rPr>
                <w:noProof/>
                <w:webHidden/>
              </w:rPr>
              <w:tab/>
            </w:r>
            <w:r w:rsidR="003471C6">
              <w:rPr>
                <w:noProof/>
                <w:webHidden/>
              </w:rPr>
              <w:fldChar w:fldCharType="begin"/>
            </w:r>
            <w:r w:rsidR="003471C6">
              <w:rPr>
                <w:noProof/>
                <w:webHidden/>
              </w:rPr>
              <w:instrText xml:space="preserve"> PAGEREF _Toc135085676 \h </w:instrText>
            </w:r>
            <w:r w:rsidR="003471C6">
              <w:rPr>
                <w:noProof/>
                <w:webHidden/>
              </w:rPr>
            </w:r>
            <w:r w:rsidR="003471C6">
              <w:rPr>
                <w:noProof/>
                <w:webHidden/>
              </w:rPr>
              <w:fldChar w:fldCharType="separate"/>
            </w:r>
            <w:r w:rsidR="003471C6">
              <w:rPr>
                <w:noProof/>
                <w:webHidden/>
              </w:rPr>
              <w:t>13</w:t>
            </w:r>
            <w:r w:rsidR="003471C6">
              <w:rPr>
                <w:noProof/>
                <w:webHidden/>
              </w:rPr>
              <w:fldChar w:fldCharType="end"/>
            </w:r>
          </w:hyperlink>
        </w:p>
        <w:p w14:paraId="6BC11ED0" w14:textId="36EBDF1C" w:rsidR="003471C6" w:rsidRDefault="00E872DF">
          <w:pPr>
            <w:pStyle w:val="TOC1"/>
            <w:tabs>
              <w:tab w:val="left" w:pos="660"/>
            </w:tabs>
            <w:rPr>
              <w:rFonts w:asciiTheme="minorHAnsi" w:eastAsiaTheme="minorEastAsia" w:hAnsiTheme="minorHAnsi" w:cstheme="minorBidi"/>
              <w:noProof/>
              <w:sz w:val="22"/>
              <w:lang w:eastAsia="fr-BE"/>
            </w:rPr>
          </w:pPr>
          <w:hyperlink w:anchor="_Toc135085677" w:history="1">
            <w:r w:rsidR="003471C6" w:rsidRPr="006A4A80">
              <w:rPr>
                <w:rStyle w:val="Hyperlink"/>
                <w:noProof/>
                <w14:scene3d>
                  <w14:camera w14:prst="orthographicFront"/>
                  <w14:lightRig w14:rig="threePt" w14:dir="t">
                    <w14:rot w14:lat="0" w14:lon="0" w14:rev="0"/>
                  </w14:lightRig>
                </w14:scene3d>
              </w:rPr>
              <w:t>12.</w:t>
            </w:r>
            <w:r w:rsidR="003471C6">
              <w:rPr>
                <w:rFonts w:asciiTheme="minorHAnsi" w:eastAsiaTheme="minorEastAsia" w:hAnsiTheme="minorHAnsi" w:cstheme="minorBidi"/>
                <w:noProof/>
                <w:sz w:val="22"/>
                <w:lang w:eastAsia="fr-BE"/>
              </w:rPr>
              <w:tab/>
            </w:r>
            <w:r w:rsidR="003471C6" w:rsidRPr="006A4A80">
              <w:rPr>
                <w:rStyle w:val="Hyperlink"/>
                <w:noProof/>
              </w:rPr>
              <w:t>Eindbeslissing</w:t>
            </w:r>
            <w:r w:rsidR="003471C6">
              <w:rPr>
                <w:noProof/>
                <w:webHidden/>
              </w:rPr>
              <w:tab/>
            </w:r>
            <w:r w:rsidR="003471C6">
              <w:rPr>
                <w:noProof/>
                <w:webHidden/>
              </w:rPr>
              <w:fldChar w:fldCharType="begin"/>
            </w:r>
            <w:r w:rsidR="003471C6">
              <w:rPr>
                <w:noProof/>
                <w:webHidden/>
              </w:rPr>
              <w:instrText xml:space="preserve"> PAGEREF _Toc135085677 \h </w:instrText>
            </w:r>
            <w:r w:rsidR="003471C6">
              <w:rPr>
                <w:noProof/>
                <w:webHidden/>
              </w:rPr>
            </w:r>
            <w:r w:rsidR="003471C6">
              <w:rPr>
                <w:noProof/>
                <w:webHidden/>
              </w:rPr>
              <w:fldChar w:fldCharType="separate"/>
            </w:r>
            <w:r w:rsidR="003471C6">
              <w:rPr>
                <w:noProof/>
                <w:webHidden/>
              </w:rPr>
              <w:t>14</w:t>
            </w:r>
            <w:r w:rsidR="003471C6">
              <w:rPr>
                <w:noProof/>
                <w:webHidden/>
              </w:rPr>
              <w:fldChar w:fldCharType="end"/>
            </w:r>
          </w:hyperlink>
        </w:p>
        <w:p w14:paraId="6AC80C11" w14:textId="383AD7C8" w:rsidR="003471C6" w:rsidRDefault="00E872DF">
          <w:pPr>
            <w:pStyle w:val="TOC1"/>
            <w:tabs>
              <w:tab w:val="left" w:pos="660"/>
            </w:tabs>
            <w:rPr>
              <w:rFonts w:asciiTheme="minorHAnsi" w:eastAsiaTheme="minorEastAsia" w:hAnsiTheme="minorHAnsi" w:cstheme="minorBidi"/>
              <w:noProof/>
              <w:sz w:val="22"/>
              <w:lang w:eastAsia="fr-BE"/>
            </w:rPr>
          </w:pPr>
          <w:hyperlink w:anchor="_Toc135085678" w:history="1">
            <w:r w:rsidR="003471C6" w:rsidRPr="006A4A80">
              <w:rPr>
                <w:rStyle w:val="Hyperlink"/>
                <w:noProof/>
                <w:lang w:val="nl-BE"/>
                <w14:scene3d>
                  <w14:camera w14:prst="orthographicFront"/>
                  <w14:lightRig w14:rig="threePt" w14:dir="t">
                    <w14:rot w14:lat="0" w14:lon="0" w14:rev="0"/>
                  </w14:lightRig>
                </w14:scene3d>
              </w:rPr>
              <w:t>13.</w:t>
            </w:r>
            <w:r w:rsidR="003471C6">
              <w:rPr>
                <w:rFonts w:asciiTheme="minorHAnsi" w:eastAsiaTheme="minorEastAsia" w:hAnsiTheme="minorHAnsi" w:cstheme="minorBidi"/>
                <w:noProof/>
                <w:sz w:val="22"/>
                <w:lang w:eastAsia="fr-BE"/>
              </w:rPr>
              <w:tab/>
            </w:r>
            <w:r w:rsidR="003471C6" w:rsidRPr="006A4A80">
              <w:rPr>
                <w:rStyle w:val="Hyperlink"/>
                <w:noProof/>
                <w:lang w:val="nl-BE"/>
              </w:rPr>
              <w:t>Wijziging van een reeds ingediend dossier</w:t>
            </w:r>
            <w:r w:rsidR="003471C6">
              <w:rPr>
                <w:noProof/>
                <w:webHidden/>
              </w:rPr>
              <w:tab/>
            </w:r>
            <w:r w:rsidR="003471C6">
              <w:rPr>
                <w:noProof/>
                <w:webHidden/>
              </w:rPr>
              <w:fldChar w:fldCharType="begin"/>
            </w:r>
            <w:r w:rsidR="003471C6">
              <w:rPr>
                <w:noProof/>
                <w:webHidden/>
              </w:rPr>
              <w:instrText xml:space="preserve"> PAGEREF _Toc135085678 \h </w:instrText>
            </w:r>
            <w:r w:rsidR="003471C6">
              <w:rPr>
                <w:noProof/>
                <w:webHidden/>
              </w:rPr>
            </w:r>
            <w:r w:rsidR="003471C6">
              <w:rPr>
                <w:noProof/>
                <w:webHidden/>
              </w:rPr>
              <w:fldChar w:fldCharType="separate"/>
            </w:r>
            <w:r w:rsidR="003471C6">
              <w:rPr>
                <w:noProof/>
                <w:webHidden/>
              </w:rPr>
              <w:t>14</w:t>
            </w:r>
            <w:r w:rsidR="003471C6">
              <w:rPr>
                <w:noProof/>
                <w:webHidden/>
              </w:rPr>
              <w:fldChar w:fldCharType="end"/>
            </w:r>
          </w:hyperlink>
        </w:p>
        <w:p w14:paraId="4A20BB80" w14:textId="1783E7C8" w:rsidR="00034129" w:rsidRPr="00715DE3" w:rsidRDefault="00034129" w:rsidP="00034129">
          <w:r w:rsidRPr="00715DE3">
            <w:rPr>
              <w:b/>
              <w:color w:val="2B579A"/>
              <w:shd w:val="clear" w:color="auto" w:fill="E6E6E6"/>
            </w:rPr>
            <w:fldChar w:fldCharType="end"/>
          </w:r>
        </w:p>
      </w:sdtContent>
    </w:sdt>
    <w:p w14:paraId="64C5EDBF" w14:textId="77777777" w:rsidR="00034129" w:rsidRPr="00715DE3" w:rsidRDefault="00034129" w:rsidP="00034129">
      <w:pPr>
        <w:spacing w:after="160" w:line="259" w:lineRule="auto"/>
        <w:jc w:val="left"/>
      </w:pPr>
    </w:p>
    <w:p w14:paraId="183EA6D5" w14:textId="77777777" w:rsidR="00034129" w:rsidRPr="00715DE3" w:rsidRDefault="00034129" w:rsidP="00034129">
      <w:pPr>
        <w:spacing w:after="160" w:line="259" w:lineRule="auto"/>
        <w:jc w:val="left"/>
      </w:pPr>
      <w:r w:rsidRPr="00715DE3">
        <w:br w:type="page"/>
      </w:r>
    </w:p>
    <w:p w14:paraId="3693092E" w14:textId="77777777" w:rsidR="00034129" w:rsidRPr="00715DE3" w:rsidRDefault="00034129" w:rsidP="00034129">
      <w:pPr>
        <w:pStyle w:val="Heading1"/>
        <w:numPr>
          <w:ilvl w:val="0"/>
          <w:numId w:val="7"/>
        </w:numPr>
      </w:pPr>
      <w:bookmarkStart w:id="0" w:name="_Toc135085662"/>
      <w:r w:rsidRPr="00715DE3">
        <w:lastRenderedPageBreak/>
        <w:t>Doel van dit document</w:t>
      </w:r>
      <w:bookmarkEnd w:id="0"/>
      <w:r w:rsidRPr="00715DE3">
        <w:t xml:space="preserve"> </w:t>
      </w:r>
    </w:p>
    <w:p w14:paraId="41D3EE58" w14:textId="77777777" w:rsidR="00034129" w:rsidRPr="00715DE3" w:rsidRDefault="00034129" w:rsidP="00034129">
      <w:pPr>
        <w:pStyle w:val="Numberednormal"/>
        <w:numPr>
          <w:ilvl w:val="0"/>
          <w:numId w:val="6"/>
        </w:numPr>
      </w:pPr>
      <w:r w:rsidRPr="00715DE3">
        <w:t xml:space="preserve">Dit document is bestemd voor de verzoekers van een voorafgaande machtiging of regularisatie </w:t>
      </w:r>
      <w:proofErr w:type="gramStart"/>
      <w:r w:rsidRPr="00715DE3">
        <w:t>betreffende</w:t>
      </w:r>
      <w:proofErr w:type="gramEnd"/>
      <w:r w:rsidRPr="00715DE3">
        <w:t xml:space="preserve"> de beveiliging van 5G. </w:t>
      </w:r>
    </w:p>
    <w:p w14:paraId="7A6B8E7E" w14:textId="77777777" w:rsidR="00034129" w:rsidRPr="00715DE3" w:rsidRDefault="00034129" w:rsidP="00034129">
      <w:pPr>
        <w:pStyle w:val="Numberednormal"/>
        <w:numPr>
          <w:ilvl w:val="0"/>
          <w:numId w:val="0"/>
        </w:numPr>
        <w:ind w:left="360"/>
      </w:pPr>
    </w:p>
    <w:p w14:paraId="0B466087" w14:textId="77777777" w:rsidR="00034129" w:rsidRPr="00715DE3" w:rsidRDefault="00034129" w:rsidP="00034129">
      <w:pPr>
        <w:pStyle w:val="Numberednormal"/>
        <w:numPr>
          <w:ilvl w:val="0"/>
          <w:numId w:val="6"/>
        </w:numPr>
      </w:pPr>
      <w:r w:rsidRPr="00715DE3">
        <w:t xml:space="preserve">Het bevat informatie over de verschillende stappen die zullen worden gevolgd in het kader van dit verzoek om machtiging. </w:t>
      </w:r>
    </w:p>
    <w:p w14:paraId="7172CAF3" w14:textId="77777777" w:rsidR="00767BE2" w:rsidRPr="00715DE3" w:rsidRDefault="00767BE2" w:rsidP="00767BE2">
      <w:pPr>
        <w:pStyle w:val="Numberednormal"/>
        <w:numPr>
          <w:ilvl w:val="0"/>
          <w:numId w:val="0"/>
        </w:numPr>
        <w:ind w:left="360"/>
      </w:pPr>
    </w:p>
    <w:p w14:paraId="4FF6DECA" w14:textId="38B6265B" w:rsidR="00767BE2" w:rsidRPr="00715DE3" w:rsidRDefault="00767BE2" w:rsidP="00767BE2">
      <w:pPr>
        <w:pStyle w:val="Numberednormal"/>
      </w:pPr>
      <w:r w:rsidRPr="00715DE3">
        <w:t xml:space="preserve">Het </w:t>
      </w:r>
      <w:r w:rsidR="00452E47" w:rsidRPr="00715DE3">
        <w:t xml:space="preserve">biedt ook </w:t>
      </w:r>
      <w:r w:rsidRPr="00715DE3">
        <w:t>een antwoord op bepaalde vragen die in het kader van de raadpleging over dit document en zijn bijlage</w:t>
      </w:r>
      <w:r w:rsidR="006B46D6">
        <w:t>n</w:t>
      </w:r>
      <w:r w:rsidRPr="00715DE3">
        <w:t xml:space="preserve"> w</w:t>
      </w:r>
      <w:r w:rsidR="00452E47" w:rsidRPr="00715DE3">
        <w:t>e</w:t>
      </w:r>
      <w:r w:rsidRPr="00715DE3">
        <w:t xml:space="preserve">rden gesteld. </w:t>
      </w:r>
    </w:p>
    <w:p w14:paraId="25F1CC1F" w14:textId="77777777" w:rsidR="00034129" w:rsidRPr="00715DE3" w:rsidRDefault="00034129" w:rsidP="00034129">
      <w:pPr>
        <w:pStyle w:val="Numberednormal"/>
        <w:numPr>
          <w:ilvl w:val="0"/>
          <w:numId w:val="0"/>
        </w:numPr>
        <w:ind w:left="360"/>
      </w:pPr>
    </w:p>
    <w:p w14:paraId="48309A20" w14:textId="06B44240" w:rsidR="00034129" w:rsidRPr="00715DE3" w:rsidRDefault="00034129" w:rsidP="00034129">
      <w:pPr>
        <w:pStyle w:val="Numberednormal"/>
        <w:numPr>
          <w:ilvl w:val="0"/>
          <w:numId w:val="6"/>
        </w:numPr>
      </w:pPr>
      <w:r w:rsidRPr="00715DE3">
        <w:t>Deze machtiging moet worden aangevraagd in overeenstemming met artikel 105, § 1, van de wet van 13 juni 2005 betreffende de elektronische communicatie (hierna de wet betreffende de elektronische communicatie)</w:t>
      </w:r>
      <w:r w:rsidR="00767BE2" w:rsidRPr="00715DE3">
        <w:t xml:space="preserve"> en met het koninklijk besluit van </w:t>
      </w:r>
      <w:r w:rsidR="006B46D6">
        <w:t>16/04/2023</w:t>
      </w:r>
      <w:r w:rsidR="00767BE2" w:rsidRPr="00715DE3">
        <w:t xml:space="preserve"> betreffende de ministeriële machtiging in het kader van de uitrol van een 5G-netwerk (hierna het </w:t>
      </w:r>
      <w:proofErr w:type="gramStart"/>
      <w:r w:rsidR="00767BE2" w:rsidRPr="00715DE3">
        <w:t>KB machtiging</w:t>
      </w:r>
      <w:r w:rsidR="00D12A58" w:rsidRPr="00715DE3">
        <w:t>en</w:t>
      </w:r>
      <w:proofErr w:type="gramEnd"/>
      <w:r w:rsidR="00767BE2" w:rsidRPr="00715DE3">
        <w:t>)</w:t>
      </w:r>
      <w:r w:rsidRPr="00715DE3">
        <w:t xml:space="preserve">. </w:t>
      </w:r>
    </w:p>
    <w:p w14:paraId="293EA6B2" w14:textId="17292312" w:rsidR="00767BE2" w:rsidRPr="00715DE3" w:rsidRDefault="00422820" w:rsidP="00034129">
      <w:pPr>
        <w:pStyle w:val="Heading1"/>
        <w:numPr>
          <w:ilvl w:val="0"/>
          <w:numId w:val="7"/>
        </w:numPr>
        <w:rPr>
          <w:lang w:val="nl-BE"/>
        </w:rPr>
      </w:pPr>
      <w:bookmarkStart w:id="1" w:name="_Toc135085663"/>
      <w:r w:rsidRPr="00715DE3">
        <w:rPr>
          <w:lang w:val="nl-BE"/>
        </w:rPr>
        <w:t>Netwerkelementen buiten de s</w:t>
      </w:r>
      <w:r w:rsidR="00767BE2" w:rsidRPr="00715DE3">
        <w:rPr>
          <w:lang w:val="nl-BE"/>
        </w:rPr>
        <w:t xml:space="preserve">cope van het </w:t>
      </w:r>
      <w:proofErr w:type="gramStart"/>
      <w:r w:rsidR="00767BE2" w:rsidRPr="00715DE3">
        <w:rPr>
          <w:lang w:val="nl-BE"/>
        </w:rPr>
        <w:t>KB machtiging</w:t>
      </w:r>
      <w:r w:rsidR="00534FD3" w:rsidRPr="00715DE3">
        <w:rPr>
          <w:lang w:val="nl-BE"/>
        </w:rPr>
        <w:t>en</w:t>
      </w:r>
      <w:bookmarkEnd w:id="1"/>
      <w:proofErr w:type="gramEnd"/>
      <w:r w:rsidR="00767BE2" w:rsidRPr="00715DE3">
        <w:rPr>
          <w:lang w:val="nl-BE"/>
        </w:rPr>
        <w:t xml:space="preserve"> </w:t>
      </w:r>
    </w:p>
    <w:p w14:paraId="1854AEC7" w14:textId="77777777" w:rsidR="00422820" w:rsidRPr="00715DE3" w:rsidRDefault="00422820" w:rsidP="00422820">
      <w:pPr>
        <w:rPr>
          <w:lang w:val="nl-BE"/>
        </w:rPr>
      </w:pPr>
    </w:p>
    <w:p w14:paraId="587C0DD3" w14:textId="78C2AE1F" w:rsidR="00422820" w:rsidRPr="00715DE3" w:rsidRDefault="00422820" w:rsidP="00422820">
      <w:pPr>
        <w:pStyle w:val="Numberednormal"/>
      </w:pPr>
      <w:r w:rsidRPr="00715DE3">
        <w:t xml:space="preserve">Vraag van een operator: </w:t>
      </w:r>
    </w:p>
    <w:p w14:paraId="0092AE69" w14:textId="3B98B2A1" w:rsidR="00422820" w:rsidRPr="00715DE3" w:rsidRDefault="00422820" w:rsidP="00422820">
      <w:pPr>
        <w:ind w:left="360"/>
        <w:rPr>
          <w:rFonts w:cs="Tahoma"/>
          <w:szCs w:val="20"/>
          <w:lang w:val="nl-BE"/>
        </w:rPr>
      </w:pPr>
      <w:r w:rsidRPr="00715DE3">
        <w:rPr>
          <w:rFonts w:cs="Tahoma"/>
          <w:szCs w:val="20"/>
          <w:lang w:val="nl-BE"/>
        </w:rPr>
        <w:t xml:space="preserve">“Van een aantal netwerkelementen die niet expliciet vermeld zijn in het Koninklijk Besluit, nemen we aan dit Koninklijk Besluit niet van toepassing is, aangezien ze geen 5G verkeer afhandelen. </w:t>
      </w:r>
    </w:p>
    <w:p w14:paraId="7A1B3379" w14:textId="4832510B" w:rsidR="00422820" w:rsidRPr="00715DE3" w:rsidRDefault="00422820" w:rsidP="00422820">
      <w:pPr>
        <w:ind w:left="360"/>
        <w:rPr>
          <w:rFonts w:cs="Tahoma"/>
          <w:szCs w:val="20"/>
          <w:lang w:val="nl-BE"/>
        </w:rPr>
      </w:pPr>
      <w:r w:rsidRPr="00715DE3">
        <w:rPr>
          <w:rFonts w:cs="Tahoma"/>
          <w:szCs w:val="20"/>
          <w:lang w:val="nl-BE"/>
        </w:rPr>
        <w:t xml:space="preserve">Specifiek betreft het (1) de </w:t>
      </w:r>
      <w:proofErr w:type="gramStart"/>
      <w:r w:rsidRPr="00715DE3">
        <w:rPr>
          <w:rFonts w:cs="Tahoma"/>
          <w:szCs w:val="20"/>
          <w:lang w:val="nl-BE"/>
        </w:rPr>
        <w:t>PKI server</w:t>
      </w:r>
      <w:proofErr w:type="gramEnd"/>
      <w:r w:rsidRPr="00715DE3">
        <w:rPr>
          <w:rFonts w:cs="Tahoma"/>
          <w:szCs w:val="20"/>
          <w:lang w:val="nl-BE"/>
        </w:rPr>
        <w:t xml:space="preserve"> (</w:t>
      </w:r>
      <w:proofErr w:type="spellStart"/>
      <w:r w:rsidRPr="00715DE3">
        <w:rPr>
          <w:rFonts w:cs="Tahoma"/>
          <w:szCs w:val="20"/>
          <w:lang w:val="nl-BE"/>
        </w:rPr>
        <w:t>key</w:t>
      </w:r>
      <w:proofErr w:type="spellEnd"/>
      <w:r w:rsidRPr="00715DE3">
        <w:rPr>
          <w:rFonts w:cs="Tahoma"/>
          <w:szCs w:val="20"/>
          <w:lang w:val="nl-BE"/>
        </w:rPr>
        <w:t xml:space="preserve"> </w:t>
      </w:r>
      <w:proofErr w:type="spellStart"/>
      <w:r w:rsidRPr="00715DE3">
        <w:rPr>
          <w:rFonts w:cs="Tahoma"/>
          <w:szCs w:val="20"/>
          <w:lang w:val="nl-BE"/>
        </w:rPr>
        <w:t>distribution</w:t>
      </w:r>
      <w:proofErr w:type="spellEnd"/>
      <w:r w:rsidRPr="00715DE3">
        <w:rPr>
          <w:rFonts w:cs="Tahoma"/>
          <w:szCs w:val="20"/>
          <w:lang w:val="nl-BE"/>
        </w:rPr>
        <w:t xml:space="preserve"> server voor encryptie) en (2) het synchronisatie netwerk met referentie klokken.</w:t>
      </w:r>
      <w:r w:rsidR="00452E47" w:rsidRPr="00715DE3">
        <w:rPr>
          <w:rFonts w:cs="Tahoma"/>
          <w:szCs w:val="20"/>
          <w:lang w:val="nl-BE"/>
        </w:rPr>
        <w:t xml:space="preserve"> </w:t>
      </w:r>
      <w:r w:rsidRPr="00715DE3">
        <w:rPr>
          <w:rFonts w:cs="Tahoma"/>
          <w:szCs w:val="20"/>
          <w:lang w:val="nl-BE"/>
        </w:rPr>
        <w:t xml:space="preserve">Kan het BIPT bevestigen dat deze </w:t>
      </w:r>
      <w:proofErr w:type="gramStart"/>
      <w:r w:rsidRPr="00715DE3">
        <w:rPr>
          <w:rFonts w:cs="Tahoma"/>
          <w:szCs w:val="20"/>
          <w:lang w:val="nl-BE"/>
        </w:rPr>
        <w:t>netwerk elementen</w:t>
      </w:r>
      <w:proofErr w:type="gramEnd"/>
      <w:r w:rsidRPr="00715DE3">
        <w:rPr>
          <w:rFonts w:cs="Tahoma"/>
          <w:szCs w:val="20"/>
          <w:lang w:val="nl-BE"/>
        </w:rPr>
        <w:t xml:space="preserve"> buiten de toepassing vallen van de betreffende KB ‘s?”</w:t>
      </w:r>
    </w:p>
    <w:p w14:paraId="6CF72EBC" w14:textId="77777777" w:rsidR="00422820" w:rsidRPr="00715DE3" w:rsidRDefault="00422820" w:rsidP="00422820">
      <w:pPr>
        <w:ind w:left="360"/>
        <w:rPr>
          <w:rFonts w:cs="Tahoma"/>
          <w:szCs w:val="20"/>
          <w:lang w:val="nl-BE"/>
        </w:rPr>
      </w:pPr>
    </w:p>
    <w:p w14:paraId="6DC97251" w14:textId="61D6339B" w:rsidR="00422820" w:rsidRPr="00715DE3" w:rsidRDefault="00422820" w:rsidP="00422820">
      <w:pPr>
        <w:pStyle w:val="Numberednormal"/>
      </w:pPr>
      <w:r w:rsidRPr="00715DE3">
        <w:t>Het antwoord van het BIPT is als volgt</w:t>
      </w:r>
      <w:r w:rsidR="00C73464" w:rsidRPr="00715DE3">
        <w:t xml:space="preserve">. </w:t>
      </w:r>
    </w:p>
    <w:p w14:paraId="6D46FDA4" w14:textId="77777777" w:rsidR="00422820" w:rsidRPr="00715DE3" w:rsidRDefault="00422820" w:rsidP="00422820">
      <w:pPr>
        <w:pStyle w:val="Numberednormal"/>
        <w:numPr>
          <w:ilvl w:val="0"/>
          <w:numId w:val="0"/>
        </w:numPr>
        <w:ind w:left="360"/>
      </w:pPr>
    </w:p>
    <w:p w14:paraId="52E4B54E" w14:textId="6359A278" w:rsidR="00422820" w:rsidRPr="00715DE3" w:rsidRDefault="0049060E" w:rsidP="00422820">
      <w:pPr>
        <w:pStyle w:val="Numberednormal"/>
      </w:pPr>
      <w:r w:rsidRPr="00715DE3">
        <w:t xml:space="preserve">Artikel 1, 3°, van het </w:t>
      </w:r>
      <w:proofErr w:type="gramStart"/>
      <w:r w:rsidRPr="00715DE3">
        <w:t>KB machtigingen</w:t>
      </w:r>
      <w:proofErr w:type="gramEnd"/>
      <w:r w:rsidRPr="00715DE3">
        <w:t xml:space="preserve"> definieert de “delen van een 5G-netwerk” als volgt: “het radiotoegangsnetwerk, het transportnetwerk en het centrale deel van het netwerk; deze 3 delen samen omvatten het geheel van de elementen van een 5G-netwerk en elk element van een 5G-netwerk behoort tot slechts één van deze delen”.</w:t>
      </w:r>
      <w:r w:rsidR="00422820" w:rsidRPr="00715DE3">
        <w:t xml:space="preserve"> </w:t>
      </w:r>
    </w:p>
    <w:p w14:paraId="2B0C46C1" w14:textId="77777777" w:rsidR="00422820" w:rsidRPr="00715DE3" w:rsidRDefault="00422820" w:rsidP="00422820">
      <w:pPr>
        <w:pStyle w:val="Numberednormal"/>
        <w:numPr>
          <w:ilvl w:val="0"/>
          <w:numId w:val="0"/>
        </w:numPr>
        <w:ind w:left="360"/>
      </w:pPr>
    </w:p>
    <w:p w14:paraId="110336A7" w14:textId="2BD2ED2C" w:rsidR="00422820" w:rsidRPr="00715DE3" w:rsidRDefault="0049060E" w:rsidP="00422820">
      <w:pPr>
        <w:pStyle w:val="Numberednormal"/>
      </w:pPr>
      <w:r w:rsidRPr="00715DE3">
        <w:t>Daaruit blijkt dat de wens van het KB was dat die 3 delen het geheel van de elementen van een 5G-netwerk bevatten, ofwel het geheel van de elementen die nodig zijn voor de werking van dat netwerk.</w:t>
      </w:r>
      <w:r w:rsidR="00422820" w:rsidRPr="00715DE3">
        <w:t xml:space="preserve"> </w:t>
      </w:r>
    </w:p>
    <w:p w14:paraId="27FEE81A" w14:textId="77777777" w:rsidR="008D692A" w:rsidRPr="00715DE3" w:rsidRDefault="008D692A" w:rsidP="008D692A">
      <w:pPr>
        <w:pStyle w:val="Numberednormal"/>
        <w:numPr>
          <w:ilvl w:val="0"/>
          <w:numId w:val="0"/>
        </w:numPr>
        <w:ind w:left="360"/>
      </w:pPr>
    </w:p>
    <w:p w14:paraId="5EADF791" w14:textId="5EDF6F34" w:rsidR="008D692A" w:rsidRPr="00715DE3" w:rsidRDefault="0049060E" w:rsidP="0049060E">
      <w:pPr>
        <w:pStyle w:val="Numberednormal"/>
      </w:pPr>
      <w:r w:rsidRPr="00715DE3">
        <w:t>De PKI-server (</w:t>
      </w:r>
      <w:proofErr w:type="spellStart"/>
      <w:r w:rsidRPr="00715DE3">
        <w:t>key</w:t>
      </w:r>
      <w:proofErr w:type="spellEnd"/>
      <w:r w:rsidRPr="00715DE3">
        <w:t xml:space="preserve"> </w:t>
      </w:r>
      <w:proofErr w:type="spellStart"/>
      <w:r w:rsidRPr="00715DE3">
        <w:t>distribution</w:t>
      </w:r>
      <w:proofErr w:type="spellEnd"/>
      <w:r w:rsidRPr="00715DE3">
        <w:t xml:space="preserve"> server voor encryptie) voldoet aan de criteria bedoeld in artikel 1, 11°, g), i) en k)</w:t>
      </w:r>
      <w:r w:rsidR="006B46D6">
        <w:t xml:space="preserve"> </w:t>
      </w:r>
      <w:r w:rsidR="006B46D6" w:rsidRPr="00715DE3">
        <w:t xml:space="preserve">van het </w:t>
      </w:r>
      <w:proofErr w:type="gramStart"/>
      <w:r w:rsidR="006B46D6" w:rsidRPr="00715DE3">
        <w:t>KB machtigingen</w:t>
      </w:r>
      <w:proofErr w:type="gramEnd"/>
      <w:r w:rsidRPr="00715DE3">
        <w:t>:</w:t>
      </w:r>
      <w:r w:rsidR="008D692A" w:rsidRPr="00715DE3">
        <w:t xml:space="preserve"> </w:t>
      </w:r>
    </w:p>
    <w:tbl>
      <w:tblPr>
        <w:tblStyle w:val="TableGrid"/>
        <w:tblW w:w="0" w:type="auto"/>
        <w:tblLayout w:type="fixed"/>
        <w:tblLook w:val="04A0" w:firstRow="1" w:lastRow="0" w:firstColumn="1" w:lastColumn="0" w:noHBand="0" w:noVBand="1"/>
      </w:tblPr>
      <w:tblGrid>
        <w:gridCol w:w="4508"/>
        <w:gridCol w:w="4508"/>
      </w:tblGrid>
      <w:tr w:rsidR="008D692A" w:rsidRPr="00715DE3" w14:paraId="436717AA" w14:textId="77777777" w:rsidTr="00B61A17">
        <w:tc>
          <w:tcPr>
            <w:tcW w:w="4508" w:type="dxa"/>
          </w:tcPr>
          <w:p w14:paraId="12E4878D" w14:textId="77777777" w:rsidR="008D692A" w:rsidRPr="00715DE3" w:rsidRDefault="008D692A" w:rsidP="008D692A">
            <w:pPr>
              <w:numPr>
                <w:ilvl w:val="0"/>
                <w:numId w:val="43"/>
              </w:numPr>
              <w:rPr>
                <w:rFonts w:cs="Tahoma"/>
                <w:bCs/>
                <w:noProof/>
                <w:szCs w:val="20"/>
                <w:lang w:val="nl-BE" w:eastAsia="fr-BE"/>
              </w:rPr>
            </w:pPr>
            <w:r w:rsidRPr="00715DE3">
              <w:rPr>
                <w:rFonts w:cs="Tahoma"/>
                <w:bCs/>
                <w:noProof/>
                <w:szCs w:val="20"/>
                <w:lang w:val="nl-BE" w:eastAsia="fr-BE"/>
              </w:rPr>
              <w:t xml:space="preserve">de veiligheidssystemen, met inbegrip van de bijbehorende systemen voor automatisering en ondersteuning, met name de firewalls, de systemen voor inbraakpreventie (IPS) en de systemen voor inbraakdetectie (IDS); </w:t>
            </w:r>
          </w:p>
        </w:tc>
        <w:tc>
          <w:tcPr>
            <w:tcW w:w="4508" w:type="dxa"/>
          </w:tcPr>
          <w:p w14:paraId="6430E8FD" w14:textId="77777777" w:rsidR="008D692A" w:rsidRPr="00715DE3" w:rsidRDefault="008D692A" w:rsidP="008D692A">
            <w:pPr>
              <w:numPr>
                <w:ilvl w:val="0"/>
                <w:numId w:val="38"/>
              </w:numPr>
              <w:rPr>
                <w:rFonts w:cs="Tahoma"/>
                <w:bCs/>
                <w:noProof/>
                <w:szCs w:val="20"/>
                <w:lang w:eastAsia="fr-BE"/>
              </w:rPr>
            </w:pPr>
            <w:r w:rsidRPr="00715DE3">
              <w:rPr>
                <w:rFonts w:cs="Tahoma"/>
                <w:bCs/>
                <w:noProof/>
                <w:szCs w:val="20"/>
                <w:lang w:eastAsia="fr-BE"/>
              </w:rPr>
              <w:t>les systèmes de sécurité</w:t>
            </w:r>
            <w:r w:rsidRPr="00715DE3">
              <w:rPr>
                <w:rFonts w:cs="Tahoma"/>
              </w:rPr>
              <w:t xml:space="preserve"> </w:t>
            </w:r>
            <w:r w:rsidRPr="00715DE3">
              <w:rPr>
                <w:rFonts w:cs="Tahoma"/>
                <w:bCs/>
                <w:noProof/>
                <w:szCs w:val="20"/>
                <w:lang w:eastAsia="fr-BE"/>
              </w:rPr>
              <w:t>en ce compris les systèmes d’automatisation et de support y afférant, notamment les pare-feu, les systèmes de prévention d’intrusion (IPS), et les systèmes de détection d'intrusion (IDS) ;</w:t>
            </w:r>
          </w:p>
        </w:tc>
      </w:tr>
      <w:tr w:rsidR="008D692A" w:rsidRPr="00715DE3" w14:paraId="64044697" w14:textId="77777777" w:rsidTr="00B61A17">
        <w:tc>
          <w:tcPr>
            <w:tcW w:w="4508" w:type="dxa"/>
          </w:tcPr>
          <w:p w14:paraId="6503A1DB" w14:textId="77777777" w:rsidR="008D692A" w:rsidRPr="00715DE3" w:rsidRDefault="008D692A" w:rsidP="00B61A17">
            <w:pPr>
              <w:ind w:left="720"/>
              <w:contextualSpacing/>
              <w:rPr>
                <w:rFonts w:cs="Tahoma"/>
                <w:sz w:val="24"/>
                <w:szCs w:val="20"/>
              </w:rPr>
            </w:pPr>
          </w:p>
        </w:tc>
        <w:tc>
          <w:tcPr>
            <w:tcW w:w="4508" w:type="dxa"/>
          </w:tcPr>
          <w:p w14:paraId="57654B3D" w14:textId="77777777" w:rsidR="008D692A" w:rsidRPr="00715DE3" w:rsidRDefault="008D692A" w:rsidP="00B61A17">
            <w:pPr>
              <w:ind w:left="720"/>
              <w:contextualSpacing/>
              <w:rPr>
                <w:rFonts w:cs="Tahoma"/>
                <w:sz w:val="24"/>
                <w:szCs w:val="20"/>
              </w:rPr>
            </w:pPr>
          </w:p>
        </w:tc>
      </w:tr>
      <w:tr w:rsidR="008D692A" w:rsidRPr="00715DE3" w14:paraId="0712868F" w14:textId="77777777" w:rsidTr="00B61A17">
        <w:tc>
          <w:tcPr>
            <w:tcW w:w="4508" w:type="dxa"/>
          </w:tcPr>
          <w:p w14:paraId="1314EA1F" w14:textId="77777777" w:rsidR="008D692A" w:rsidRPr="00715DE3" w:rsidRDefault="008D692A" w:rsidP="008D692A">
            <w:pPr>
              <w:numPr>
                <w:ilvl w:val="0"/>
                <w:numId w:val="38"/>
              </w:numPr>
              <w:rPr>
                <w:rFonts w:cs="Tahoma"/>
                <w:bCs/>
                <w:noProof/>
                <w:szCs w:val="20"/>
                <w:lang w:val="nl-BE" w:eastAsia="fr-BE"/>
              </w:rPr>
            </w:pPr>
            <w:r w:rsidRPr="00715DE3">
              <w:rPr>
                <w:rFonts w:cs="Tahoma"/>
                <w:bCs/>
                <w:noProof/>
                <w:szCs w:val="20"/>
                <w:lang w:val="nl-BE" w:eastAsia="fr-BE"/>
              </w:rPr>
              <w:t xml:space="preserve">de netwerkapparatuur (schakelaars en routers) die de apparatuur van het centrale deel van het netwerk interconnecteren; </w:t>
            </w:r>
          </w:p>
        </w:tc>
        <w:tc>
          <w:tcPr>
            <w:tcW w:w="4508" w:type="dxa"/>
          </w:tcPr>
          <w:p w14:paraId="246663E1" w14:textId="77777777" w:rsidR="008D692A" w:rsidRPr="00715DE3" w:rsidRDefault="008D692A" w:rsidP="008D692A">
            <w:pPr>
              <w:numPr>
                <w:ilvl w:val="0"/>
                <w:numId w:val="39"/>
              </w:numPr>
              <w:rPr>
                <w:rFonts w:cs="Tahoma"/>
                <w:bCs/>
                <w:noProof/>
                <w:szCs w:val="20"/>
                <w:lang w:eastAsia="fr-BE"/>
              </w:rPr>
            </w:pPr>
            <w:r w:rsidRPr="00715DE3">
              <w:rPr>
                <w:rFonts w:cs="Tahoma"/>
                <w:bCs/>
                <w:noProof/>
                <w:szCs w:val="20"/>
                <w:lang w:eastAsia="fr-BE"/>
              </w:rPr>
              <w:t>les équipements réseaux (commutateurs et routeurs) interconnectant les équipements de la partie centrale du réseau ;</w:t>
            </w:r>
          </w:p>
        </w:tc>
      </w:tr>
      <w:tr w:rsidR="008D692A" w:rsidRPr="00715DE3" w14:paraId="1D2D112B" w14:textId="77777777" w:rsidTr="00B61A17">
        <w:tc>
          <w:tcPr>
            <w:tcW w:w="4508" w:type="dxa"/>
          </w:tcPr>
          <w:p w14:paraId="6CC0CAED" w14:textId="77777777" w:rsidR="008D692A" w:rsidRPr="00715DE3" w:rsidRDefault="008D692A" w:rsidP="00B61A17">
            <w:pPr>
              <w:ind w:left="720"/>
              <w:contextualSpacing/>
              <w:rPr>
                <w:rFonts w:cs="Tahoma"/>
                <w:sz w:val="24"/>
                <w:szCs w:val="20"/>
              </w:rPr>
            </w:pPr>
          </w:p>
        </w:tc>
        <w:tc>
          <w:tcPr>
            <w:tcW w:w="4508" w:type="dxa"/>
          </w:tcPr>
          <w:p w14:paraId="3B35E208" w14:textId="77777777" w:rsidR="008D692A" w:rsidRPr="00715DE3" w:rsidRDefault="008D692A" w:rsidP="00B61A17">
            <w:pPr>
              <w:ind w:left="720"/>
              <w:contextualSpacing/>
              <w:rPr>
                <w:rFonts w:cs="Tahoma"/>
                <w:sz w:val="24"/>
                <w:szCs w:val="20"/>
              </w:rPr>
            </w:pPr>
          </w:p>
        </w:tc>
      </w:tr>
      <w:tr w:rsidR="008D692A" w:rsidRPr="00715DE3" w14:paraId="5BE6FAEF" w14:textId="77777777" w:rsidTr="00B61A17">
        <w:tc>
          <w:tcPr>
            <w:tcW w:w="4508" w:type="dxa"/>
          </w:tcPr>
          <w:p w14:paraId="64F8644D" w14:textId="77777777" w:rsidR="008D692A" w:rsidRPr="00715DE3" w:rsidRDefault="008D692A" w:rsidP="008D692A">
            <w:pPr>
              <w:numPr>
                <w:ilvl w:val="0"/>
                <w:numId w:val="39"/>
              </w:numPr>
              <w:rPr>
                <w:rFonts w:cs="Tahoma"/>
                <w:bCs/>
                <w:noProof/>
                <w:szCs w:val="20"/>
                <w:lang w:val="nl-BE" w:eastAsia="fr-BE"/>
              </w:rPr>
            </w:pPr>
            <w:r w:rsidRPr="00715DE3">
              <w:rPr>
                <w:rFonts w:cs="Tahoma"/>
                <w:bCs/>
                <w:noProof/>
                <w:szCs w:val="20"/>
                <w:lang w:val="nl-BE" w:eastAsia="fr-BE"/>
              </w:rPr>
              <w:t xml:space="preserve">de elementen gebruikt voor het beheer, de configuratie of de monitoring van de elementen van het centrale deel van het netwerk; </w:t>
            </w:r>
          </w:p>
        </w:tc>
        <w:tc>
          <w:tcPr>
            <w:tcW w:w="4508" w:type="dxa"/>
          </w:tcPr>
          <w:p w14:paraId="282CDB54" w14:textId="77777777" w:rsidR="008D692A" w:rsidRPr="00715DE3" w:rsidRDefault="008D692A" w:rsidP="008D692A">
            <w:pPr>
              <w:numPr>
                <w:ilvl w:val="0"/>
                <w:numId w:val="40"/>
              </w:numPr>
              <w:rPr>
                <w:rFonts w:cs="Tahoma"/>
                <w:bCs/>
                <w:noProof/>
                <w:szCs w:val="20"/>
                <w:lang w:eastAsia="fr-BE"/>
              </w:rPr>
            </w:pPr>
            <w:r w:rsidRPr="00715DE3">
              <w:rPr>
                <w:rFonts w:cs="Tahoma"/>
                <w:bCs/>
                <w:noProof/>
                <w:szCs w:val="20"/>
                <w:lang w:eastAsia="fr-BE"/>
              </w:rPr>
              <w:t>les éléments utilisés pour la gestion, la configuration ou la surveillance des éléments de la partie centrale du réseau ;</w:t>
            </w:r>
          </w:p>
        </w:tc>
      </w:tr>
      <w:tr w:rsidR="008D692A" w:rsidRPr="00715DE3" w14:paraId="1299D46B" w14:textId="77777777" w:rsidTr="00B61A17">
        <w:tc>
          <w:tcPr>
            <w:tcW w:w="4508" w:type="dxa"/>
          </w:tcPr>
          <w:p w14:paraId="47357F5C" w14:textId="77777777" w:rsidR="008D692A" w:rsidRPr="00715DE3" w:rsidRDefault="008D692A" w:rsidP="00B61A17">
            <w:pPr>
              <w:ind w:left="720"/>
              <w:contextualSpacing/>
              <w:rPr>
                <w:rFonts w:cs="Tahoma"/>
                <w:sz w:val="24"/>
                <w:szCs w:val="20"/>
              </w:rPr>
            </w:pPr>
          </w:p>
        </w:tc>
        <w:tc>
          <w:tcPr>
            <w:tcW w:w="4508" w:type="dxa"/>
          </w:tcPr>
          <w:p w14:paraId="6A63D2C6" w14:textId="77777777" w:rsidR="008D692A" w:rsidRPr="00715DE3" w:rsidRDefault="008D692A" w:rsidP="00B61A17">
            <w:pPr>
              <w:ind w:left="720"/>
              <w:contextualSpacing/>
              <w:rPr>
                <w:rFonts w:cs="Tahoma"/>
                <w:sz w:val="24"/>
                <w:szCs w:val="20"/>
              </w:rPr>
            </w:pPr>
          </w:p>
        </w:tc>
      </w:tr>
      <w:tr w:rsidR="008D692A" w:rsidRPr="00715DE3" w14:paraId="255A9F05" w14:textId="77777777" w:rsidTr="00B61A17">
        <w:tc>
          <w:tcPr>
            <w:tcW w:w="4508" w:type="dxa"/>
          </w:tcPr>
          <w:p w14:paraId="3276C239" w14:textId="77777777" w:rsidR="008D692A" w:rsidRPr="00715DE3" w:rsidRDefault="008D692A" w:rsidP="008D692A">
            <w:pPr>
              <w:pStyle w:val="ListParagraph"/>
              <w:numPr>
                <w:ilvl w:val="0"/>
                <w:numId w:val="40"/>
              </w:numPr>
              <w:rPr>
                <w:rFonts w:cs="Tahoma"/>
                <w:lang w:val="nl-BE"/>
              </w:rPr>
            </w:pPr>
            <w:r w:rsidRPr="00715DE3">
              <w:rPr>
                <w:rFonts w:cs="Tahoma"/>
                <w:lang w:val="nl-BE"/>
              </w:rPr>
              <w:t>alle elementen gebruikt voor de onderschepping van inhoud van communicatie, teneinde een verzoek vanwege een gerechtelijke autoriteit of inlichtingen- of veiligheidsdiensten te vervullen;</w:t>
            </w:r>
          </w:p>
        </w:tc>
        <w:tc>
          <w:tcPr>
            <w:tcW w:w="4508" w:type="dxa"/>
          </w:tcPr>
          <w:p w14:paraId="1105C4C6" w14:textId="77777777" w:rsidR="008D692A" w:rsidRPr="00715DE3" w:rsidRDefault="008D692A" w:rsidP="008D692A">
            <w:pPr>
              <w:pStyle w:val="ListParagraph"/>
              <w:numPr>
                <w:ilvl w:val="0"/>
                <w:numId w:val="42"/>
              </w:numPr>
              <w:rPr>
                <w:rFonts w:cs="Tahoma"/>
              </w:rPr>
            </w:pPr>
            <w:r w:rsidRPr="00715DE3">
              <w:rPr>
                <w:rFonts w:cs="Tahoma"/>
              </w:rPr>
              <w:t>tous les éléments utilisés pour réaliser une interception du contenu des communications, afin de se conformer à une demande des autorités judiciaires ou des services de renseignement ou de sécurité ;</w:t>
            </w:r>
          </w:p>
        </w:tc>
      </w:tr>
      <w:tr w:rsidR="008D692A" w:rsidRPr="00715DE3" w14:paraId="3207EC10" w14:textId="77777777" w:rsidTr="00B61A17">
        <w:tc>
          <w:tcPr>
            <w:tcW w:w="4508" w:type="dxa"/>
          </w:tcPr>
          <w:p w14:paraId="20935A69" w14:textId="77777777" w:rsidR="008D692A" w:rsidRPr="00715DE3" w:rsidRDefault="008D692A" w:rsidP="00B61A17">
            <w:pPr>
              <w:ind w:left="720"/>
              <w:contextualSpacing/>
              <w:rPr>
                <w:rFonts w:cs="Tahoma"/>
                <w:sz w:val="24"/>
                <w:szCs w:val="20"/>
              </w:rPr>
            </w:pPr>
          </w:p>
        </w:tc>
        <w:tc>
          <w:tcPr>
            <w:tcW w:w="4508" w:type="dxa"/>
          </w:tcPr>
          <w:p w14:paraId="50002E95" w14:textId="77777777" w:rsidR="008D692A" w:rsidRPr="00715DE3" w:rsidRDefault="008D692A" w:rsidP="00B61A17">
            <w:pPr>
              <w:ind w:left="720"/>
              <w:contextualSpacing/>
              <w:rPr>
                <w:rFonts w:cs="Tahoma"/>
                <w:sz w:val="24"/>
                <w:szCs w:val="20"/>
              </w:rPr>
            </w:pPr>
          </w:p>
        </w:tc>
      </w:tr>
      <w:tr w:rsidR="008D692A" w:rsidRPr="00715DE3" w14:paraId="6408456A" w14:textId="77777777" w:rsidTr="00B61A17">
        <w:tc>
          <w:tcPr>
            <w:tcW w:w="4508" w:type="dxa"/>
          </w:tcPr>
          <w:p w14:paraId="74F7E4CC" w14:textId="77777777" w:rsidR="008D692A" w:rsidRPr="00715DE3" w:rsidRDefault="008D692A" w:rsidP="008D692A">
            <w:pPr>
              <w:numPr>
                <w:ilvl w:val="0"/>
                <w:numId w:val="42"/>
              </w:numPr>
              <w:rPr>
                <w:rFonts w:cs="Tahoma"/>
                <w:bCs/>
                <w:noProof/>
                <w:szCs w:val="20"/>
                <w:lang w:val="nl-BE" w:eastAsia="fr-BE"/>
              </w:rPr>
            </w:pPr>
            <w:r w:rsidRPr="00715DE3">
              <w:rPr>
                <w:rFonts w:cs="Tahoma"/>
                <w:bCs/>
                <w:noProof/>
                <w:szCs w:val="20"/>
                <w:lang w:val="nl-BE" w:eastAsia="fr-BE"/>
              </w:rPr>
              <w:t>elk ander systeem dat gebruikmaakt van signalisatie-, configuratie- of beheerdata op voorwaarde dat het de configuratie van andere elementen van het centrale deel van het netwerk kan wijzigen;</w:t>
            </w:r>
          </w:p>
        </w:tc>
        <w:tc>
          <w:tcPr>
            <w:tcW w:w="4508" w:type="dxa"/>
          </w:tcPr>
          <w:p w14:paraId="65114EC8" w14:textId="77777777" w:rsidR="008D692A" w:rsidRPr="00715DE3" w:rsidRDefault="008D692A" w:rsidP="008D692A">
            <w:pPr>
              <w:numPr>
                <w:ilvl w:val="0"/>
                <w:numId w:val="41"/>
              </w:numPr>
              <w:rPr>
                <w:rFonts w:cs="Tahoma"/>
                <w:bCs/>
                <w:noProof/>
                <w:szCs w:val="20"/>
                <w:lang w:eastAsia="fr-BE"/>
              </w:rPr>
            </w:pPr>
            <w:r w:rsidRPr="00715DE3">
              <w:rPr>
                <w:rFonts w:cs="Tahoma"/>
                <w:bCs/>
                <w:noProof/>
                <w:szCs w:val="20"/>
                <w:lang w:eastAsia="fr-BE"/>
              </w:rPr>
              <w:t>tout autre système utilisant des données de signalisation, de configuration ou de gestion  pour autant qu’il puisse modifier la configuration d’autres éléments de la partie centrale du réseau ;</w:t>
            </w:r>
          </w:p>
        </w:tc>
      </w:tr>
    </w:tbl>
    <w:p w14:paraId="4F180E93" w14:textId="7D57F73C" w:rsidR="00ED26BE" w:rsidRPr="00715DE3" w:rsidRDefault="0049060E" w:rsidP="00ED26BE">
      <w:pPr>
        <w:pStyle w:val="Numberednormal"/>
        <w:rPr>
          <w:rStyle w:val="cf01"/>
          <w:rFonts w:ascii="Tahoma" w:hAnsi="Tahoma" w:cs="Tahoma"/>
          <w:sz w:val="20"/>
          <w:szCs w:val="20"/>
        </w:rPr>
      </w:pPr>
      <w:r w:rsidRPr="00715DE3">
        <w:t xml:space="preserve">Het synchronisatienetwerk kan vallen onder artikel 1, 4°, b) en 7°, b) van het </w:t>
      </w:r>
      <w:proofErr w:type="gramStart"/>
      <w:r w:rsidRPr="00715DE3">
        <w:t>KB machtigingen</w:t>
      </w:r>
      <w:proofErr w:type="gramEnd"/>
      <w:r w:rsidRPr="00715DE3">
        <w:t>:</w:t>
      </w:r>
      <w:r w:rsidR="00ED26BE" w:rsidRPr="00715DE3">
        <w:rPr>
          <w:rStyle w:val="cf01"/>
          <w:rFonts w:ascii="Tahoma" w:hAnsi="Tahoma" w:cs="Tahoma"/>
          <w:sz w:val="20"/>
          <w:szCs w:val="20"/>
        </w:rPr>
        <w:t xml:space="preserve">  </w:t>
      </w:r>
    </w:p>
    <w:tbl>
      <w:tblPr>
        <w:tblStyle w:val="TableGrid"/>
        <w:tblW w:w="0" w:type="auto"/>
        <w:tblLayout w:type="fixed"/>
        <w:tblLook w:val="04A0" w:firstRow="1" w:lastRow="0" w:firstColumn="1" w:lastColumn="0" w:noHBand="0" w:noVBand="1"/>
      </w:tblPr>
      <w:tblGrid>
        <w:gridCol w:w="4508"/>
        <w:gridCol w:w="4508"/>
      </w:tblGrid>
      <w:tr w:rsidR="00ED26BE" w:rsidRPr="00715DE3" w14:paraId="1591E21C" w14:textId="77777777" w:rsidTr="00B61A17">
        <w:tc>
          <w:tcPr>
            <w:tcW w:w="4508" w:type="dxa"/>
          </w:tcPr>
          <w:p w14:paraId="7B8E0B5F" w14:textId="77777777" w:rsidR="00ED26BE" w:rsidRPr="00715DE3" w:rsidRDefault="00ED26BE" w:rsidP="00B61A17">
            <w:pPr>
              <w:rPr>
                <w:rFonts w:cs="Tahoma"/>
                <w:szCs w:val="20"/>
                <w:lang w:val="nl-BE"/>
              </w:rPr>
            </w:pPr>
            <w:r w:rsidRPr="00715DE3">
              <w:rPr>
                <w:rFonts w:cs="Tahoma"/>
                <w:szCs w:val="20"/>
                <w:lang w:val="nl-BE"/>
              </w:rPr>
              <w:t xml:space="preserve">4° “radiotoegangsnetwerk”: het deel van een 5G-netwerk dat de elementen omvat die beantwoorden aan minstens één van de volgende criteria: </w:t>
            </w:r>
          </w:p>
        </w:tc>
        <w:tc>
          <w:tcPr>
            <w:tcW w:w="4508" w:type="dxa"/>
          </w:tcPr>
          <w:p w14:paraId="13574229" w14:textId="1A846117" w:rsidR="00ED26BE" w:rsidRPr="00715DE3" w:rsidRDefault="00ED26BE" w:rsidP="00B61A17">
            <w:pPr>
              <w:rPr>
                <w:rFonts w:cs="Tahoma"/>
                <w:szCs w:val="20"/>
              </w:rPr>
            </w:pPr>
            <w:r w:rsidRPr="00715DE3">
              <w:rPr>
                <w:rFonts w:cs="Tahoma"/>
                <w:szCs w:val="20"/>
              </w:rPr>
              <w:t>4° « réseau d’accès radioélectrique</w:t>
            </w:r>
            <w:r w:rsidR="00205BA0" w:rsidRPr="00715DE3">
              <w:rPr>
                <w:rFonts w:cs="Tahoma"/>
                <w:szCs w:val="20"/>
              </w:rPr>
              <w:t xml:space="preserve"> </w:t>
            </w:r>
            <w:r w:rsidRPr="00715DE3">
              <w:rPr>
                <w:rFonts w:cs="Tahoma"/>
                <w:szCs w:val="20"/>
              </w:rPr>
              <w:t>» : la partie d’un réseau 5G qui comprend les éléments qui répondent à au moins un des critères suivants :</w:t>
            </w:r>
          </w:p>
        </w:tc>
      </w:tr>
      <w:tr w:rsidR="00ED26BE" w:rsidRPr="00715DE3" w14:paraId="3B475A0A" w14:textId="77777777" w:rsidTr="00B61A17">
        <w:tc>
          <w:tcPr>
            <w:tcW w:w="4508" w:type="dxa"/>
          </w:tcPr>
          <w:p w14:paraId="189BFD07" w14:textId="77777777" w:rsidR="00ED26BE" w:rsidRPr="00715DE3" w:rsidRDefault="00ED26BE" w:rsidP="00B61A17">
            <w:pPr>
              <w:rPr>
                <w:rFonts w:cs="Tahoma"/>
                <w:szCs w:val="20"/>
              </w:rPr>
            </w:pPr>
          </w:p>
        </w:tc>
        <w:tc>
          <w:tcPr>
            <w:tcW w:w="4508" w:type="dxa"/>
          </w:tcPr>
          <w:p w14:paraId="3346B981" w14:textId="77777777" w:rsidR="00ED26BE" w:rsidRPr="00715DE3" w:rsidRDefault="00ED26BE" w:rsidP="00B61A17">
            <w:pPr>
              <w:rPr>
                <w:rFonts w:cs="Tahoma"/>
                <w:szCs w:val="20"/>
              </w:rPr>
            </w:pPr>
          </w:p>
        </w:tc>
      </w:tr>
      <w:tr w:rsidR="00ED26BE" w:rsidRPr="00715DE3" w14:paraId="385E63F6" w14:textId="77777777" w:rsidTr="00B61A17">
        <w:tc>
          <w:tcPr>
            <w:tcW w:w="4508" w:type="dxa"/>
          </w:tcPr>
          <w:p w14:paraId="3B55F2BF" w14:textId="77777777" w:rsidR="00ED26BE" w:rsidRPr="00715DE3" w:rsidRDefault="00ED26BE" w:rsidP="00ED26BE">
            <w:pPr>
              <w:numPr>
                <w:ilvl w:val="0"/>
                <w:numId w:val="47"/>
              </w:numPr>
              <w:rPr>
                <w:rFonts w:cs="Tahoma"/>
                <w:szCs w:val="20"/>
                <w:lang w:val="nl-BE"/>
              </w:rPr>
            </w:pPr>
            <w:proofErr w:type="gramStart"/>
            <w:r w:rsidRPr="00715DE3">
              <w:rPr>
                <w:rFonts w:cs="Tahoma"/>
                <w:szCs w:val="20"/>
                <w:lang w:val="nl-BE"/>
              </w:rPr>
              <w:t>het</w:t>
            </w:r>
            <w:proofErr w:type="gramEnd"/>
            <w:r w:rsidRPr="00715DE3">
              <w:rPr>
                <w:rFonts w:cs="Tahoma"/>
                <w:szCs w:val="20"/>
                <w:lang w:val="nl-BE"/>
              </w:rPr>
              <w:t xml:space="preserve"> geheel van de elementen van een basisstation;</w:t>
            </w:r>
          </w:p>
        </w:tc>
        <w:tc>
          <w:tcPr>
            <w:tcW w:w="4508" w:type="dxa"/>
          </w:tcPr>
          <w:p w14:paraId="6B4E5D4E" w14:textId="77777777" w:rsidR="00ED26BE" w:rsidRPr="00715DE3" w:rsidRDefault="00ED26BE" w:rsidP="00ED26BE">
            <w:pPr>
              <w:numPr>
                <w:ilvl w:val="0"/>
                <w:numId w:val="48"/>
              </w:numPr>
              <w:contextualSpacing/>
              <w:jc w:val="left"/>
              <w:rPr>
                <w:rFonts w:cs="Tahoma"/>
                <w:szCs w:val="20"/>
              </w:rPr>
            </w:pPr>
            <w:bookmarkStart w:id="2" w:name="_Hlk48309319"/>
            <w:proofErr w:type="gramStart"/>
            <w:r w:rsidRPr="00715DE3">
              <w:rPr>
                <w:rFonts w:cs="Tahoma"/>
                <w:szCs w:val="20"/>
              </w:rPr>
              <w:t>l’ensemble</w:t>
            </w:r>
            <w:proofErr w:type="gramEnd"/>
            <w:r w:rsidRPr="00715DE3">
              <w:rPr>
                <w:rFonts w:cs="Tahoma"/>
                <w:szCs w:val="20"/>
              </w:rPr>
              <w:t xml:space="preserve"> des éléments d’une station de base ;</w:t>
            </w:r>
            <w:bookmarkEnd w:id="2"/>
          </w:p>
        </w:tc>
      </w:tr>
      <w:tr w:rsidR="00ED26BE" w:rsidRPr="00715DE3" w14:paraId="1C239ACB" w14:textId="77777777" w:rsidTr="00B61A17">
        <w:tc>
          <w:tcPr>
            <w:tcW w:w="4508" w:type="dxa"/>
          </w:tcPr>
          <w:p w14:paraId="182D9A21" w14:textId="77777777" w:rsidR="00ED26BE" w:rsidRPr="00715DE3" w:rsidRDefault="00ED26BE" w:rsidP="00B61A17">
            <w:pPr>
              <w:rPr>
                <w:rFonts w:cs="Tahoma"/>
                <w:szCs w:val="20"/>
              </w:rPr>
            </w:pPr>
          </w:p>
        </w:tc>
        <w:tc>
          <w:tcPr>
            <w:tcW w:w="4508" w:type="dxa"/>
          </w:tcPr>
          <w:p w14:paraId="287E9B96" w14:textId="77777777" w:rsidR="00ED26BE" w:rsidRPr="00715DE3" w:rsidRDefault="00ED26BE" w:rsidP="00B61A17">
            <w:pPr>
              <w:rPr>
                <w:rFonts w:cs="Tahoma"/>
                <w:szCs w:val="20"/>
              </w:rPr>
            </w:pPr>
          </w:p>
        </w:tc>
      </w:tr>
      <w:tr w:rsidR="00ED26BE" w:rsidRPr="00715DE3" w14:paraId="5D8D1D25" w14:textId="77777777" w:rsidTr="00B61A17">
        <w:tc>
          <w:tcPr>
            <w:tcW w:w="4508" w:type="dxa"/>
          </w:tcPr>
          <w:p w14:paraId="1CF6144C" w14:textId="77777777" w:rsidR="00ED26BE" w:rsidRPr="00715DE3" w:rsidRDefault="00ED26BE" w:rsidP="00ED26BE">
            <w:pPr>
              <w:numPr>
                <w:ilvl w:val="0"/>
                <w:numId w:val="48"/>
              </w:numPr>
              <w:rPr>
                <w:rFonts w:cs="Tahoma"/>
                <w:szCs w:val="20"/>
                <w:lang w:val="nl-BE"/>
              </w:rPr>
            </w:pPr>
            <w:proofErr w:type="gramStart"/>
            <w:r w:rsidRPr="00715DE3">
              <w:rPr>
                <w:rFonts w:cs="Tahoma"/>
                <w:szCs w:val="20"/>
                <w:lang w:val="nl-BE"/>
              </w:rPr>
              <w:t>de</w:t>
            </w:r>
            <w:proofErr w:type="gramEnd"/>
            <w:r w:rsidRPr="00715DE3">
              <w:rPr>
                <w:rFonts w:cs="Tahoma"/>
                <w:szCs w:val="20"/>
                <w:lang w:val="nl-BE"/>
              </w:rPr>
              <w:t xml:space="preserve"> elementen gebruikt voor de indienststelling, het beheer, de configuratie of de monitoring van een basisstation;</w:t>
            </w:r>
          </w:p>
        </w:tc>
        <w:tc>
          <w:tcPr>
            <w:tcW w:w="4508" w:type="dxa"/>
          </w:tcPr>
          <w:p w14:paraId="27756414" w14:textId="77777777" w:rsidR="00ED26BE" w:rsidRPr="00715DE3" w:rsidRDefault="00ED26BE" w:rsidP="00ED26BE">
            <w:pPr>
              <w:numPr>
                <w:ilvl w:val="0"/>
                <w:numId w:val="49"/>
              </w:numPr>
              <w:contextualSpacing/>
              <w:rPr>
                <w:rFonts w:cs="Tahoma"/>
                <w:szCs w:val="20"/>
              </w:rPr>
            </w:pPr>
            <w:proofErr w:type="gramStart"/>
            <w:r w:rsidRPr="00715DE3">
              <w:rPr>
                <w:rFonts w:cs="Tahoma"/>
                <w:szCs w:val="20"/>
              </w:rPr>
              <w:t>les</w:t>
            </w:r>
            <w:proofErr w:type="gramEnd"/>
            <w:r w:rsidRPr="00715DE3">
              <w:rPr>
                <w:rFonts w:cs="Tahoma"/>
                <w:szCs w:val="20"/>
              </w:rPr>
              <w:t xml:space="preserve"> éléments utilisés pour la mise en œuvre, la gestion, la configuration ou la supervision d’une station de base ;</w:t>
            </w:r>
          </w:p>
        </w:tc>
      </w:tr>
    </w:tbl>
    <w:p w14:paraId="2E258674" w14:textId="77777777" w:rsidR="00ED26BE" w:rsidRPr="00715DE3" w:rsidRDefault="00ED26BE" w:rsidP="00ED26BE">
      <w:pPr>
        <w:pStyle w:val="Numberednormal"/>
        <w:numPr>
          <w:ilvl w:val="0"/>
          <w:numId w:val="0"/>
        </w:numPr>
        <w:ind w:left="360" w:hanging="360"/>
        <w:rPr>
          <w:rStyle w:val="cf01"/>
          <w:rFonts w:ascii="Tahoma" w:hAnsi="Tahoma" w:cs="Tahoma"/>
          <w:sz w:val="20"/>
          <w:szCs w:val="20"/>
          <w:lang w:val="fr-BE"/>
        </w:rPr>
      </w:pPr>
    </w:p>
    <w:tbl>
      <w:tblPr>
        <w:tblStyle w:val="TableGrid"/>
        <w:tblW w:w="0" w:type="auto"/>
        <w:tblLayout w:type="fixed"/>
        <w:tblLook w:val="04A0" w:firstRow="1" w:lastRow="0" w:firstColumn="1" w:lastColumn="0" w:noHBand="0" w:noVBand="1"/>
      </w:tblPr>
      <w:tblGrid>
        <w:gridCol w:w="4508"/>
        <w:gridCol w:w="4508"/>
      </w:tblGrid>
      <w:tr w:rsidR="00ED26BE" w:rsidRPr="00715DE3" w14:paraId="0B9D58DC" w14:textId="77777777" w:rsidTr="00B61A17">
        <w:tc>
          <w:tcPr>
            <w:tcW w:w="4508" w:type="dxa"/>
          </w:tcPr>
          <w:p w14:paraId="1AAA3789" w14:textId="77777777" w:rsidR="00ED26BE" w:rsidRPr="00715DE3" w:rsidRDefault="00ED26BE" w:rsidP="00B61A17">
            <w:pPr>
              <w:rPr>
                <w:rFonts w:eastAsia="Calibri" w:cs="Tahoma"/>
                <w:szCs w:val="20"/>
                <w:lang w:val="nl-BE"/>
              </w:rPr>
            </w:pPr>
            <w:r w:rsidRPr="00715DE3">
              <w:rPr>
                <w:rFonts w:eastAsia="Calibri" w:cs="Tahoma"/>
                <w:szCs w:val="20"/>
                <w:lang w:val="nl-BE"/>
              </w:rPr>
              <w:t>7° “transportnetwerk”: het deel van een 5G-netwerk dat bestaat uit de backbone en het aggregatienetwerk (“</w:t>
            </w:r>
            <w:proofErr w:type="spellStart"/>
            <w:r w:rsidRPr="00715DE3">
              <w:rPr>
                <w:rFonts w:eastAsia="Calibri" w:cs="Tahoma"/>
                <w:szCs w:val="20"/>
                <w:lang w:val="nl-BE"/>
              </w:rPr>
              <w:t>backhaul</w:t>
            </w:r>
            <w:proofErr w:type="spellEnd"/>
            <w:r w:rsidRPr="00715DE3">
              <w:rPr>
                <w:rFonts w:eastAsia="Calibri" w:cs="Tahoma"/>
                <w:szCs w:val="20"/>
                <w:lang w:val="nl-BE"/>
              </w:rPr>
              <w:t>”) en dat de elementen omvat die beantwoorden aan minstens één van de volgende criteria:</w:t>
            </w:r>
          </w:p>
        </w:tc>
        <w:tc>
          <w:tcPr>
            <w:tcW w:w="4508" w:type="dxa"/>
          </w:tcPr>
          <w:p w14:paraId="0F214D40" w14:textId="77777777" w:rsidR="00ED26BE" w:rsidRPr="00715DE3" w:rsidRDefault="00ED26BE" w:rsidP="00B61A17">
            <w:pPr>
              <w:rPr>
                <w:rFonts w:eastAsia="Calibri" w:cs="Tahoma"/>
                <w:szCs w:val="20"/>
              </w:rPr>
            </w:pPr>
            <w:r w:rsidRPr="00715DE3">
              <w:rPr>
                <w:rFonts w:eastAsia="Calibri" w:cs="Tahoma"/>
                <w:szCs w:val="20"/>
              </w:rPr>
              <w:t>7° « réseau de transport » : la partie d’un réseau 5G qui se compose de la dorsale (« backbone ») et du réseau d’agrégation (« </w:t>
            </w:r>
            <w:proofErr w:type="spellStart"/>
            <w:r w:rsidRPr="00715DE3">
              <w:rPr>
                <w:rFonts w:eastAsia="Calibri" w:cs="Tahoma"/>
                <w:szCs w:val="20"/>
              </w:rPr>
              <w:t>backhaul</w:t>
            </w:r>
            <w:proofErr w:type="spellEnd"/>
            <w:r w:rsidRPr="00715DE3">
              <w:rPr>
                <w:rFonts w:eastAsia="Calibri" w:cs="Tahoma"/>
                <w:szCs w:val="20"/>
              </w:rPr>
              <w:t> ») et qui comprend les éléments qui répondent à au moins un des critères suivants :</w:t>
            </w:r>
          </w:p>
        </w:tc>
      </w:tr>
      <w:tr w:rsidR="00ED26BE" w:rsidRPr="00715DE3" w14:paraId="1987376A" w14:textId="77777777" w:rsidTr="00B61A17">
        <w:tc>
          <w:tcPr>
            <w:tcW w:w="4508" w:type="dxa"/>
          </w:tcPr>
          <w:p w14:paraId="2E66A3C6" w14:textId="77777777" w:rsidR="00ED26BE" w:rsidRPr="00715DE3" w:rsidRDefault="00ED26BE" w:rsidP="00B61A17">
            <w:pPr>
              <w:rPr>
                <w:rFonts w:cs="Tahoma"/>
                <w:szCs w:val="20"/>
              </w:rPr>
            </w:pPr>
          </w:p>
        </w:tc>
        <w:tc>
          <w:tcPr>
            <w:tcW w:w="4508" w:type="dxa"/>
          </w:tcPr>
          <w:p w14:paraId="32A5B115" w14:textId="77777777" w:rsidR="00ED26BE" w:rsidRPr="00715DE3" w:rsidRDefault="00ED26BE" w:rsidP="00B61A17">
            <w:pPr>
              <w:rPr>
                <w:rFonts w:cs="Tahoma"/>
                <w:szCs w:val="20"/>
              </w:rPr>
            </w:pPr>
          </w:p>
        </w:tc>
      </w:tr>
      <w:tr w:rsidR="00ED26BE" w:rsidRPr="00715DE3" w14:paraId="11B370F8" w14:textId="77777777" w:rsidTr="00B61A17">
        <w:tc>
          <w:tcPr>
            <w:tcW w:w="4508" w:type="dxa"/>
          </w:tcPr>
          <w:p w14:paraId="7365AD9A" w14:textId="70CC313D" w:rsidR="00ED26BE" w:rsidRPr="00715DE3" w:rsidRDefault="00ED26BE" w:rsidP="00ED26BE">
            <w:pPr>
              <w:numPr>
                <w:ilvl w:val="0"/>
                <w:numId w:val="44"/>
              </w:numPr>
              <w:tabs>
                <w:tab w:val="left" w:pos="708"/>
              </w:tabs>
              <w:rPr>
                <w:rFonts w:cs="Tahoma"/>
                <w:bCs/>
                <w:noProof/>
                <w:szCs w:val="20"/>
                <w:lang w:val="nl-BE" w:eastAsia="fr-BE"/>
              </w:rPr>
            </w:pPr>
            <w:r w:rsidRPr="00715DE3">
              <w:rPr>
                <w:rFonts w:cs="Tahoma"/>
                <w:bCs/>
                <w:noProof/>
                <w:szCs w:val="20"/>
                <w:lang w:val="nl-BE" w:eastAsia="fr-BE"/>
              </w:rPr>
              <w:t>de elementen die zorgen voor de transmissie van signalen tussen sites van het radiotoegangsnetwerk en elementen van het centrale deel van het netwerk, tussen verschillende sites van het radiotoegangsnetwerk of tussen verschillende elementen van het centrale deel van het netwerk;</w:t>
            </w:r>
          </w:p>
        </w:tc>
        <w:tc>
          <w:tcPr>
            <w:tcW w:w="4508" w:type="dxa"/>
          </w:tcPr>
          <w:p w14:paraId="1EC1F3D2" w14:textId="77777777" w:rsidR="00ED26BE" w:rsidRPr="00715DE3" w:rsidRDefault="00ED26BE" w:rsidP="00ED26BE">
            <w:pPr>
              <w:numPr>
                <w:ilvl w:val="0"/>
                <w:numId w:val="45"/>
              </w:numPr>
              <w:rPr>
                <w:rFonts w:cs="Tahoma"/>
                <w:bCs/>
                <w:noProof/>
                <w:szCs w:val="20"/>
                <w:lang w:eastAsia="fr-BE"/>
              </w:rPr>
            </w:pPr>
            <w:r w:rsidRPr="00715DE3">
              <w:rPr>
                <w:rFonts w:cs="Tahoma"/>
                <w:noProof/>
                <w:szCs w:val="20"/>
                <w:lang w:eastAsia="fr-BE"/>
              </w:rPr>
              <w:t xml:space="preserve">les éléments qui assurent la transmission des signaux entre des sites du réseau d’accès </w:t>
            </w:r>
            <w:r w:rsidRPr="00715DE3">
              <w:rPr>
                <w:rFonts w:cs="Tahoma"/>
                <w:bCs/>
                <w:noProof/>
                <w:szCs w:val="20"/>
                <w:lang w:eastAsia="fr-BE"/>
              </w:rPr>
              <w:t>radioélectrique</w:t>
            </w:r>
            <w:r w:rsidRPr="00715DE3">
              <w:rPr>
                <w:rFonts w:cs="Tahoma"/>
                <w:noProof/>
                <w:szCs w:val="20"/>
                <w:lang w:eastAsia="fr-BE"/>
              </w:rPr>
              <w:t xml:space="preserve"> et des éléments de la partie centrale du réseau, entre différents sites du réseau d’accès </w:t>
            </w:r>
            <w:r w:rsidRPr="00715DE3">
              <w:rPr>
                <w:rFonts w:cs="Tahoma"/>
                <w:bCs/>
                <w:noProof/>
                <w:szCs w:val="20"/>
                <w:lang w:eastAsia="fr-BE"/>
              </w:rPr>
              <w:t>radioélectrique</w:t>
            </w:r>
            <w:r w:rsidRPr="00715DE3">
              <w:rPr>
                <w:rFonts w:cs="Tahoma"/>
                <w:noProof/>
                <w:szCs w:val="20"/>
                <w:lang w:eastAsia="fr-BE"/>
              </w:rPr>
              <w:t xml:space="preserve"> ou entre différents éléments de la partie centrale du réseau ; </w:t>
            </w:r>
          </w:p>
        </w:tc>
      </w:tr>
      <w:tr w:rsidR="00ED26BE" w:rsidRPr="00715DE3" w14:paraId="58BC1490" w14:textId="77777777" w:rsidTr="00B61A17">
        <w:tc>
          <w:tcPr>
            <w:tcW w:w="4508" w:type="dxa"/>
          </w:tcPr>
          <w:p w14:paraId="2C019DFB" w14:textId="77777777" w:rsidR="00ED26BE" w:rsidRPr="00715DE3" w:rsidRDefault="00ED26BE" w:rsidP="00B61A17">
            <w:pPr>
              <w:ind w:left="720"/>
              <w:contextualSpacing/>
              <w:rPr>
                <w:rFonts w:cs="Tahoma"/>
                <w:sz w:val="24"/>
                <w:szCs w:val="20"/>
              </w:rPr>
            </w:pPr>
          </w:p>
        </w:tc>
        <w:tc>
          <w:tcPr>
            <w:tcW w:w="4508" w:type="dxa"/>
          </w:tcPr>
          <w:p w14:paraId="55166F63" w14:textId="77777777" w:rsidR="00ED26BE" w:rsidRPr="00715DE3" w:rsidRDefault="00ED26BE" w:rsidP="00B61A17">
            <w:pPr>
              <w:ind w:left="720"/>
              <w:contextualSpacing/>
              <w:rPr>
                <w:rFonts w:cs="Tahoma"/>
                <w:sz w:val="24"/>
                <w:szCs w:val="20"/>
              </w:rPr>
            </w:pPr>
          </w:p>
        </w:tc>
      </w:tr>
      <w:tr w:rsidR="00ED26BE" w:rsidRPr="00715DE3" w14:paraId="797A79AD" w14:textId="77777777" w:rsidTr="00B61A17">
        <w:tc>
          <w:tcPr>
            <w:tcW w:w="4508" w:type="dxa"/>
          </w:tcPr>
          <w:p w14:paraId="426DABDC" w14:textId="77777777" w:rsidR="00ED26BE" w:rsidRPr="00715DE3" w:rsidRDefault="00ED26BE" w:rsidP="00ED26BE">
            <w:pPr>
              <w:numPr>
                <w:ilvl w:val="0"/>
                <w:numId w:val="45"/>
              </w:numPr>
              <w:tabs>
                <w:tab w:val="left" w:pos="708"/>
              </w:tabs>
              <w:rPr>
                <w:rFonts w:cs="Tahoma"/>
                <w:bCs/>
                <w:noProof/>
                <w:szCs w:val="20"/>
                <w:lang w:val="nl-BE" w:eastAsia="fr-BE"/>
              </w:rPr>
            </w:pPr>
            <w:r w:rsidRPr="00715DE3">
              <w:rPr>
                <w:rFonts w:cs="Tahoma"/>
                <w:bCs/>
                <w:noProof/>
                <w:szCs w:val="20"/>
                <w:lang w:val="nl-BE" w:eastAsia="fr-BE"/>
              </w:rPr>
              <w:t>de elementen gebruikt voor de indienststelling, het beheer, de configuratie of de monitoring van de elementen van het transportsnetwerk;</w:t>
            </w:r>
          </w:p>
        </w:tc>
        <w:tc>
          <w:tcPr>
            <w:tcW w:w="4508" w:type="dxa"/>
          </w:tcPr>
          <w:p w14:paraId="0466DEB5" w14:textId="77777777" w:rsidR="00ED26BE" w:rsidRPr="00715DE3" w:rsidRDefault="00ED26BE" w:rsidP="00ED26BE">
            <w:pPr>
              <w:numPr>
                <w:ilvl w:val="0"/>
                <w:numId w:val="46"/>
              </w:numPr>
              <w:rPr>
                <w:rFonts w:cs="Tahoma"/>
                <w:bCs/>
                <w:noProof/>
                <w:szCs w:val="20"/>
                <w:lang w:eastAsia="fr-BE"/>
              </w:rPr>
            </w:pPr>
            <w:r w:rsidRPr="00715DE3">
              <w:rPr>
                <w:rFonts w:cs="Tahoma"/>
                <w:bCs/>
                <w:noProof/>
                <w:szCs w:val="20"/>
                <w:lang w:eastAsia="fr-BE"/>
              </w:rPr>
              <w:t>les éléments utilisés pour la mise en œuvre, la gestion, la configuration ou la supervision des éléments du réseau transport ;</w:t>
            </w:r>
          </w:p>
        </w:tc>
      </w:tr>
    </w:tbl>
    <w:p w14:paraId="140F7437" w14:textId="77777777" w:rsidR="00ED26BE" w:rsidRPr="00715DE3" w:rsidRDefault="00ED26BE" w:rsidP="00ED26BE">
      <w:pPr>
        <w:pStyle w:val="Numberednormal"/>
        <w:numPr>
          <w:ilvl w:val="0"/>
          <w:numId w:val="0"/>
        </w:numPr>
        <w:ind w:left="360" w:hanging="360"/>
        <w:rPr>
          <w:rFonts w:cs="Tahoma"/>
          <w:szCs w:val="20"/>
          <w:lang w:val="fr-BE"/>
        </w:rPr>
      </w:pPr>
    </w:p>
    <w:p w14:paraId="5AD94299" w14:textId="41281A00" w:rsidR="00ED26BE" w:rsidRPr="00715DE3" w:rsidRDefault="0049060E" w:rsidP="00ED26BE">
      <w:pPr>
        <w:pStyle w:val="Numberednormal"/>
        <w:rPr>
          <w:rStyle w:val="cf01"/>
          <w:rFonts w:ascii="Tahoma" w:hAnsi="Tahoma" w:cs="Tahoma"/>
          <w:sz w:val="20"/>
          <w:szCs w:val="20"/>
        </w:rPr>
      </w:pPr>
      <w:r w:rsidRPr="00715DE3">
        <w:lastRenderedPageBreak/>
        <w:t>Het blijkt dat de synchronisatie een steeds grotere rol speelt op het niveau van de radiotoestellen van een 5G-netwerk</w:t>
      </w:r>
      <w:r w:rsidRPr="00715DE3">
        <w:rPr>
          <w:rStyle w:val="FootnoteReference"/>
          <w:rFonts w:cs="Tahoma"/>
        </w:rPr>
        <w:footnoteReference w:id="2"/>
      </w:r>
      <w:r w:rsidRPr="00715DE3">
        <w:rPr>
          <w:rStyle w:val="cf01"/>
        </w:rPr>
        <w:t>.</w:t>
      </w:r>
    </w:p>
    <w:p w14:paraId="1E5A9F64" w14:textId="2A2F7DC0" w:rsidR="00C73464" w:rsidRPr="00715DE3" w:rsidRDefault="00C73464" w:rsidP="00C73464">
      <w:pPr>
        <w:pStyle w:val="Heading1"/>
        <w:rPr>
          <w:lang w:val="nl-BE"/>
        </w:rPr>
      </w:pPr>
      <w:bookmarkStart w:id="3" w:name="_Toc135085664"/>
      <w:r w:rsidRPr="00715DE3">
        <w:rPr>
          <w:lang w:val="nl-BE"/>
        </w:rPr>
        <w:t>Mobiele Private netwerken</w:t>
      </w:r>
      <w:bookmarkEnd w:id="3"/>
    </w:p>
    <w:p w14:paraId="23EA01AC" w14:textId="77777777" w:rsidR="00C73464" w:rsidRPr="00715DE3" w:rsidRDefault="00C73464" w:rsidP="00C73464">
      <w:pPr>
        <w:rPr>
          <w:lang w:val="nl-BE"/>
        </w:rPr>
      </w:pPr>
    </w:p>
    <w:tbl>
      <w:tblPr>
        <w:tblStyle w:val="TableGrid"/>
        <w:tblW w:w="0" w:type="auto"/>
        <w:tblLook w:val="04A0" w:firstRow="1" w:lastRow="0" w:firstColumn="1" w:lastColumn="0" w:noHBand="0" w:noVBand="1"/>
      </w:tblPr>
      <w:tblGrid>
        <w:gridCol w:w="4308"/>
        <w:gridCol w:w="4754"/>
      </w:tblGrid>
      <w:tr w:rsidR="000548B5" w:rsidRPr="00715DE3" w14:paraId="4230340E" w14:textId="77777777" w:rsidTr="00AA5E6E">
        <w:tc>
          <w:tcPr>
            <w:tcW w:w="4308" w:type="dxa"/>
          </w:tcPr>
          <w:p w14:paraId="52D59D18" w14:textId="15E62008" w:rsidR="000548B5" w:rsidRPr="00715DE3" w:rsidRDefault="00AA5E6E" w:rsidP="00AA5E6E">
            <w:pPr>
              <w:spacing w:after="160" w:line="256" w:lineRule="auto"/>
              <w:rPr>
                <w:rFonts w:cs="Tahoma"/>
                <w:b/>
                <w:bCs/>
                <w:szCs w:val="20"/>
                <w:u w:val="single"/>
                <w:lang w:val="nl-BE"/>
              </w:rPr>
            </w:pPr>
            <w:r w:rsidRPr="00715DE3">
              <w:rPr>
                <w:rFonts w:cs="Tahoma"/>
                <w:b/>
                <w:bCs/>
                <w:szCs w:val="20"/>
                <w:u w:val="single"/>
                <w:lang w:val="nl-BE"/>
              </w:rPr>
              <w:t>Vraag</w:t>
            </w:r>
            <w:r w:rsidR="000650E2" w:rsidRPr="00715DE3">
              <w:rPr>
                <w:rFonts w:cs="Tahoma"/>
                <w:b/>
                <w:bCs/>
                <w:szCs w:val="20"/>
                <w:u w:val="single"/>
                <w:lang w:val="nl-BE"/>
              </w:rPr>
              <w:t xml:space="preserve"> </w:t>
            </w:r>
            <w:r w:rsidRPr="00715DE3">
              <w:rPr>
                <w:rFonts w:cs="Tahoma"/>
                <w:b/>
                <w:bCs/>
                <w:szCs w:val="20"/>
                <w:u w:val="single"/>
                <w:lang w:val="nl-BE"/>
              </w:rPr>
              <w:t>van o</w:t>
            </w:r>
            <w:r w:rsidR="000548B5" w:rsidRPr="00715DE3">
              <w:rPr>
                <w:rFonts w:cs="Tahoma"/>
                <w:b/>
                <w:bCs/>
                <w:szCs w:val="20"/>
                <w:u w:val="single"/>
                <w:lang w:val="nl-BE"/>
              </w:rPr>
              <w:t>perator X </w:t>
            </w:r>
          </w:p>
        </w:tc>
        <w:tc>
          <w:tcPr>
            <w:tcW w:w="4754" w:type="dxa"/>
          </w:tcPr>
          <w:p w14:paraId="67F87869" w14:textId="58885B29" w:rsidR="000548B5" w:rsidRPr="00715DE3" w:rsidRDefault="000548B5" w:rsidP="006C038B">
            <w:pPr>
              <w:rPr>
                <w:rFonts w:cs="Tahoma"/>
                <w:b/>
                <w:bCs/>
                <w:szCs w:val="20"/>
                <w:u w:val="single"/>
                <w:lang w:val="nl-BE"/>
              </w:rPr>
            </w:pPr>
            <w:r w:rsidRPr="00715DE3">
              <w:rPr>
                <w:rFonts w:cs="Tahoma"/>
                <w:szCs w:val="20"/>
                <w:lang w:val="nl-BE"/>
              </w:rPr>
              <w:t xml:space="preserve"> </w:t>
            </w:r>
            <w:r w:rsidRPr="00715DE3">
              <w:rPr>
                <w:rFonts w:cs="Tahoma"/>
                <w:b/>
                <w:bCs/>
                <w:szCs w:val="20"/>
                <w:u w:val="single"/>
                <w:lang w:val="nl-BE"/>
              </w:rPr>
              <w:t xml:space="preserve">Antwoord van </w:t>
            </w:r>
            <w:r w:rsidR="00A26D14" w:rsidRPr="00715DE3">
              <w:rPr>
                <w:rFonts w:cs="Tahoma"/>
                <w:b/>
                <w:bCs/>
                <w:szCs w:val="20"/>
                <w:u w:val="single"/>
                <w:lang w:val="nl-BE"/>
              </w:rPr>
              <w:t xml:space="preserve">het </w:t>
            </w:r>
            <w:r w:rsidRPr="00715DE3">
              <w:rPr>
                <w:rFonts w:cs="Tahoma"/>
                <w:b/>
                <w:bCs/>
                <w:szCs w:val="20"/>
                <w:u w:val="single"/>
                <w:lang w:val="nl-BE"/>
              </w:rPr>
              <w:t xml:space="preserve">BIPT </w:t>
            </w:r>
          </w:p>
        </w:tc>
      </w:tr>
      <w:tr w:rsidR="00AA5E6E" w:rsidRPr="00E872DF" w14:paraId="5166A1CA" w14:textId="77777777" w:rsidTr="00AA5E6E">
        <w:tc>
          <w:tcPr>
            <w:tcW w:w="4308" w:type="dxa"/>
          </w:tcPr>
          <w:p w14:paraId="7FFAB910" w14:textId="2C77F0F3" w:rsidR="00AA5E6E" w:rsidRPr="00715DE3" w:rsidRDefault="00EB341F" w:rsidP="00AA5E6E">
            <w:pPr>
              <w:spacing w:after="160" w:line="256" w:lineRule="auto"/>
              <w:rPr>
                <w:rFonts w:cs="Tahoma"/>
                <w:szCs w:val="20"/>
                <w:lang w:val="nl-BE"/>
              </w:rPr>
            </w:pPr>
            <w:r>
              <w:rPr>
                <w:rFonts w:cs="Tahoma"/>
                <w:szCs w:val="20"/>
                <w:lang w:val="nl-BE"/>
              </w:rPr>
              <w:t>“</w:t>
            </w:r>
            <w:r w:rsidR="00AA5E6E" w:rsidRPr="00715DE3">
              <w:rPr>
                <w:rFonts w:cs="Tahoma"/>
                <w:szCs w:val="20"/>
                <w:lang w:val="nl-BE"/>
              </w:rPr>
              <w:t xml:space="preserve">Operator X is aanbieder van Mobiele Private netwerken en zou volgens de wet een goedkeuring moeten vragen. </w:t>
            </w:r>
          </w:p>
          <w:p w14:paraId="4ADE55B8" w14:textId="7F0FECC3" w:rsidR="00AA5E6E" w:rsidRPr="00715DE3" w:rsidRDefault="00AA5E6E" w:rsidP="00AA5E6E">
            <w:pPr>
              <w:spacing w:after="160" w:line="256" w:lineRule="auto"/>
              <w:rPr>
                <w:rFonts w:cs="Tahoma"/>
                <w:b/>
                <w:bCs/>
                <w:szCs w:val="20"/>
                <w:u w:val="single"/>
                <w:lang w:val="nl-BE"/>
              </w:rPr>
            </w:pPr>
            <w:r w:rsidRPr="00715DE3">
              <w:rPr>
                <w:rFonts w:cs="Tahoma"/>
                <w:szCs w:val="20"/>
                <w:lang w:val="nl-BE"/>
              </w:rPr>
              <w:t xml:space="preserve">In de raadpleging staat geen specifieke verwijzing naar de goedkeuring van Mobiele Private Netwerken (“MPN”) noch naar het geval waar de </w:t>
            </w:r>
            <w:proofErr w:type="gramStart"/>
            <w:r w:rsidRPr="00715DE3">
              <w:rPr>
                <w:rFonts w:cs="Tahoma"/>
                <w:szCs w:val="20"/>
                <w:lang w:val="nl-BE"/>
              </w:rPr>
              <w:t>MPN componenten</w:t>
            </w:r>
            <w:proofErr w:type="gramEnd"/>
            <w:r w:rsidRPr="00715DE3">
              <w:rPr>
                <w:rFonts w:cs="Tahoma"/>
                <w:szCs w:val="20"/>
                <w:lang w:val="nl-BE"/>
              </w:rPr>
              <w:t xml:space="preserve"> geïnstalleerd en/of beheerd worden door verschillende partijen (vb. de MNO samen met een bedrijf of instelling)</w:t>
            </w:r>
            <w:r w:rsidR="00EB341F">
              <w:rPr>
                <w:rFonts w:cs="Tahoma"/>
                <w:szCs w:val="20"/>
                <w:lang w:val="nl-BE"/>
              </w:rPr>
              <w:t>”</w:t>
            </w:r>
          </w:p>
        </w:tc>
        <w:tc>
          <w:tcPr>
            <w:tcW w:w="4754" w:type="dxa"/>
          </w:tcPr>
          <w:p w14:paraId="4E8B4F1B" w14:textId="77777777" w:rsidR="00AA5E6E" w:rsidRPr="00715DE3" w:rsidRDefault="00AA5E6E" w:rsidP="006C038B">
            <w:pPr>
              <w:rPr>
                <w:rFonts w:cs="Tahoma"/>
                <w:szCs w:val="20"/>
                <w:lang w:val="nl-BE"/>
              </w:rPr>
            </w:pPr>
          </w:p>
        </w:tc>
      </w:tr>
      <w:tr w:rsidR="000548B5" w:rsidRPr="00E872DF" w14:paraId="06E461F3" w14:textId="77777777" w:rsidTr="00AA5E6E">
        <w:tc>
          <w:tcPr>
            <w:tcW w:w="4308" w:type="dxa"/>
          </w:tcPr>
          <w:p w14:paraId="4E49C3BE" w14:textId="1E9C0550" w:rsidR="000548B5" w:rsidRPr="00715DE3" w:rsidRDefault="00EB341F" w:rsidP="006C038B">
            <w:pPr>
              <w:rPr>
                <w:rFonts w:cs="Tahoma"/>
                <w:b/>
                <w:bCs/>
                <w:szCs w:val="20"/>
                <w:u w:val="single"/>
                <w:lang w:val="nl-BE"/>
              </w:rPr>
            </w:pPr>
            <w:r>
              <w:rPr>
                <w:rFonts w:cs="Tahoma"/>
                <w:szCs w:val="20"/>
                <w:lang w:val="nl-BE"/>
              </w:rPr>
              <w:t>“</w:t>
            </w:r>
            <w:r w:rsidR="000548B5" w:rsidRPr="00715DE3">
              <w:rPr>
                <w:rFonts w:cs="Tahoma"/>
                <w:szCs w:val="20"/>
                <w:lang w:val="nl-BE"/>
              </w:rPr>
              <w:t xml:space="preserve">5.1 Kan het BIPT verduidelijken of er voor de regularisatie als </w:t>
            </w:r>
            <w:proofErr w:type="gramStart"/>
            <w:r w:rsidR="000548B5" w:rsidRPr="00715DE3">
              <w:rPr>
                <w:rFonts w:cs="Tahoma"/>
                <w:szCs w:val="20"/>
                <w:lang w:val="nl-BE"/>
              </w:rPr>
              <w:t>MPN aanbieder</w:t>
            </w:r>
            <w:proofErr w:type="gramEnd"/>
            <w:r w:rsidR="000548B5" w:rsidRPr="00715DE3">
              <w:rPr>
                <w:rFonts w:cs="Tahoma"/>
                <w:szCs w:val="20"/>
                <w:lang w:val="nl-BE"/>
              </w:rPr>
              <w:t xml:space="preserve"> specifieke informatie vereist is?</w:t>
            </w:r>
            <w:r>
              <w:rPr>
                <w:rFonts w:cs="Tahoma"/>
                <w:szCs w:val="20"/>
                <w:lang w:val="nl-BE"/>
              </w:rPr>
              <w:t>”</w:t>
            </w:r>
          </w:p>
        </w:tc>
        <w:tc>
          <w:tcPr>
            <w:tcW w:w="4754" w:type="dxa"/>
          </w:tcPr>
          <w:p w14:paraId="7EE734E0" w14:textId="5943A06B" w:rsidR="000548B5" w:rsidRPr="00715DE3" w:rsidRDefault="0049060E" w:rsidP="006C038B">
            <w:pPr>
              <w:rPr>
                <w:rFonts w:cs="Tahoma"/>
                <w:szCs w:val="20"/>
                <w:lang w:val="nl-BE"/>
              </w:rPr>
            </w:pPr>
            <w:r w:rsidRPr="00715DE3">
              <w:rPr>
                <w:lang w:val="nl-BE"/>
              </w:rPr>
              <w:t>Er moet geen specifieke informatie toegevoegd worden aan het dossier dat bij het BIPT ingediend wordt.</w:t>
            </w:r>
            <w:r w:rsidR="000548B5" w:rsidRPr="00715DE3">
              <w:rPr>
                <w:rFonts w:cs="Tahoma"/>
                <w:szCs w:val="20"/>
                <w:lang w:val="nl-BE"/>
              </w:rPr>
              <w:t xml:space="preserve"> </w:t>
            </w:r>
          </w:p>
        </w:tc>
      </w:tr>
      <w:tr w:rsidR="000548B5" w:rsidRPr="00E872DF" w14:paraId="0829E55A" w14:textId="77777777" w:rsidTr="00AA5E6E">
        <w:tc>
          <w:tcPr>
            <w:tcW w:w="4308" w:type="dxa"/>
          </w:tcPr>
          <w:p w14:paraId="33C1E3C8" w14:textId="524913A0" w:rsidR="000548B5" w:rsidRPr="00715DE3" w:rsidRDefault="00EB341F" w:rsidP="006C038B">
            <w:pPr>
              <w:spacing w:line="256" w:lineRule="auto"/>
              <w:rPr>
                <w:rFonts w:cs="Tahoma"/>
                <w:szCs w:val="20"/>
                <w:lang w:val="nl-BE"/>
              </w:rPr>
            </w:pPr>
            <w:r>
              <w:rPr>
                <w:rFonts w:cs="Tahoma"/>
                <w:szCs w:val="20"/>
                <w:lang w:val="nl-BE"/>
              </w:rPr>
              <w:t>“</w:t>
            </w:r>
            <w:r w:rsidR="000548B5" w:rsidRPr="00715DE3">
              <w:rPr>
                <w:rFonts w:cs="Tahoma"/>
                <w:szCs w:val="20"/>
                <w:lang w:val="nl-BE"/>
              </w:rPr>
              <w:t xml:space="preserve">5.2 Operator X is niet op de hoogte welke van zijn </w:t>
            </w:r>
            <w:proofErr w:type="gramStart"/>
            <w:r w:rsidR="000548B5" w:rsidRPr="00715DE3">
              <w:rPr>
                <w:rFonts w:cs="Tahoma"/>
                <w:szCs w:val="20"/>
                <w:lang w:val="nl-BE"/>
              </w:rPr>
              <w:t>MPN klanten</w:t>
            </w:r>
            <w:proofErr w:type="gramEnd"/>
            <w:r w:rsidR="000548B5" w:rsidRPr="00715DE3">
              <w:rPr>
                <w:rFonts w:cs="Tahoma"/>
                <w:szCs w:val="20"/>
                <w:lang w:val="nl-BE"/>
              </w:rPr>
              <w:t xml:space="preserve"> onderworpen zijn aan de NIS regulering. In principe zal Operator X een algemene goedkeuring vragen als </w:t>
            </w:r>
            <w:proofErr w:type="gramStart"/>
            <w:r w:rsidR="000548B5" w:rsidRPr="00715DE3">
              <w:rPr>
                <w:rFonts w:cs="Tahoma"/>
                <w:szCs w:val="20"/>
                <w:lang w:val="nl-BE"/>
              </w:rPr>
              <w:t>MPN aanbieder</w:t>
            </w:r>
            <w:proofErr w:type="gramEnd"/>
            <w:r w:rsidR="000548B5" w:rsidRPr="00715DE3">
              <w:rPr>
                <w:rFonts w:cs="Tahoma"/>
                <w:szCs w:val="20"/>
                <w:lang w:val="nl-BE"/>
              </w:rPr>
              <w:t xml:space="preserve"> onafhankelijk van de klant die gebruik maakt van onze MPN diensten. Hoe zal dan bepaald worden of Operator X een machtiging of regularisatie zal moeten aanvragen voor een door haar uitgebaat Mobiel Privaat Netwerk voor een klant die onderwerpen is aan de NIS?</w:t>
            </w:r>
            <w:r>
              <w:rPr>
                <w:rFonts w:cs="Tahoma"/>
                <w:szCs w:val="20"/>
                <w:lang w:val="nl-BE"/>
              </w:rPr>
              <w:t>”</w:t>
            </w:r>
          </w:p>
          <w:p w14:paraId="3D4631C1" w14:textId="77777777" w:rsidR="00DA3D25" w:rsidRPr="00715DE3" w:rsidRDefault="00DA3D25" w:rsidP="006C038B">
            <w:pPr>
              <w:spacing w:line="256" w:lineRule="auto"/>
              <w:rPr>
                <w:rFonts w:cs="Tahoma"/>
                <w:szCs w:val="20"/>
                <w:lang w:val="nl-BE"/>
              </w:rPr>
            </w:pPr>
          </w:p>
          <w:p w14:paraId="028E6266" w14:textId="46EBA98F" w:rsidR="00AA5E6E" w:rsidRPr="00715DE3" w:rsidRDefault="00AA5E6E" w:rsidP="006C038B">
            <w:pPr>
              <w:spacing w:line="256" w:lineRule="auto"/>
              <w:rPr>
                <w:rFonts w:cs="Tahoma"/>
                <w:b/>
                <w:bCs/>
                <w:szCs w:val="20"/>
                <w:u w:val="single"/>
                <w:lang w:val="nl-BE"/>
              </w:rPr>
            </w:pPr>
          </w:p>
        </w:tc>
        <w:tc>
          <w:tcPr>
            <w:tcW w:w="4754" w:type="dxa"/>
          </w:tcPr>
          <w:p w14:paraId="013B9A87" w14:textId="270299BA" w:rsidR="00AA5E6E" w:rsidRPr="00715DE3" w:rsidRDefault="00DA3D25" w:rsidP="00AA5E6E">
            <w:pPr>
              <w:rPr>
                <w:rFonts w:cs="Tahoma"/>
                <w:szCs w:val="20"/>
                <w:lang w:val="nl-BE"/>
              </w:rPr>
            </w:pPr>
            <w:r w:rsidRPr="00715DE3">
              <w:rPr>
                <w:rFonts w:cs="Tahoma"/>
                <w:szCs w:val="20"/>
                <w:lang w:val="nl-BE"/>
              </w:rPr>
              <w:t>O</w:t>
            </w:r>
            <w:r w:rsidR="00AA5E6E" w:rsidRPr="00715DE3">
              <w:rPr>
                <w:rFonts w:cs="Tahoma"/>
                <w:szCs w:val="20"/>
                <w:lang w:val="nl-BE"/>
              </w:rPr>
              <w:t>perator X</w:t>
            </w:r>
            <w:r w:rsidRPr="00715DE3">
              <w:rPr>
                <w:rFonts w:cs="Tahoma"/>
                <w:szCs w:val="20"/>
                <w:lang w:val="nl-BE"/>
              </w:rPr>
              <w:t xml:space="preserve"> moet inderdaad </w:t>
            </w:r>
            <w:r w:rsidR="000B1586" w:rsidRPr="00715DE3">
              <w:rPr>
                <w:rFonts w:cs="Tahoma"/>
                <w:szCs w:val="20"/>
                <w:lang w:val="nl-BE"/>
              </w:rPr>
              <w:t>als MNO</w:t>
            </w:r>
            <w:r w:rsidR="00AA5E6E" w:rsidRPr="00715DE3">
              <w:rPr>
                <w:rFonts w:cs="Tahoma"/>
                <w:szCs w:val="20"/>
                <w:lang w:val="nl-BE"/>
              </w:rPr>
              <w:t xml:space="preserve"> een algemene goedkeuring vragen als MPN</w:t>
            </w:r>
            <w:r w:rsidR="00EB341F">
              <w:rPr>
                <w:rFonts w:cs="Tahoma"/>
                <w:szCs w:val="20"/>
                <w:lang w:val="nl-BE"/>
              </w:rPr>
              <w:t>-</w:t>
            </w:r>
            <w:r w:rsidR="00AA5E6E" w:rsidRPr="00715DE3">
              <w:rPr>
                <w:rFonts w:cs="Tahoma"/>
                <w:szCs w:val="20"/>
                <w:lang w:val="nl-BE"/>
              </w:rPr>
              <w:t>aanbieder</w:t>
            </w:r>
            <w:r w:rsidR="006B46D6">
              <w:rPr>
                <w:rFonts w:cs="Tahoma"/>
                <w:szCs w:val="20"/>
                <w:lang w:val="nl-BE"/>
              </w:rPr>
              <w:t>,</w:t>
            </w:r>
            <w:r w:rsidR="00AA5E6E" w:rsidRPr="00715DE3">
              <w:rPr>
                <w:rFonts w:cs="Tahoma"/>
                <w:szCs w:val="20"/>
                <w:lang w:val="nl-BE"/>
              </w:rPr>
              <w:t xml:space="preserve"> onafhankelijk van de klant die gebruik maakt van de MPN</w:t>
            </w:r>
            <w:r w:rsidR="00EB341F">
              <w:rPr>
                <w:rFonts w:cs="Tahoma"/>
                <w:szCs w:val="20"/>
                <w:lang w:val="nl-BE"/>
              </w:rPr>
              <w:t>-</w:t>
            </w:r>
            <w:r w:rsidR="00AA5E6E" w:rsidRPr="00715DE3">
              <w:rPr>
                <w:rFonts w:cs="Tahoma"/>
                <w:szCs w:val="20"/>
                <w:lang w:val="nl-BE"/>
              </w:rPr>
              <w:t xml:space="preserve">diensten. </w:t>
            </w:r>
          </w:p>
          <w:p w14:paraId="14F6BF28" w14:textId="77777777" w:rsidR="00F20726" w:rsidRPr="00715DE3" w:rsidRDefault="00F20726" w:rsidP="00AA5E6E">
            <w:pPr>
              <w:rPr>
                <w:rFonts w:cs="Tahoma"/>
                <w:szCs w:val="20"/>
                <w:lang w:val="nl-BE"/>
              </w:rPr>
            </w:pPr>
          </w:p>
          <w:p w14:paraId="353F3A36" w14:textId="119F03C5" w:rsidR="0049060E" w:rsidRPr="00715DE3" w:rsidRDefault="0049060E" w:rsidP="0049060E">
            <w:pPr>
              <w:rPr>
                <w:rFonts w:cs="Tahoma"/>
                <w:szCs w:val="20"/>
                <w:lang w:val="nl-BE"/>
              </w:rPr>
            </w:pPr>
            <w:r w:rsidRPr="00715DE3">
              <w:rPr>
                <w:lang w:val="nl-BE"/>
              </w:rPr>
              <w:t xml:space="preserve">Indien </w:t>
            </w:r>
            <w:r w:rsidR="00EB341F">
              <w:rPr>
                <w:lang w:val="nl-BE"/>
              </w:rPr>
              <w:t xml:space="preserve">de MPN wordt aangeboden door een </w:t>
            </w:r>
            <w:r w:rsidRPr="00715DE3">
              <w:rPr>
                <w:lang w:val="nl-BE"/>
              </w:rPr>
              <w:t>vanuit juridisch oogpunt andere onderneming dan operator</w:t>
            </w:r>
            <w:r w:rsidR="00EB341F">
              <w:rPr>
                <w:lang w:val="nl-BE"/>
              </w:rPr>
              <w:t xml:space="preserve"> X</w:t>
            </w:r>
            <w:r w:rsidRPr="00715DE3">
              <w:rPr>
                <w:lang w:val="nl-BE"/>
              </w:rPr>
              <w:t xml:space="preserve">, zal die onderneming een ministeriële machtiging moeten aanvragen als: </w:t>
            </w:r>
          </w:p>
          <w:p w14:paraId="55A90A46" w14:textId="1C605387" w:rsidR="0049060E" w:rsidRPr="00715DE3" w:rsidRDefault="0049060E" w:rsidP="0049060E">
            <w:pPr>
              <w:pStyle w:val="ListParagraph"/>
              <w:keepLines w:val="0"/>
              <w:numPr>
                <w:ilvl w:val="0"/>
                <w:numId w:val="32"/>
              </w:numPr>
              <w:jc w:val="left"/>
              <w:rPr>
                <w:rFonts w:cs="Tahoma"/>
                <w:lang w:val="nl-BE"/>
              </w:rPr>
            </w:pPr>
            <w:r w:rsidRPr="00715DE3">
              <w:rPr>
                <w:lang w:val="nl-BE"/>
              </w:rPr>
              <w:t>z</w:t>
            </w:r>
            <w:r w:rsidR="00EB341F">
              <w:rPr>
                <w:lang w:val="nl-BE"/>
              </w:rPr>
              <w:t>ij</w:t>
            </w:r>
            <w:r w:rsidRPr="00715DE3">
              <w:rPr>
                <w:lang w:val="nl-BE"/>
              </w:rPr>
              <w:t xml:space="preserve"> werd aangewezen als exploitant van kritieke infrastructuren in de zin van de wet van 1 juli 2011 betreffende de beveiliging en de bescherming van de kritieke infrastructuren voor zover elementen van het private 5G-netwerk worden gebruikt in een van deze kritieke infrastructuren; of, </w:t>
            </w:r>
          </w:p>
          <w:p w14:paraId="0D295A93" w14:textId="367131A8" w:rsidR="000548B5" w:rsidRPr="00715DE3" w:rsidRDefault="0049060E" w:rsidP="0049060E">
            <w:pPr>
              <w:pStyle w:val="ListParagraph"/>
              <w:keepLines w:val="0"/>
              <w:numPr>
                <w:ilvl w:val="0"/>
                <w:numId w:val="32"/>
              </w:numPr>
              <w:jc w:val="left"/>
              <w:rPr>
                <w:rFonts w:cs="Tahoma"/>
                <w:lang w:val="nl-BE"/>
              </w:rPr>
            </w:pPr>
            <w:r w:rsidRPr="00715DE3">
              <w:rPr>
                <w:lang w:val="nl-BE"/>
              </w:rPr>
              <w:t>z</w:t>
            </w:r>
            <w:r w:rsidR="00EB341F">
              <w:rPr>
                <w:lang w:val="nl-BE"/>
              </w:rPr>
              <w:t>ij</w:t>
            </w:r>
            <w:r w:rsidRPr="00715DE3">
              <w:rPr>
                <w:lang w:val="nl-BE"/>
              </w:rPr>
              <w:t xml:space="preserve"> werd aangewezen als aanbieder van essentiële diensten in de zin van de wet van 7 april 2019 tot vaststelling van een kader voor de beveiliging van netwerk- en informatiesystemen van algemeen belang voor de openbare veiligheid, voor zover de verlening van een essentiële dienst gebruikmaakt van een privaat 5G-netwerk (zie artikel 1, 15°, b) en c) van het KB machtigingen).</w:t>
            </w:r>
            <w:r w:rsidR="000548B5" w:rsidRPr="00715DE3">
              <w:rPr>
                <w:rFonts w:cs="Tahoma"/>
                <w:bCs/>
                <w:lang w:val="nl-BE"/>
              </w:rPr>
              <w:t xml:space="preserve"> </w:t>
            </w:r>
            <w:r w:rsidR="000548B5" w:rsidRPr="00715DE3">
              <w:rPr>
                <w:rFonts w:cs="Tahoma"/>
                <w:lang w:val="nl-BE"/>
              </w:rPr>
              <w:t xml:space="preserve"> </w:t>
            </w:r>
          </w:p>
          <w:p w14:paraId="0684732D" w14:textId="77777777" w:rsidR="000548B5" w:rsidRPr="00715DE3" w:rsidRDefault="000548B5" w:rsidP="00CE0C09">
            <w:pPr>
              <w:pStyle w:val="ListParagraph"/>
              <w:numPr>
                <w:ilvl w:val="0"/>
                <w:numId w:val="0"/>
              </w:numPr>
              <w:ind w:left="717"/>
              <w:rPr>
                <w:rFonts w:cs="Tahoma"/>
                <w:lang w:val="nl-BE"/>
              </w:rPr>
            </w:pPr>
          </w:p>
          <w:p w14:paraId="22433A8D" w14:textId="500809CE" w:rsidR="000548B5" w:rsidRPr="00715DE3" w:rsidRDefault="0049060E" w:rsidP="006C038B">
            <w:pPr>
              <w:rPr>
                <w:rFonts w:cs="Tahoma"/>
                <w:szCs w:val="20"/>
                <w:lang w:val="nl-BE"/>
              </w:rPr>
            </w:pPr>
            <w:r w:rsidRPr="00715DE3">
              <w:rPr>
                <w:lang w:val="nl-BE"/>
              </w:rPr>
              <w:lastRenderedPageBreak/>
              <w:t>Het BIPT zal die ondernemingen in samenwerking met de in de voormelde wetten bedoelde sectorale overheden identificeren. Er kan echter niet worden uitgesloten dat het BIPT op een gegeven ogenblik informatie vraagt aan de operatoren.</w:t>
            </w:r>
          </w:p>
        </w:tc>
      </w:tr>
      <w:tr w:rsidR="00DA3D25" w:rsidRPr="00E872DF" w14:paraId="4A22DEAC" w14:textId="77777777" w:rsidTr="00AA5E6E">
        <w:tc>
          <w:tcPr>
            <w:tcW w:w="4308" w:type="dxa"/>
          </w:tcPr>
          <w:p w14:paraId="5E086919" w14:textId="14093694" w:rsidR="00DA3D25" w:rsidRPr="00715DE3" w:rsidRDefault="00EB341F" w:rsidP="006C038B">
            <w:pPr>
              <w:spacing w:line="256" w:lineRule="auto"/>
              <w:rPr>
                <w:rFonts w:cs="Tahoma"/>
                <w:szCs w:val="20"/>
                <w:lang w:val="nl-BE"/>
              </w:rPr>
            </w:pPr>
            <w:r>
              <w:rPr>
                <w:rFonts w:cs="Tahoma"/>
                <w:szCs w:val="20"/>
                <w:lang w:val="nl-BE"/>
              </w:rPr>
              <w:lastRenderedPageBreak/>
              <w:t>“</w:t>
            </w:r>
            <w:r w:rsidR="00DA3D25" w:rsidRPr="00715DE3">
              <w:rPr>
                <w:rFonts w:cs="Tahoma"/>
                <w:szCs w:val="20"/>
                <w:lang w:val="nl-BE"/>
              </w:rPr>
              <w:t xml:space="preserve">5.3 We wensen het BIPT erop te wijzen dat er ook hybride vormen Mobiele Private netwerken bestaan. (= Mobile Private Netwerken die componenten bevatten die geïnstalleerd </w:t>
            </w:r>
            <w:proofErr w:type="gramStart"/>
            <w:r w:rsidR="00DA3D25" w:rsidRPr="00715DE3">
              <w:rPr>
                <w:rFonts w:cs="Tahoma"/>
                <w:szCs w:val="20"/>
                <w:lang w:val="nl-BE"/>
              </w:rPr>
              <w:t>en /</w:t>
            </w:r>
            <w:proofErr w:type="gramEnd"/>
            <w:r w:rsidR="00DA3D25" w:rsidRPr="00715DE3">
              <w:rPr>
                <w:rFonts w:cs="Tahoma"/>
                <w:szCs w:val="20"/>
                <w:lang w:val="nl-BE"/>
              </w:rPr>
              <w:t xml:space="preserve">  of beheerd worden door verschillende partijen (vb. de MNO samen met een bedrijf of instelling))? Wie wordt dan door het BIPT aanzien als de aanbieder van het Mobiele Private netwerk.</w:t>
            </w:r>
            <w:r>
              <w:rPr>
                <w:rFonts w:cs="Tahoma"/>
                <w:szCs w:val="20"/>
                <w:lang w:val="nl-BE"/>
              </w:rPr>
              <w:t>”</w:t>
            </w:r>
          </w:p>
        </w:tc>
        <w:tc>
          <w:tcPr>
            <w:tcW w:w="4754" w:type="dxa"/>
          </w:tcPr>
          <w:p w14:paraId="098F0177" w14:textId="2F8AC06D" w:rsidR="00DA3D25" w:rsidRPr="00715DE3" w:rsidRDefault="0049060E" w:rsidP="00DA3D25">
            <w:pPr>
              <w:rPr>
                <w:rFonts w:cs="Tahoma"/>
                <w:szCs w:val="20"/>
                <w:lang w:val="nl-BE"/>
              </w:rPr>
            </w:pPr>
            <w:r w:rsidRPr="00715DE3">
              <w:rPr>
                <w:lang w:val="nl-BE"/>
              </w:rPr>
              <w:t xml:space="preserve">De onderneming die de machtiging voor een specifiek MPN zal moeten aanvragen, is de onderneming die het MPN (Mobile Private Netwerk) vanuit een juridisch oogpunt verstrekt. </w:t>
            </w:r>
            <w:r w:rsidR="00EB341F">
              <w:rPr>
                <w:lang w:val="nl-BE"/>
              </w:rPr>
              <w:t>Dit is</w:t>
            </w:r>
            <w:r w:rsidR="00EB341F" w:rsidRPr="00715DE3">
              <w:rPr>
                <w:lang w:val="nl-BE"/>
              </w:rPr>
              <w:t xml:space="preserve"> </w:t>
            </w:r>
            <w:r w:rsidRPr="00715DE3">
              <w:rPr>
                <w:lang w:val="nl-BE"/>
              </w:rPr>
              <w:t>de onderneming die juridisch verantwoordelijk is voor het verstrekken van het netwerk of de dienst.</w:t>
            </w:r>
          </w:p>
          <w:p w14:paraId="03B4CCD6" w14:textId="77777777" w:rsidR="00DA3D25" w:rsidRPr="00715DE3" w:rsidRDefault="00DA3D25" w:rsidP="00AA5E6E">
            <w:pPr>
              <w:rPr>
                <w:rFonts w:cs="Tahoma"/>
                <w:szCs w:val="20"/>
                <w:lang w:val="nl-BE"/>
              </w:rPr>
            </w:pPr>
          </w:p>
        </w:tc>
      </w:tr>
    </w:tbl>
    <w:p w14:paraId="2151F724" w14:textId="77777777" w:rsidR="00C73464" w:rsidRPr="00715DE3" w:rsidRDefault="00C73464" w:rsidP="000548B5">
      <w:pPr>
        <w:pStyle w:val="Numberednormal"/>
        <w:numPr>
          <w:ilvl w:val="0"/>
          <w:numId w:val="0"/>
        </w:numPr>
        <w:ind w:left="360" w:hanging="360"/>
      </w:pPr>
    </w:p>
    <w:p w14:paraId="0B95A7CD" w14:textId="3796A4D7" w:rsidR="00034129" w:rsidRPr="00715DE3" w:rsidRDefault="00034129" w:rsidP="00034129">
      <w:pPr>
        <w:pStyle w:val="Heading1"/>
        <w:numPr>
          <w:ilvl w:val="0"/>
          <w:numId w:val="7"/>
        </w:numPr>
        <w:rPr>
          <w:lang w:val="nl-BE"/>
        </w:rPr>
      </w:pPr>
      <w:bookmarkStart w:id="4" w:name="_Toc135085665"/>
      <w:r w:rsidRPr="00715DE3">
        <w:rPr>
          <w:lang w:val="nl-BE"/>
        </w:rPr>
        <w:t>Raadpleging van de lijst met gevoelige zones</w:t>
      </w:r>
      <w:bookmarkEnd w:id="4"/>
      <w:r w:rsidRPr="00715DE3">
        <w:rPr>
          <w:lang w:val="nl-BE"/>
        </w:rPr>
        <w:t xml:space="preserve"> </w:t>
      </w:r>
    </w:p>
    <w:p w14:paraId="075325B7" w14:textId="77777777" w:rsidR="00034129" w:rsidRPr="00715DE3" w:rsidRDefault="00034129" w:rsidP="00034129">
      <w:pPr>
        <w:pStyle w:val="Numberednormal"/>
        <w:numPr>
          <w:ilvl w:val="0"/>
          <w:numId w:val="6"/>
        </w:numPr>
        <w:rPr>
          <w:rFonts w:cs="Tahoma"/>
          <w:szCs w:val="20"/>
        </w:rPr>
      </w:pPr>
      <w:r w:rsidRPr="00715DE3">
        <w:t xml:space="preserve">Er is sprake van een lijst met de gevoelige zones in: </w:t>
      </w:r>
    </w:p>
    <w:p w14:paraId="1BDA8079" w14:textId="77777777" w:rsidR="00034129" w:rsidRPr="00715DE3" w:rsidRDefault="00034129" w:rsidP="00034129">
      <w:pPr>
        <w:pStyle w:val="Numberednormal"/>
        <w:numPr>
          <w:ilvl w:val="1"/>
          <w:numId w:val="6"/>
        </w:numPr>
        <w:rPr>
          <w:rFonts w:cs="Tahoma"/>
          <w:szCs w:val="20"/>
        </w:rPr>
      </w:pPr>
      <w:proofErr w:type="gramStart"/>
      <w:r w:rsidRPr="00715DE3">
        <w:t>artikel</w:t>
      </w:r>
      <w:proofErr w:type="gramEnd"/>
      <w:r w:rsidRPr="00715DE3">
        <w:t xml:space="preserve"> 105, §§ 4 en 7, van de wet betreffende de elektronische communicatie, en; </w:t>
      </w:r>
    </w:p>
    <w:p w14:paraId="287F7521" w14:textId="7BF007CF" w:rsidR="00034129" w:rsidRPr="00715DE3" w:rsidRDefault="00034129" w:rsidP="00034129">
      <w:pPr>
        <w:pStyle w:val="Numberednormal"/>
        <w:numPr>
          <w:ilvl w:val="1"/>
          <w:numId w:val="6"/>
        </w:numPr>
        <w:rPr>
          <w:rFonts w:cs="Tahoma"/>
          <w:szCs w:val="20"/>
        </w:rPr>
      </w:pPr>
      <w:proofErr w:type="gramStart"/>
      <w:r w:rsidRPr="00715DE3">
        <w:t>de</w:t>
      </w:r>
      <w:proofErr w:type="gramEnd"/>
      <w:r w:rsidRPr="00715DE3">
        <w:t xml:space="preserve"> artikelen 6, § 2, en 7, § 1, van het </w:t>
      </w:r>
      <w:bookmarkStart w:id="5" w:name="_Hlk124234473"/>
      <w:r w:rsidR="00D12A58" w:rsidRPr="00715DE3">
        <w:t xml:space="preserve">KB </w:t>
      </w:r>
      <w:r w:rsidRPr="00715DE3">
        <w:t>machtiging</w:t>
      </w:r>
      <w:bookmarkEnd w:id="5"/>
      <w:r w:rsidR="00D12A58" w:rsidRPr="00715DE3">
        <w:t>en</w:t>
      </w:r>
      <w:r w:rsidRPr="00715DE3">
        <w:t xml:space="preserve">. </w:t>
      </w:r>
    </w:p>
    <w:p w14:paraId="3CBD3E4B" w14:textId="77777777" w:rsidR="00034129" w:rsidRPr="00715DE3" w:rsidRDefault="00034129" w:rsidP="00034129">
      <w:pPr>
        <w:pStyle w:val="Numberednormal"/>
        <w:numPr>
          <w:ilvl w:val="0"/>
          <w:numId w:val="0"/>
        </w:numPr>
        <w:ind w:left="1080"/>
        <w:rPr>
          <w:rFonts w:cs="Tahoma"/>
          <w:szCs w:val="20"/>
        </w:rPr>
      </w:pPr>
    </w:p>
    <w:p w14:paraId="430B8BC7" w14:textId="77777777" w:rsidR="00034129" w:rsidRPr="00715DE3" w:rsidRDefault="00034129" w:rsidP="00034129">
      <w:pPr>
        <w:pStyle w:val="Numberednormal"/>
        <w:numPr>
          <w:ilvl w:val="0"/>
          <w:numId w:val="6"/>
        </w:numPr>
        <w:rPr>
          <w:rFonts w:cs="Tahoma"/>
          <w:szCs w:val="20"/>
        </w:rPr>
      </w:pPr>
      <w:r w:rsidRPr="00715DE3">
        <w:t xml:space="preserve">Deze lijst bevindt zich in de bijlage bij </w:t>
      </w:r>
      <w:hyperlink r:id="rId13" w:history="1">
        <w:r w:rsidRPr="00715DE3">
          <w:rPr>
            <w:rStyle w:val="Hyperlink"/>
          </w:rPr>
          <w:t xml:space="preserve">het koninklijk besluit van 23 oktober 2022 </w:t>
        </w:r>
        <w:proofErr w:type="gramStart"/>
        <w:r w:rsidRPr="00715DE3">
          <w:rPr>
            <w:rStyle w:val="Hyperlink"/>
          </w:rPr>
          <w:t>betreffende</w:t>
        </w:r>
        <w:proofErr w:type="gramEnd"/>
        <w:r w:rsidRPr="00715DE3">
          <w:rPr>
            <w:rStyle w:val="Hyperlink"/>
          </w:rPr>
          <w:t xml:space="preserve"> de gevoelige zones in het kader van de wet van 17 februari 2022 tot invoering van bijkomende beveiligingsmaatregelen voor de verstrekking van mobiele 5G-diensten</w:t>
        </w:r>
      </w:hyperlink>
      <w:r w:rsidRPr="00715DE3">
        <w:t>. Die bijlage is vertrouwelijk.</w:t>
      </w:r>
    </w:p>
    <w:p w14:paraId="2CFE248A" w14:textId="77777777" w:rsidR="00034129" w:rsidRPr="00715DE3" w:rsidRDefault="00034129" w:rsidP="00034129">
      <w:pPr>
        <w:pStyle w:val="Numberednormal"/>
        <w:numPr>
          <w:ilvl w:val="0"/>
          <w:numId w:val="0"/>
        </w:numPr>
        <w:ind w:left="360"/>
        <w:rPr>
          <w:rFonts w:cs="Tahoma"/>
          <w:szCs w:val="20"/>
          <w:lang w:val="fr-BE"/>
        </w:rPr>
      </w:pPr>
    </w:p>
    <w:p w14:paraId="2CCC9468" w14:textId="7904F534" w:rsidR="00034129" w:rsidRPr="00715DE3" w:rsidRDefault="00A57890" w:rsidP="1A6AD6E6">
      <w:pPr>
        <w:pStyle w:val="Numberednormal"/>
        <w:numPr>
          <w:ilvl w:val="0"/>
          <w:numId w:val="6"/>
        </w:numPr>
        <w:rPr>
          <w:rFonts w:cs="Tahoma"/>
        </w:rPr>
      </w:pPr>
      <w:r>
        <w:t>E</w:t>
      </w:r>
      <w:r w:rsidR="00034129" w:rsidRPr="00715DE3">
        <w:t xml:space="preserve">en MNO die een </w:t>
      </w:r>
      <w:r>
        <w:t>5G-</w:t>
      </w:r>
      <w:r w:rsidR="00034129" w:rsidRPr="00715DE3">
        <w:t xml:space="preserve">netwerk heeft </w:t>
      </w:r>
      <w:r>
        <w:t xml:space="preserve">of plant te hebben </w:t>
      </w:r>
      <w:r w:rsidR="00034129" w:rsidRPr="00715DE3">
        <w:t>in België</w:t>
      </w:r>
      <w:r>
        <w:t>, kan</w:t>
      </w:r>
      <w:r w:rsidR="00034129" w:rsidRPr="00715DE3">
        <w:t xml:space="preserve"> via een mail aan </w:t>
      </w:r>
      <w:hyperlink r:id="rId14">
        <w:r w:rsidR="00034129" w:rsidRPr="00715DE3">
          <w:rPr>
            <w:rStyle w:val="Hyperlink"/>
          </w:rPr>
          <w:t>net.sec@ibpt.be</w:t>
        </w:r>
      </w:hyperlink>
      <w:r w:rsidR="00034129" w:rsidRPr="00715DE3">
        <w:t xml:space="preserve"> aan het BIPT vragen om de lijst met gevoelige zones te raadplegen. Het BIPT zal nagaan of het verzoek gerechtvaardigd is (aangevraagd door een MNO die een verzoek om machtiging moet indienen</w:t>
      </w:r>
      <w:r>
        <w:t xml:space="preserve"> of </w:t>
      </w:r>
      <w:proofErr w:type="gramStart"/>
      <w:r>
        <w:t>reeds</w:t>
      </w:r>
      <w:proofErr w:type="gramEnd"/>
      <w:r>
        <w:t xml:space="preserve"> heeft ingediend</w:t>
      </w:r>
      <w:r w:rsidR="00034129" w:rsidRPr="00715DE3">
        <w:t xml:space="preserve">). </w:t>
      </w:r>
    </w:p>
    <w:p w14:paraId="3F661E31" w14:textId="77777777" w:rsidR="00034129" w:rsidRPr="00715DE3" w:rsidRDefault="00034129" w:rsidP="00034129">
      <w:pPr>
        <w:pStyle w:val="Heading1"/>
        <w:numPr>
          <w:ilvl w:val="0"/>
          <w:numId w:val="7"/>
        </w:numPr>
      </w:pPr>
      <w:bookmarkStart w:id="6" w:name="_Toc135085666"/>
      <w:proofErr w:type="spellStart"/>
      <w:r w:rsidRPr="00715DE3">
        <w:t>Termijnen</w:t>
      </w:r>
      <w:bookmarkEnd w:id="6"/>
      <w:proofErr w:type="spellEnd"/>
      <w:r w:rsidRPr="00715DE3">
        <w:t xml:space="preserve"> </w:t>
      </w:r>
    </w:p>
    <w:p w14:paraId="4BA1116C" w14:textId="77777777" w:rsidR="00034129" w:rsidRPr="00715DE3" w:rsidRDefault="00034129" w:rsidP="00034129">
      <w:pPr>
        <w:pStyle w:val="Numberednormal"/>
        <w:numPr>
          <w:ilvl w:val="0"/>
          <w:numId w:val="6"/>
        </w:numPr>
      </w:pPr>
      <w:r w:rsidRPr="00715DE3">
        <w:t xml:space="preserve">Uit artikel 105, § 6, van de wet </w:t>
      </w:r>
      <w:proofErr w:type="gramStart"/>
      <w:r w:rsidRPr="00715DE3">
        <w:t>betreffende</w:t>
      </w:r>
      <w:proofErr w:type="gramEnd"/>
      <w:r w:rsidRPr="00715DE3">
        <w:t xml:space="preserve"> de elektronische communicatie en uit artikel 12 van het koninklijk besluit betreffende de ministeriële machtiging volgt: </w:t>
      </w:r>
    </w:p>
    <w:p w14:paraId="7D262AFB" w14:textId="77777777" w:rsidR="00034129" w:rsidRPr="00715DE3" w:rsidRDefault="00034129" w:rsidP="00034129">
      <w:pPr>
        <w:pStyle w:val="ListParagraph"/>
        <w:numPr>
          <w:ilvl w:val="0"/>
          <w:numId w:val="28"/>
        </w:numPr>
        <w:rPr>
          <w:lang w:val="nl-BE"/>
        </w:rPr>
      </w:pPr>
      <w:r w:rsidRPr="00715DE3">
        <w:rPr>
          <w:color w:val="000000" w:themeColor="text1"/>
          <w:lang w:val="nl-BE"/>
        </w:rPr>
        <w:t>Binnen een termijn van 3 maanden, “</w:t>
      </w:r>
      <w:r w:rsidRPr="00715DE3">
        <w:rPr>
          <w:i/>
          <w:iCs/>
          <w:color w:val="000000" w:themeColor="text1"/>
          <w:lang w:val="nl-BE"/>
        </w:rPr>
        <w:t>die ingaat na de indiening van het verzoek, ontvangt de verzoeker de beslissing van de ministers, waarin de machtiging wordt verleend ofwel de ontwerpbeslissing waarin ze de machtiging weigeren ofwel voorwaarden daaraan</w:t>
      </w:r>
      <w:r w:rsidRPr="00715DE3">
        <w:rPr>
          <w:color w:val="000000" w:themeColor="text1"/>
          <w:lang w:val="nl-BE"/>
        </w:rPr>
        <w:t xml:space="preserve">”; </w:t>
      </w:r>
    </w:p>
    <w:p w14:paraId="3C4BDBB7" w14:textId="46EE6E87" w:rsidR="00034129" w:rsidRPr="00715DE3" w:rsidRDefault="00034129" w:rsidP="00034129">
      <w:pPr>
        <w:pStyle w:val="ListParagraph"/>
        <w:numPr>
          <w:ilvl w:val="0"/>
          <w:numId w:val="28"/>
        </w:numPr>
        <w:rPr>
          <w:lang w:val="nl-BE"/>
        </w:rPr>
      </w:pPr>
      <w:r w:rsidRPr="00715DE3">
        <w:rPr>
          <w:color w:val="000000" w:themeColor="text1"/>
          <w:lang w:val="nl-BE"/>
        </w:rPr>
        <w:t>“</w:t>
      </w:r>
      <w:r w:rsidRPr="00715DE3">
        <w:rPr>
          <w:i/>
          <w:iCs/>
          <w:color w:val="000000" w:themeColor="text1"/>
          <w:lang w:val="nl-BE"/>
        </w:rPr>
        <w:t>In geval van een hoorzitting of van schriftelijke opmerkingen van de verzoeker, [...], nemen de ministers hun beslissing uiterlijk binnen [een termijn van 2 maanden] en die ingaat vanaf de ontvangst van de schriftelijke opmerkingen of vanaf de datum van de hoorzitting, waarbij de datum die het laatst komt in aanmerking wordt genomen</w:t>
      </w:r>
      <w:r w:rsidRPr="00715DE3">
        <w:rPr>
          <w:color w:val="000000" w:themeColor="text1"/>
          <w:lang w:val="nl-BE"/>
        </w:rPr>
        <w:t>”;  </w:t>
      </w:r>
    </w:p>
    <w:p w14:paraId="4538D120" w14:textId="77777777" w:rsidR="00034129" w:rsidRPr="00715DE3" w:rsidRDefault="00034129" w:rsidP="00034129">
      <w:pPr>
        <w:pStyle w:val="ListParagraph"/>
        <w:numPr>
          <w:ilvl w:val="0"/>
          <w:numId w:val="28"/>
        </w:numPr>
        <w:rPr>
          <w:lang w:val="nl-BE"/>
        </w:rPr>
      </w:pPr>
      <w:r w:rsidRPr="00715DE3">
        <w:rPr>
          <w:i/>
          <w:color w:val="000000"/>
          <w:lang w:val="nl-BE"/>
        </w:rPr>
        <w:t>“Het verzoek om inlichtingen of om documenten, [...], schorst de termijnen die [hierboven] vastgesteld zijn [...], tot de dag waarop de gevraagde inlichtingen of documenten worden verstrekt”;</w:t>
      </w:r>
    </w:p>
    <w:p w14:paraId="2FBB83B4" w14:textId="77777777" w:rsidR="00034129" w:rsidRPr="00715DE3" w:rsidRDefault="00034129" w:rsidP="00034129">
      <w:pPr>
        <w:pStyle w:val="ListParagraph"/>
        <w:numPr>
          <w:ilvl w:val="0"/>
          <w:numId w:val="28"/>
        </w:numPr>
        <w:rPr>
          <w:lang w:val="nl-BE"/>
        </w:rPr>
      </w:pPr>
      <w:r w:rsidRPr="00715DE3">
        <w:rPr>
          <w:i/>
          <w:iCs/>
          <w:color w:val="000000" w:themeColor="text1"/>
          <w:lang w:val="nl-BE"/>
        </w:rPr>
        <w:t>“Het uitblijven van een beslissing of ontwerpbeslissing [...] binnen de [krachtens het eerste of tweede streepje] vastgestelde termijn staat gelijk aan een weigering.”</w:t>
      </w:r>
    </w:p>
    <w:p w14:paraId="47B86A61" w14:textId="77777777" w:rsidR="00034129" w:rsidRPr="00715DE3" w:rsidRDefault="00034129" w:rsidP="00034129">
      <w:pPr>
        <w:pStyle w:val="Heading1"/>
        <w:numPr>
          <w:ilvl w:val="0"/>
          <w:numId w:val="7"/>
        </w:numPr>
        <w:rPr>
          <w:lang w:val="nl-BE"/>
        </w:rPr>
      </w:pPr>
      <w:bookmarkStart w:id="7" w:name="_Toc135085667"/>
      <w:r w:rsidRPr="00715DE3">
        <w:rPr>
          <w:lang w:val="nl-BE"/>
        </w:rPr>
        <w:t>Indiening van het dossier door de verzoeker</w:t>
      </w:r>
      <w:bookmarkEnd w:id="7"/>
    </w:p>
    <w:p w14:paraId="08D5EADA" w14:textId="77777777" w:rsidR="00034129" w:rsidRPr="00715DE3" w:rsidRDefault="00034129" w:rsidP="00034129">
      <w:pPr>
        <w:pStyle w:val="Heading2"/>
        <w:numPr>
          <w:ilvl w:val="1"/>
          <w:numId w:val="7"/>
        </w:numPr>
        <w:rPr>
          <w:lang w:val="nl-BE"/>
        </w:rPr>
      </w:pPr>
      <w:bookmarkStart w:id="8" w:name="_Toc127173118"/>
      <w:bookmarkStart w:id="9" w:name="_Toc135085668"/>
      <w:r w:rsidRPr="00715DE3">
        <w:rPr>
          <w:lang w:val="nl-BE"/>
        </w:rPr>
        <w:t>Documenten ter beschikking gesteld door het BIPT</w:t>
      </w:r>
      <w:bookmarkEnd w:id="8"/>
      <w:bookmarkEnd w:id="9"/>
      <w:r w:rsidRPr="00715DE3">
        <w:rPr>
          <w:lang w:val="nl-BE"/>
        </w:rPr>
        <w:t xml:space="preserve"> </w:t>
      </w:r>
    </w:p>
    <w:p w14:paraId="119F57FC" w14:textId="20356E6B" w:rsidR="00034129" w:rsidRPr="00715DE3" w:rsidRDefault="00034129" w:rsidP="00034129">
      <w:pPr>
        <w:pStyle w:val="Numberednormal"/>
        <w:numPr>
          <w:ilvl w:val="0"/>
          <w:numId w:val="6"/>
        </w:numPr>
      </w:pPr>
      <w:r w:rsidRPr="00715DE3">
        <w:t xml:space="preserve">Het BIPT stelt de volgende documenten ter beschikking om het indienen van een verzoek om machtiging bij het BIPT te vereenvoudigen: </w:t>
      </w:r>
    </w:p>
    <w:p w14:paraId="28FF0729" w14:textId="77777777" w:rsidR="00034129" w:rsidRPr="00715DE3" w:rsidRDefault="00034129" w:rsidP="00034129">
      <w:pPr>
        <w:pStyle w:val="Numberednormal"/>
        <w:numPr>
          <w:ilvl w:val="0"/>
          <w:numId w:val="0"/>
        </w:numPr>
        <w:ind w:left="360" w:hanging="360"/>
      </w:pPr>
    </w:p>
    <w:tbl>
      <w:tblPr>
        <w:tblStyle w:val="TableGrid"/>
        <w:tblW w:w="0" w:type="auto"/>
        <w:tblInd w:w="360" w:type="dxa"/>
        <w:tblLook w:val="04A0" w:firstRow="1" w:lastRow="0" w:firstColumn="1" w:lastColumn="0" w:noHBand="0" w:noVBand="1"/>
      </w:tblPr>
      <w:tblGrid>
        <w:gridCol w:w="1116"/>
        <w:gridCol w:w="3622"/>
        <w:gridCol w:w="1982"/>
        <w:gridCol w:w="1982"/>
      </w:tblGrid>
      <w:tr w:rsidR="00034129" w:rsidRPr="00715DE3" w14:paraId="66E706FE" w14:textId="77777777" w:rsidTr="00161A07">
        <w:trPr>
          <w:trHeight w:val="695"/>
        </w:trPr>
        <w:tc>
          <w:tcPr>
            <w:tcW w:w="1116" w:type="dxa"/>
            <w:shd w:val="clear" w:color="auto" w:fill="D9D9D9" w:themeFill="background1" w:themeFillShade="D9"/>
          </w:tcPr>
          <w:p w14:paraId="5AC2749A" w14:textId="580260A2" w:rsidR="00034129" w:rsidRPr="00715DE3" w:rsidRDefault="00942C2D" w:rsidP="00161A07">
            <w:pPr>
              <w:pStyle w:val="Numberednormal"/>
              <w:numPr>
                <w:ilvl w:val="0"/>
                <w:numId w:val="0"/>
              </w:numPr>
            </w:pPr>
            <w:r>
              <w:lastRenderedPageBreak/>
              <w:t xml:space="preserve">Deel </w:t>
            </w:r>
          </w:p>
        </w:tc>
        <w:tc>
          <w:tcPr>
            <w:tcW w:w="3622" w:type="dxa"/>
            <w:shd w:val="clear" w:color="auto" w:fill="D9D9D9" w:themeFill="background1" w:themeFillShade="D9"/>
          </w:tcPr>
          <w:p w14:paraId="71002770" w14:textId="77777777" w:rsidR="00034129" w:rsidRPr="00715DE3" w:rsidRDefault="00034129" w:rsidP="00161A07">
            <w:pPr>
              <w:pStyle w:val="Numberednormal"/>
              <w:numPr>
                <w:ilvl w:val="0"/>
                <w:numId w:val="0"/>
              </w:numPr>
            </w:pPr>
            <w:r w:rsidRPr="00715DE3">
              <w:t xml:space="preserve">Voorwerp </w:t>
            </w:r>
          </w:p>
        </w:tc>
        <w:tc>
          <w:tcPr>
            <w:tcW w:w="1982" w:type="dxa"/>
            <w:shd w:val="clear" w:color="auto" w:fill="D9D9D9" w:themeFill="background1" w:themeFillShade="D9"/>
          </w:tcPr>
          <w:p w14:paraId="2DF5D851" w14:textId="77777777" w:rsidR="00034129" w:rsidRPr="00715DE3" w:rsidRDefault="00034129" w:rsidP="00161A07">
            <w:pPr>
              <w:pStyle w:val="Numberednormal"/>
              <w:numPr>
                <w:ilvl w:val="0"/>
                <w:numId w:val="0"/>
              </w:numPr>
            </w:pPr>
            <w:r w:rsidRPr="00715DE3">
              <w:t xml:space="preserve">Sjabloon </w:t>
            </w:r>
          </w:p>
        </w:tc>
        <w:tc>
          <w:tcPr>
            <w:tcW w:w="1982" w:type="dxa"/>
            <w:shd w:val="clear" w:color="auto" w:fill="D9D9D9" w:themeFill="background1" w:themeFillShade="D9"/>
          </w:tcPr>
          <w:p w14:paraId="4B78732B" w14:textId="77777777" w:rsidR="00034129" w:rsidRPr="00715DE3" w:rsidRDefault="00034129" w:rsidP="00161A07">
            <w:pPr>
              <w:pStyle w:val="Numberednormal"/>
              <w:numPr>
                <w:ilvl w:val="0"/>
                <w:numId w:val="0"/>
              </w:numPr>
            </w:pPr>
            <w:r w:rsidRPr="00715DE3">
              <w:t xml:space="preserve">Document met toelichtingen </w:t>
            </w:r>
          </w:p>
        </w:tc>
      </w:tr>
      <w:tr w:rsidR="00034129" w:rsidRPr="00715DE3" w14:paraId="0FECB791" w14:textId="77777777" w:rsidTr="00161A07">
        <w:trPr>
          <w:trHeight w:val="439"/>
        </w:trPr>
        <w:tc>
          <w:tcPr>
            <w:tcW w:w="1116" w:type="dxa"/>
          </w:tcPr>
          <w:p w14:paraId="48043E53" w14:textId="77777777" w:rsidR="00034129" w:rsidRPr="00715DE3" w:rsidRDefault="00034129" w:rsidP="00161A07">
            <w:pPr>
              <w:pStyle w:val="Numberednormal"/>
              <w:numPr>
                <w:ilvl w:val="0"/>
                <w:numId w:val="0"/>
              </w:numPr>
            </w:pPr>
            <w:r w:rsidRPr="00715DE3">
              <w:t>1</w:t>
            </w:r>
          </w:p>
        </w:tc>
        <w:tc>
          <w:tcPr>
            <w:tcW w:w="3622" w:type="dxa"/>
          </w:tcPr>
          <w:p w14:paraId="65D7E040" w14:textId="77777777" w:rsidR="00034129" w:rsidRPr="00715DE3" w:rsidRDefault="00034129" w:rsidP="00161A07">
            <w:pPr>
              <w:pStyle w:val="Numberednormal"/>
              <w:numPr>
                <w:ilvl w:val="0"/>
                <w:numId w:val="0"/>
              </w:numPr>
            </w:pPr>
            <w:r w:rsidRPr="00715DE3">
              <w:t xml:space="preserve">Aan het BIPT te richten brief waarin de machtiging wordt gevraagd </w:t>
            </w:r>
          </w:p>
        </w:tc>
        <w:tc>
          <w:tcPr>
            <w:tcW w:w="1982" w:type="dxa"/>
          </w:tcPr>
          <w:p w14:paraId="25C2D8E2" w14:textId="77777777" w:rsidR="00034129" w:rsidRPr="00715DE3" w:rsidRDefault="00034129" w:rsidP="00161A07">
            <w:pPr>
              <w:pStyle w:val="Numberednormal"/>
              <w:numPr>
                <w:ilvl w:val="0"/>
                <w:numId w:val="0"/>
              </w:numPr>
            </w:pPr>
            <w:r w:rsidRPr="00715DE3">
              <w:t>Neen</w:t>
            </w:r>
          </w:p>
        </w:tc>
        <w:tc>
          <w:tcPr>
            <w:tcW w:w="1982" w:type="dxa"/>
          </w:tcPr>
          <w:p w14:paraId="3F072394" w14:textId="77777777" w:rsidR="00034129" w:rsidRPr="00715DE3" w:rsidRDefault="00034129" w:rsidP="00161A07">
            <w:pPr>
              <w:pStyle w:val="Numberednormal"/>
              <w:numPr>
                <w:ilvl w:val="0"/>
                <w:numId w:val="0"/>
              </w:numPr>
            </w:pPr>
            <w:r w:rsidRPr="00715DE3">
              <w:t xml:space="preserve">Ja  </w:t>
            </w:r>
          </w:p>
        </w:tc>
      </w:tr>
      <w:tr w:rsidR="00034129" w:rsidRPr="00715DE3" w14:paraId="4A4FAD4C" w14:textId="77777777" w:rsidTr="00A637BB">
        <w:trPr>
          <w:trHeight w:val="141"/>
        </w:trPr>
        <w:tc>
          <w:tcPr>
            <w:tcW w:w="1116" w:type="dxa"/>
            <w:shd w:val="clear" w:color="auto" w:fill="auto"/>
          </w:tcPr>
          <w:p w14:paraId="074ADE24" w14:textId="77777777" w:rsidR="00034129" w:rsidRPr="00715DE3" w:rsidRDefault="00034129" w:rsidP="00161A07">
            <w:pPr>
              <w:pStyle w:val="Numberednormal"/>
              <w:numPr>
                <w:ilvl w:val="0"/>
                <w:numId w:val="0"/>
              </w:numPr>
            </w:pPr>
            <w:r w:rsidRPr="00715DE3">
              <w:t>2</w:t>
            </w:r>
          </w:p>
        </w:tc>
        <w:tc>
          <w:tcPr>
            <w:tcW w:w="3622" w:type="dxa"/>
            <w:shd w:val="clear" w:color="auto" w:fill="auto"/>
          </w:tcPr>
          <w:p w14:paraId="5E38C1D9" w14:textId="77777777" w:rsidR="00034129" w:rsidRPr="00715DE3" w:rsidRDefault="00034129" w:rsidP="00161A07">
            <w:pPr>
              <w:pStyle w:val="Numberednormal"/>
              <w:numPr>
                <w:ilvl w:val="0"/>
                <w:numId w:val="0"/>
              </w:numPr>
            </w:pPr>
            <w:r w:rsidRPr="00715DE3">
              <w:t>Inventaris van de bijlagen bij deze brief</w:t>
            </w:r>
          </w:p>
        </w:tc>
        <w:tc>
          <w:tcPr>
            <w:tcW w:w="1982" w:type="dxa"/>
            <w:shd w:val="clear" w:color="auto" w:fill="auto"/>
          </w:tcPr>
          <w:p w14:paraId="42719991" w14:textId="77777777" w:rsidR="00034129" w:rsidRPr="00715DE3" w:rsidRDefault="00034129" w:rsidP="00161A07">
            <w:pPr>
              <w:pStyle w:val="Numberednormal"/>
              <w:numPr>
                <w:ilvl w:val="0"/>
                <w:numId w:val="0"/>
              </w:numPr>
            </w:pPr>
            <w:r w:rsidRPr="00715DE3">
              <w:t>Ja</w:t>
            </w:r>
          </w:p>
        </w:tc>
        <w:tc>
          <w:tcPr>
            <w:tcW w:w="1982" w:type="dxa"/>
            <w:shd w:val="clear" w:color="auto" w:fill="auto"/>
          </w:tcPr>
          <w:p w14:paraId="1B1D338F" w14:textId="77777777" w:rsidR="00034129" w:rsidRPr="00715DE3" w:rsidRDefault="00034129" w:rsidP="00161A07">
            <w:pPr>
              <w:pStyle w:val="Numberednormal"/>
              <w:numPr>
                <w:ilvl w:val="0"/>
                <w:numId w:val="0"/>
              </w:numPr>
            </w:pPr>
            <w:r w:rsidRPr="00715DE3">
              <w:t>Ja</w:t>
            </w:r>
          </w:p>
        </w:tc>
      </w:tr>
      <w:tr w:rsidR="00034129" w:rsidRPr="00715DE3" w14:paraId="0E64BE9E" w14:textId="77777777" w:rsidTr="00A637BB">
        <w:tc>
          <w:tcPr>
            <w:tcW w:w="1116" w:type="dxa"/>
            <w:shd w:val="clear" w:color="auto" w:fill="auto"/>
          </w:tcPr>
          <w:p w14:paraId="6DB806DC" w14:textId="77777777" w:rsidR="00034129" w:rsidRPr="00715DE3" w:rsidRDefault="00034129" w:rsidP="00161A07">
            <w:pPr>
              <w:pStyle w:val="Numberednormal"/>
              <w:numPr>
                <w:ilvl w:val="0"/>
                <w:numId w:val="0"/>
              </w:numPr>
            </w:pPr>
            <w:r w:rsidRPr="00715DE3">
              <w:t>3</w:t>
            </w:r>
          </w:p>
        </w:tc>
        <w:tc>
          <w:tcPr>
            <w:tcW w:w="3622" w:type="dxa"/>
            <w:shd w:val="clear" w:color="auto" w:fill="auto"/>
          </w:tcPr>
          <w:p w14:paraId="47EC2659" w14:textId="77777777" w:rsidR="00034129" w:rsidRPr="00715DE3" w:rsidRDefault="00034129" w:rsidP="00161A07">
            <w:pPr>
              <w:pStyle w:val="Numberednormal"/>
              <w:numPr>
                <w:ilvl w:val="0"/>
                <w:numId w:val="0"/>
              </w:numPr>
            </w:pPr>
            <w:r w:rsidRPr="00715DE3">
              <w:t xml:space="preserve">Gegevens van de contactpunten bij de verzoeker </w:t>
            </w:r>
          </w:p>
        </w:tc>
        <w:tc>
          <w:tcPr>
            <w:tcW w:w="1982" w:type="dxa"/>
            <w:shd w:val="clear" w:color="auto" w:fill="auto"/>
          </w:tcPr>
          <w:p w14:paraId="49880B0F" w14:textId="77777777" w:rsidR="00034129" w:rsidRPr="00715DE3" w:rsidRDefault="00034129" w:rsidP="00161A07">
            <w:pPr>
              <w:pStyle w:val="Numberednormal"/>
              <w:numPr>
                <w:ilvl w:val="0"/>
                <w:numId w:val="0"/>
              </w:numPr>
            </w:pPr>
            <w:r w:rsidRPr="00715DE3">
              <w:t xml:space="preserve">Ja </w:t>
            </w:r>
          </w:p>
        </w:tc>
        <w:tc>
          <w:tcPr>
            <w:tcW w:w="1982" w:type="dxa"/>
            <w:shd w:val="clear" w:color="auto" w:fill="auto"/>
          </w:tcPr>
          <w:p w14:paraId="031D196B" w14:textId="77777777" w:rsidR="00034129" w:rsidRPr="00715DE3" w:rsidRDefault="00034129" w:rsidP="00161A07">
            <w:pPr>
              <w:pStyle w:val="Numberednormal"/>
              <w:numPr>
                <w:ilvl w:val="0"/>
                <w:numId w:val="0"/>
              </w:numPr>
            </w:pPr>
            <w:r w:rsidRPr="00715DE3">
              <w:t xml:space="preserve">Neen </w:t>
            </w:r>
          </w:p>
        </w:tc>
      </w:tr>
      <w:tr w:rsidR="00034129" w:rsidRPr="00715DE3" w14:paraId="5E93F809" w14:textId="77777777" w:rsidTr="00A637BB">
        <w:tc>
          <w:tcPr>
            <w:tcW w:w="1116" w:type="dxa"/>
            <w:shd w:val="clear" w:color="auto" w:fill="auto"/>
          </w:tcPr>
          <w:p w14:paraId="49F17556" w14:textId="77777777" w:rsidR="00034129" w:rsidRPr="00715DE3" w:rsidRDefault="00034129" w:rsidP="00161A07">
            <w:pPr>
              <w:pStyle w:val="Numberednormal"/>
              <w:numPr>
                <w:ilvl w:val="0"/>
                <w:numId w:val="0"/>
              </w:numPr>
            </w:pPr>
            <w:r w:rsidRPr="00715DE3">
              <w:t>4</w:t>
            </w:r>
          </w:p>
        </w:tc>
        <w:tc>
          <w:tcPr>
            <w:tcW w:w="3622" w:type="dxa"/>
            <w:shd w:val="clear" w:color="auto" w:fill="auto"/>
          </w:tcPr>
          <w:p w14:paraId="4F2F4F17" w14:textId="77777777" w:rsidR="00034129" w:rsidRPr="00715DE3" w:rsidRDefault="00034129" w:rsidP="00161A07">
            <w:pPr>
              <w:pStyle w:val="Numberednormal"/>
              <w:numPr>
                <w:ilvl w:val="0"/>
                <w:numId w:val="0"/>
              </w:numPr>
            </w:pPr>
            <w:r w:rsidRPr="00715DE3">
              <w:t>Kenmerken van de netwerkelementen die het voorwerp uitmaken van het verzoek </w:t>
            </w:r>
          </w:p>
        </w:tc>
        <w:tc>
          <w:tcPr>
            <w:tcW w:w="1982" w:type="dxa"/>
            <w:shd w:val="clear" w:color="auto" w:fill="auto"/>
          </w:tcPr>
          <w:p w14:paraId="64F9FFF1" w14:textId="77777777" w:rsidR="00034129" w:rsidRPr="00715DE3" w:rsidRDefault="00034129" w:rsidP="00161A07">
            <w:pPr>
              <w:pStyle w:val="Numberednormal"/>
              <w:numPr>
                <w:ilvl w:val="0"/>
                <w:numId w:val="0"/>
              </w:numPr>
            </w:pPr>
            <w:r w:rsidRPr="00715DE3">
              <w:t xml:space="preserve">Ja (fiche netwerkelement) </w:t>
            </w:r>
          </w:p>
        </w:tc>
        <w:tc>
          <w:tcPr>
            <w:tcW w:w="1982" w:type="dxa"/>
            <w:shd w:val="clear" w:color="auto" w:fill="auto"/>
          </w:tcPr>
          <w:p w14:paraId="65DCB18A" w14:textId="77777777" w:rsidR="00034129" w:rsidRPr="00715DE3" w:rsidRDefault="00034129" w:rsidP="00161A07">
            <w:pPr>
              <w:pStyle w:val="Numberednormal"/>
              <w:numPr>
                <w:ilvl w:val="0"/>
                <w:numId w:val="0"/>
              </w:numPr>
            </w:pPr>
            <w:r w:rsidRPr="00715DE3">
              <w:t xml:space="preserve">Ja </w:t>
            </w:r>
          </w:p>
        </w:tc>
      </w:tr>
      <w:tr w:rsidR="00034129" w:rsidRPr="00715DE3" w14:paraId="4015B5A1" w14:textId="77777777" w:rsidTr="00A637BB">
        <w:tc>
          <w:tcPr>
            <w:tcW w:w="1116" w:type="dxa"/>
            <w:shd w:val="clear" w:color="auto" w:fill="auto"/>
          </w:tcPr>
          <w:p w14:paraId="6D9F699A" w14:textId="77777777" w:rsidR="00034129" w:rsidRPr="00715DE3" w:rsidRDefault="00034129" w:rsidP="00161A07">
            <w:pPr>
              <w:pStyle w:val="Numberednormal"/>
              <w:numPr>
                <w:ilvl w:val="0"/>
                <w:numId w:val="0"/>
              </w:numPr>
            </w:pPr>
            <w:r w:rsidRPr="00715DE3">
              <w:t>5</w:t>
            </w:r>
          </w:p>
        </w:tc>
        <w:tc>
          <w:tcPr>
            <w:tcW w:w="3622" w:type="dxa"/>
            <w:shd w:val="clear" w:color="auto" w:fill="auto"/>
          </w:tcPr>
          <w:p w14:paraId="17A32E36" w14:textId="77777777" w:rsidR="00034129" w:rsidRPr="00715DE3" w:rsidRDefault="00034129" w:rsidP="00161A07">
            <w:pPr>
              <w:pStyle w:val="Numberednormal"/>
              <w:numPr>
                <w:ilvl w:val="0"/>
                <w:numId w:val="0"/>
              </w:numPr>
            </w:pPr>
            <w:r w:rsidRPr="00715DE3">
              <w:t xml:space="preserve">Informatie over de aanbieder </w:t>
            </w:r>
          </w:p>
        </w:tc>
        <w:tc>
          <w:tcPr>
            <w:tcW w:w="1982" w:type="dxa"/>
            <w:shd w:val="clear" w:color="auto" w:fill="auto"/>
          </w:tcPr>
          <w:p w14:paraId="6A308B6E" w14:textId="77777777" w:rsidR="00034129" w:rsidRPr="00715DE3" w:rsidRDefault="00034129" w:rsidP="00161A07">
            <w:pPr>
              <w:pStyle w:val="Numberednormal"/>
              <w:numPr>
                <w:ilvl w:val="0"/>
                <w:numId w:val="0"/>
              </w:numPr>
            </w:pPr>
            <w:r w:rsidRPr="00715DE3">
              <w:t>Ja (fiche aanbieder)</w:t>
            </w:r>
          </w:p>
        </w:tc>
        <w:tc>
          <w:tcPr>
            <w:tcW w:w="1982" w:type="dxa"/>
            <w:shd w:val="clear" w:color="auto" w:fill="auto"/>
          </w:tcPr>
          <w:p w14:paraId="6361F58B" w14:textId="77777777" w:rsidR="00034129" w:rsidRPr="00715DE3" w:rsidRDefault="00034129" w:rsidP="00161A07">
            <w:pPr>
              <w:pStyle w:val="Numberednormal"/>
              <w:numPr>
                <w:ilvl w:val="0"/>
                <w:numId w:val="0"/>
              </w:numPr>
            </w:pPr>
            <w:r w:rsidRPr="00715DE3">
              <w:t xml:space="preserve">Ja </w:t>
            </w:r>
          </w:p>
        </w:tc>
      </w:tr>
    </w:tbl>
    <w:p w14:paraId="1BE5BD0E" w14:textId="77777777" w:rsidR="00034129" w:rsidRPr="00715DE3" w:rsidRDefault="00034129" w:rsidP="00034129">
      <w:pPr>
        <w:pStyle w:val="Numberednormal"/>
        <w:numPr>
          <w:ilvl w:val="0"/>
          <w:numId w:val="6"/>
        </w:numPr>
      </w:pPr>
      <w:r w:rsidRPr="00715DE3">
        <w:t xml:space="preserve">Het aan het BIPT voor te leggen dossier: </w:t>
      </w:r>
    </w:p>
    <w:p w14:paraId="57927436" w14:textId="69F7BA47" w:rsidR="00034129" w:rsidRPr="00715DE3" w:rsidRDefault="00034129" w:rsidP="00034129">
      <w:pPr>
        <w:pStyle w:val="Numberednormal"/>
        <w:numPr>
          <w:ilvl w:val="1"/>
          <w:numId w:val="6"/>
        </w:numPr>
      </w:pPr>
      <w:proofErr w:type="gramStart"/>
      <w:r w:rsidRPr="00715DE3">
        <w:t>moet</w:t>
      </w:r>
      <w:proofErr w:type="gramEnd"/>
      <w:r w:rsidRPr="00715DE3">
        <w:t xml:space="preserve"> minstens de naar behoren ingevulde </w:t>
      </w:r>
      <w:r w:rsidR="00D24B3D">
        <w:t xml:space="preserve">delen </w:t>
      </w:r>
      <w:r w:rsidRPr="00715DE3">
        <w:t xml:space="preserve">1 tot 5 omvatten; gezien de formele aard van het verzoek, wordt de verzoeker gevraagd om de </w:t>
      </w:r>
      <w:r w:rsidR="00D24B3D">
        <w:t xml:space="preserve">delen </w:t>
      </w:r>
      <w:r w:rsidRPr="00715DE3">
        <w:t>1</w:t>
      </w:r>
      <w:r w:rsidR="00851B35" w:rsidRPr="00715DE3">
        <w:t xml:space="preserve"> en</w:t>
      </w:r>
      <w:r w:rsidRPr="00715DE3">
        <w:t xml:space="preserve"> 2 in te vullen in het Nederlands</w:t>
      </w:r>
      <w:r w:rsidR="009567B0">
        <w:t xml:space="preserve">, </w:t>
      </w:r>
      <w:r w:rsidRPr="00715DE3">
        <w:t>in het Frans</w:t>
      </w:r>
      <w:r w:rsidR="009567B0">
        <w:t xml:space="preserve"> of in het Duits</w:t>
      </w:r>
      <w:r w:rsidRPr="00715DE3">
        <w:t xml:space="preserve">;  </w:t>
      </w:r>
    </w:p>
    <w:p w14:paraId="28812950" w14:textId="77777777" w:rsidR="00034129" w:rsidRPr="00715DE3" w:rsidRDefault="00034129" w:rsidP="00034129">
      <w:pPr>
        <w:pStyle w:val="Numberednormal"/>
        <w:numPr>
          <w:ilvl w:val="1"/>
          <w:numId w:val="6"/>
        </w:numPr>
      </w:pPr>
      <w:proofErr w:type="gramStart"/>
      <w:r w:rsidRPr="00715DE3">
        <w:t>mag</w:t>
      </w:r>
      <w:proofErr w:type="gramEnd"/>
      <w:r w:rsidRPr="00715DE3">
        <w:t xml:space="preserve"> bijkomende documenten en technische uitleg bevatten die mogen opgesteld zijn in het Engels; </w:t>
      </w:r>
    </w:p>
    <w:p w14:paraId="7E1AB8E7" w14:textId="32584FDB" w:rsidR="00034129" w:rsidRPr="00715DE3" w:rsidRDefault="00034129" w:rsidP="00034129">
      <w:pPr>
        <w:pStyle w:val="Numberednormal"/>
        <w:numPr>
          <w:ilvl w:val="1"/>
          <w:numId w:val="6"/>
        </w:numPr>
      </w:pPr>
      <w:proofErr w:type="gramStart"/>
      <w:r w:rsidRPr="00715DE3">
        <w:t>mag</w:t>
      </w:r>
      <w:proofErr w:type="gramEnd"/>
      <w:r w:rsidRPr="00715DE3">
        <w:t xml:space="preserve"> niet de documenten met toelichtingen bevatten</w:t>
      </w:r>
      <w:r w:rsidR="00F055DC">
        <w:t xml:space="preserve"> </w:t>
      </w:r>
      <w:r w:rsidRPr="00715DE3">
        <w:t>(laatste kolom van de tabel)</w:t>
      </w:r>
      <w:r w:rsidR="00F055DC">
        <w:t xml:space="preserve"> </w:t>
      </w:r>
      <w:r w:rsidR="00F055DC">
        <w:rPr>
          <w:rFonts w:ascii="Arial" w:hAnsi="Arial" w:cs="Arial"/>
        </w:rPr>
        <w:t>tenzij deze toelichtingen zijn opgenomen in het documentsjabloon</w:t>
      </w:r>
      <w:r w:rsidRPr="00715DE3">
        <w:t>.</w:t>
      </w:r>
    </w:p>
    <w:p w14:paraId="623463C3" w14:textId="77777777" w:rsidR="00034129" w:rsidRPr="00715DE3" w:rsidRDefault="00034129" w:rsidP="00034129">
      <w:pPr>
        <w:pStyle w:val="Heading2"/>
        <w:numPr>
          <w:ilvl w:val="1"/>
          <w:numId w:val="7"/>
        </w:numPr>
      </w:pPr>
      <w:bookmarkStart w:id="10" w:name="_Toc127173119"/>
      <w:bookmarkStart w:id="11" w:name="_Toc135085669"/>
      <w:proofErr w:type="spellStart"/>
      <w:r w:rsidRPr="00715DE3">
        <w:t>Voorwerp</w:t>
      </w:r>
      <w:proofErr w:type="spellEnd"/>
      <w:r w:rsidRPr="00715DE3">
        <w:t xml:space="preserve"> van de </w:t>
      </w:r>
      <w:proofErr w:type="spellStart"/>
      <w:r w:rsidRPr="00715DE3">
        <w:t>aanvraag</w:t>
      </w:r>
      <w:bookmarkEnd w:id="10"/>
      <w:bookmarkEnd w:id="11"/>
      <w:proofErr w:type="spellEnd"/>
      <w:r w:rsidRPr="00715DE3">
        <w:t xml:space="preserve"> </w:t>
      </w:r>
    </w:p>
    <w:p w14:paraId="0EE414C6" w14:textId="06FB0107" w:rsidR="00034129" w:rsidRPr="00715DE3" w:rsidRDefault="00034129" w:rsidP="00034129">
      <w:pPr>
        <w:pStyle w:val="Numberednormal"/>
        <w:numPr>
          <w:ilvl w:val="0"/>
          <w:numId w:val="6"/>
        </w:numPr>
      </w:pPr>
      <w:r w:rsidRPr="00715DE3">
        <w:t xml:space="preserve">Uit artikel 105, § 1, van de wet </w:t>
      </w:r>
      <w:proofErr w:type="gramStart"/>
      <w:r w:rsidRPr="00715DE3">
        <w:t>betreffende</w:t>
      </w:r>
      <w:proofErr w:type="gramEnd"/>
      <w:r w:rsidRPr="00715DE3">
        <w:t xml:space="preserve"> de elektronische communicatie en artikel 8 van het koninklijk besluit machtiging</w:t>
      </w:r>
      <w:r w:rsidR="003630A5">
        <w:t>en</w:t>
      </w:r>
      <w:r w:rsidRPr="00715DE3">
        <w:t xml:space="preserve"> vloeit voort dat een door diezelfde wet bedoelde onderneming een ministeriële machtiging dient te vragen (voorafgaande machtiging of regularisatie): </w:t>
      </w:r>
    </w:p>
    <w:p w14:paraId="5EFD96BE" w14:textId="77777777" w:rsidR="00034129" w:rsidRPr="00715DE3" w:rsidRDefault="00034129" w:rsidP="00034129">
      <w:pPr>
        <w:pStyle w:val="ListParagraph"/>
        <w:numPr>
          <w:ilvl w:val="0"/>
          <w:numId w:val="31"/>
        </w:numPr>
        <w:rPr>
          <w:lang w:val="nl-BE"/>
        </w:rPr>
      </w:pPr>
      <w:r w:rsidRPr="00715DE3">
        <w:rPr>
          <w:color w:val="000000"/>
          <w:lang w:val="nl-BE"/>
        </w:rPr>
        <w:t>om een element van zijn 5G-netwerk te gebruiken, en;   </w:t>
      </w:r>
    </w:p>
    <w:p w14:paraId="418CD44F" w14:textId="77777777" w:rsidR="00034129" w:rsidRPr="00715DE3" w:rsidRDefault="00034129" w:rsidP="00034129">
      <w:pPr>
        <w:pStyle w:val="ListParagraph"/>
        <w:numPr>
          <w:ilvl w:val="0"/>
          <w:numId w:val="31"/>
        </w:numPr>
        <w:rPr>
          <w:lang w:val="nl-BE"/>
        </w:rPr>
      </w:pPr>
      <w:r w:rsidRPr="00715DE3">
        <w:rPr>
          <w:lang w:val="nl-BE"/>
        </w:rPr>
        <w:t>om een beroep te doen op een dienstenaanbieder voor het beheer en de supervisie van zijn 5G-netwerkelementen, met uitzondering van het beroep op producenten van netwerkelementen die een dienst van ondersteuning bieden, wanneer die dienst is opgenomen in het contract voor levering van netwerkelementen (hierna de dienstenaanbieders).</w:t>
      </w:r>
    </w:p>
    <w:p w14:paraId="52B9BA02" w14:textId="60726BC6" w:rsidR="00034129" w:rsidRPr="00715DE3" w:rsidRDefault="00034129" w:rsidP="00034129">
      <w:pPr>
        <w:pStyle w:val="Numberednormal"/>
        <w:numPr>
          <w:ilvl w:val="0"/>
          <w:numId w:val="6"/>
        </w:numPr>
      </w:pPr>
      <w:r w:rsidRPr="00715DE3">
        <w:t>Een verzoek om machtiging moet tegelijk betrekking hebben op de 5G-netwerkelementen die de verzoeker heeft geselecteerd</w:t>
      </w:r>
      <w:r w:rsidR="00A57890">
        <w:t>,</w:t>
      </w:r>
      <w:r w:rsidRPr="00715DE3">
        <w:t xml:space="preserve"> en de aanbieders die diensten bieden voor deze netwerkelementen.</w:t>
      </w:r>
      <w:r w:rsidRPr="00715DE3">
        <w:rPr>
          <w:color w:val="000000" w:themeColor="text1"/>
        </w:rPr>
        <w:t xml:space="preserve"> Het is dus niet mogelijk om enkel een machtiging te vragen voor een netwerkelement of enkel een machtiging om een beroep te doen op een dienstenaanbieder. </w:t>
      </w:r>
    </w:p>
    <w:p w14:paraId="772571AA" w14:textId="77777777" w:rsidR="00FD1F70" w:rsidRPr="00715DE3" w:rsidRDefault="00FD1F70" w:rsidP="002234AE">
      <w:pPr>
        <w:pStyle w:val="Numberednormal"/>
        <w:numPr>
          <w:ilvl w:val="0"/>
          <w:numId w:val="0"/>
        </w:numPr>
        <w:rPr>
          <w:szCs w:val="20"/>
        </w:rPr>
      </w:pPr>
    </w:p>
    <w:p w14:paraId="3AF7613F" w14:textId="77777777" w:rsidR="00034129" w:rsidRPr="00715DE3" w:rsidRDefault="00034129" w:rsidP="00034129">
      <w:pPr>
        <w:pStyle w:val="Numberednormal"/>
        <w:numPr>
          <w:ilvl w:val="0"/>
          <w:numId w:val="6"/>
        </w:numPr>
      </w:pPr>
      <w:bookmarkStart w:id="12" w:name="_Ref132796640"/>
      <w:r w:rsidRPr="00715DE3">
        <w:t>De verzoeker kan daarentegen de 5G-netwerkelementen selecteren die het voorwerp uitmaken van de aanvraag en kan dus het volgende indienen:</w:t>
      </w:r>
      <w:bookmarkEnd w:id="12"/>
      <w:r w:rsidRPr="00715DE3">
        <w:t xml:space="preserve"> </w:t>
      </w:r>
    </w:p>
    <w:p w14:paraId="3F5A7119" w14:textId="77777777" w:rsidR="00034129" w:rsidRPr="00715DE3" w:rsidRDefault="00034129" w:rsidP="00034129">
      <w:pPr>
        <w:pStyle w:val="Numberednormal"/>
        <w:numPr>
          <w:ilvl w:val="0"/>
          <w:numId w:val="25"/>
        </w:numPr>
        <w:ind w:left="360"/>
        <w:rPr>
          <w:szCs w:val="20"/>
        </w:rPr>
      </w:pPr>
      <w:proofErr w:type="gramStart"/>
      <w:r w:rsidRPr="00715DE3">
        <w:t>een</w:t>
      </w:r>
      <w:proofErr w:type="gramEnd"/>
      <w:r w:rsidRPr="00715DE3">
        <w:t xml:space="preserve"> enkel dossier voor al zijn 5G-netwerkelementen (en dus voor alle aanbieders die diensten bieden voor deze elementen), of; </w:t>
      </w:r>
    </w:p>
    <w:p w14:paraId="0BB1A34D" w14:textId="77777777" w:rsidR="00034129" w:rsidRPr="00715DE3" w:rsidRDefault="00034129" w:rsidP="00034129">
      <w:pPr>
        <w:pStyle w:val="Numberednormal"/>
        <w:numPr>
          <w:ilvl w:val="0"/>
          <w:numId w:val="25"/>
        </w:numPr>
        <w:ind w:left="360"/>
        <w:rPr>
          <w:szCs w:val="20"/>
        </w:rPr>
      </w:pPr>
      <w:proofErr w:type="gramStart"/>
      <w:r w:rsidRPr="00715DE3">
        <w:t>verscheidene</w:t>
      </w:r>
      <w:proofErr w:type="gramEnd"/>
      <w:r w:rsidRPr="00715DE3">
        <w:t xml:space="preserve"> dossiers, waarbij elk dossier beperkt is tot de netwerkelementen geselecteerd door de verzoeker (en dus ook enkel met betrekking tot de aanbieders van diensten voor die netwerkelementen). </w:t>
      </w:r>
    </w:p>
    <w:p w14:paraId="16422810" w14:textId="77777777" w:rsidR="00F1629D" w:rsidRPr="00715DE3" w:rsidRDefault="00F1629D" w:rsidP="00F1629D">
      <w:pPr>
        <w:pStyle w:val="Numberednormal"/>
        <w:numPr>
          <w:ilvl w:val="0"/>
          <w:numId w:val="0"/>
        </w:numPr>
        <w:ind w:left="360"/>
      </w:pPr>
    </w:p>
    <w:p w14:paraId="5A8C19F8" w14:textId="77A7FBA6" w:rsidR="00F1629D" w:rsidRPr="00715DE3" w:rsidRDefault="00F1629D" w:rsidP="00F1629D">
      <w:pPr>
        <w:pStyle w:val="Numberednormal"/>
        <w:rPr>
          <w:szCs w:val="20"/>
        </w:rPr>
      </w:pPr>
      <w:r w:rsidRPr="00715DE3">
        <w:t xml:space="preserve">In de twee voorgestelde gevallen van punt </w:t>
      </w:r>
      <w:r w:rsidR="00AA5E6E" w:rsidRPr="00715DE3">
        <w:fldChar w:fldCharType="begin"/>
      </w:r>
      <w:r w:rsidR="00AA5E6E" w:rsidRPr="00715DE3">
        <w:instrText xml:space="preserve"> REF _Ref132796640 \r \h </w:instrText>
      </w:r>
      <w:r w:rsidR="00715DE3">
        <w:instrText xml:space="preserve"> \* MERGEFORMAT </w:instrText>
      </w:r>
      <w:r w:rsidR="00AA5E6E" w:rsidRPr="00715DE3">
        <w:fldChar w:fldCharType="separate"/>
      </w:r>
      <w:r w:rsidR="00ED26BE" w:rsidRPr="00715DE3">
        <w:t>20</w:t>
      </w:r>
      <w:r w:rsidR="00AA5E6E" w:rsidRPr="00715DE3">
        <w:fldChar w:fldCharType="end"/>
      </w:r>
      <w:r w:rsidRPr="00715DE3">
        <w:t xml:space="preserve"> moet</w:t>
      </w:r>
      <w:r w:rsidR="00D12A58" w:rsidRPr="00715DE3">
        <w:t>en</w:t>
      </w:r>
      <w:r w:rsidRPr="00715DE3">
        <w:t xml:space="preserve"> zowel </w:t>
      </w:r>
      <w:r w:rsidR="009567B0">
        <w:t xml:space="preserve">deel </w:t>
      </w:r>
      <w:r w:rsidRPr="00715DE3">
        <w:t xml:space="preserve">4 </w:t>
      </w:r>
      <w:r w:rsidR="00056074" w:rsidRPr="00715DE3">
        <w:t>als</w:t>
      </w:r>
      <w:r w:rsidRPr="00715DE3">
        <w:t xml:space="preserve"> d</w:t>
      </w:r>
      <w:r w:rsidR="009567B0">
        <w:t xml:space="preserve">eel </w:t>
      </w:r>
      <w:r w:rsidRPr="00715DE3">
        <w:t>5 ingediend worden</w:t>
      </w:r>
      <w:r w:rsidR="00D12A58" w:rsidRPr="00715DE3">
        <w:t xml:space="preserve"> als deel van het dossier</w:t>
      </w:r>
      <w:r w:rsidRPr="00715DE3">
        <w:t xml:space="preserve">. </w:t>
      </w:r>
    </w:p>
    <w:p w14:paraId="38D284EF" w14:textId="5974FD75" w:rsidR="00034129" w:rsidRPr="00715DE3" w:rsidRDefault="00034129" w:rsidP="00034129">
      <w:pPr>
        <w:pStyle w:val="Numberednormal"/>
        <w:numPr>
          <w:ilvl w:val="0"/>
          <w:numId w:val="0"/>
        </w:numPr>
        <w:ind w:left="360"/>
        <w:rPr>
          <w:szCs w:val="20"/>
        </w:rPr>
      </w:pPr>
    </w:p>
    <w:p w14:paraId="7F4294FE" w14:textId="77777777" w:rsidR="00034129" w:rsidRPr="00715DE3" w:rsidRDefault="00034129" w:rsidP="00034129">
      <w:pPr>
        <w:pStyle w:val="Numberednormal"/>
        <w:numPr>
          <w:ilvl w:val="0"/>
          <w:numId w:val="6"/>
        </w:numPr>
      </w:pPr>
      <w:r w:rsidRPr="00715DE3">
        <w:t xml:space="preserve">In het tweede voorbeeld moet de verzoeker beantwoorden aan de volgende verplichtingen die voortvloeien uit artikel 105 van de wet </w:t>
      </w:r>
      <w:proofErr w:type="gramStart"/>
      <w:r w:rsidRPr="00715DE3">
        <w:t>betreffende</w:t>
      </w:r>
      <w:proofErr w:type="gramEnd"/>
      <w:r w:rsidRPr="00715DE3">
        <w:t xml:space="preserve"> de elektronische communicatie: </w:t>
      </w:r>
    </w:p>
    <w:p w14:paraId="385AE21D" w14:textId="77777777" w:rsidR="00034129" w:rsidRPr="00715DE3" w:rsidRDefault="00034129" w:rsidP="00034129">
      <w:pPr>
        <w:pStyle w:val="ListParagraph"/>
        <w:rPr>
          <w:lang w:val="nl-BE"/>
        </w:rPr>
      </w:pPr>
      <w:r w:rsidRPr="00715DE3">
        <w:rPr>
          <w:lang w:val="nl-BE"/>
        </w:rPr>
        <w:t xml:space="preserve">In het kader van de voorafgaande machtiging moet hij de machtiging verkrijgen </w:t>
      </w:r>
      <w:r w:rsidRPr="00715DE3">
        <w:rPr>
          <w:u w:val="single"/>
          <w:lang w:val="nl-BE"/>
        </w:rPr>
        <w:t>alvorens</w:t>
      </w:r>
      <w:r w:rsidRPr="00715DE3">
        <w:rPr>
          <w:lang w:val="nl-BE"/>
        </w:rPr>
        <w:t xml:space="preserve"> een netwerkelement te gebruiken of een beroep te doen op een dienstenaanbieder; </w:t>
      </w:r>
    </w:p>
    <w:p w14:paraId="11A14688" w14:textId="77777777" w:rsidR="00034129" w:rsidRPr="00715DE3" w:rsidRDefault="00034129" w:rsidP="00034129">
      <w:pPr>
        <w:pStyle w:val="ListParagraph"/>
        <w:rPr>
          <w:lang w:val="nl-BE"/>
        </w:rPr>
      </w:pPr>
      <w:r w:rsidRPr="00715DE3">
        <w:rPr>
          <w:lang w:val="nl-BE"/>
        </w:rPr>
        <w:lastRenderedPageBreak/>
        <w:t xml:space="preserve">In het kader van de machtiging tot regularisatie moet hij de machtiging vragen voor het geheel van netwerkelementen of het geheel van aanbieders van diensten met betrekking tot deze elementen </w:t>
      </w:r>
      <w:r w:rsidRPr="00715DE3">
        <w:rPr>
          <w:u w:val="single"/>
          <w:lang w:val="nl-BE"/>
        </w:rPr>
        <w:t>uiterlijk binnen twee maanden</w:t>
      </w:r>
      <w:r w:rsidRPr="00715DE3">
        <w:rPr>
          <w:lang w:val="nl-BE"/>
        </w:rPr>
        <w:t xml:space="preserve"> die volgen op de inwerkingtreding van het koninklijk besluit betreffende de ministeriële machtiging.</w:t>
      </w:r>
      <w:r w:rsidRPr="00715DE3">
        <w:rPr>
          <w:color w:val="1E1E1C"/>
          <w:lang w:val="nl-BE"/>
        </w:rPr>
        <w:t xml:space="preserve">  </w:t>
      </w:r>
    </w:p>
    <w:p w14:paraId="0D3847A3" w14:textId="77777777" w:rsidR="00AA5E6E" w:rsidRPr="00715DE3" w:rsidRDefault="00AA5E6E" w:rsidP="00AA5E6E">
      <w:pPr>
        <w:pStyle w:val="Heading2"/>
        <w:rPr>
          <w:lang w:val="nl-BE"/>
        </w:rPr>
      </w:pPr>
      <w:bookmarkStart w:id="13" w:name="_Toc135085670"/>
      <w:bookmarkStart w:id="14" w:name="_Hlk132801205"/>
      <w:bookmarkStart w:id="15" w:name="_Toc127173120"/>
      <w:proofErr w:type="spellStart"/>
      <w:r w:rsidRPr="00715DE3">
        <w:rPr>
          <w:lang w:val="nl-BE"/>
        </w:rPr>
        <w:t>Granulariteit</w:t>
      </w:r>
      <w:proofErr w:type="spellEnd"/>
      <w:r w:rsidRPr="00715DE3">
        <w:rPr>
          <w:lang w:val="nl-BE"/>
        </w:rPr>
        <w:t xml:space="preserve"> van de netwerkelementen waarvoor een individuele fiche dient opgesteld te worden</w:t>
      </w:r>
      <w:bookmarkEnd w:id="13"/>
    </w:p>
    <w:tbl>
      <w:tblPr>
        <w:tblStyle w:val="TableGrid"/>
        <w:tblW w:w="0" w:type="auto"/>
        <w:tblLook w:val="04A0" w:firstRow="1" w:lastRow="0" w:firstColumn="1" w:lastColumn="0" w:noHBand="0" w:noVBand="1"/>
      </w:tblPr>
      <w:tblGrid>
        <w:gridCol w:w="4800"/>
        <w:gridCol w:w="4262"/>
      </w:tblGrid>
      <w:tr w:rsidR="00AA5E6E" w:rsidRPr="00715DE3" w14:paraId="637398D5" w14:textId="77777777" w:rsidTr="007B00E9">
        <w:trPr>
          <w:cantSplit/>
        </w:trPr>
        <w:tc>
          <w:tcPr>
            <w:tcW w:w="4800" w:type="dxa"/>
            <w:shd w:val="clear" w:color="auto" w:fill="D9D9D9" w:themeFill="background1" w:themeFillShade="D9"/>
          </w:tcPr>
          <w:bookmarkEnd w:id="14"/>
          <w:p w14:paraId="3D130394" w14:textId="3540CC52" w:rsidR="00AA5E6E" w:rsidRPr="00715DE3" w:rsidRDefault="00AA5E6E" w:rsidP="00715DE3">
            <w:pPr>
              <w:autoSpaceDE w:val="0"/>
              <w:autoSpaceDN w:val="0"/>
              <w:adjustRightInd w:val="0"/>
              <w:spacing w:before="20" w:after="20"/>
              <w:rPr>
                <w:rFonts w:cs="Tahoma"/>
                <w:szCs w:val="20"/>
                <w:lang w:val="en-GB"/>
              </w:rPr>
            </w:pPr>
            <w:r w:rsidRPr="00715DE3">
              <w:rPr>
                <w:rFonts w:cs="Tahoma"/>
                <w:szCs w:val="20"/>
                <w:lang w:val="nl-BE"/>
              </w:rPr>
              <w:t xml:space="preserve">Vraag van de operatoren  </w:t>
            </w:r>
          </w:p>
        </w:tc>
        <w:tc>
          <w:tcPr>
            <w:tcW w:w="4262" w:type="dxa"/>
            <w:shd w:val="clear" w:color="auto" w:fill="D9D9D9" w:themeFill="background1" w:themeFillShade="D9"/>
          </w:tcPr>
          <w:p w14:paraId="1D7D1AA3" w14:textId="77777777" w:rsidR="00AA5E6E" w:rsidRPr="00715DE3" w:rsidRDefault="00AA5E6E" w:rsidP="00715DE3">
            <w:pPr>
              <w:rPr>
                <w:rFonts w:cs="Tahoma"/>
                <w:szCs w:val="20"/>
                <w:lang w:val="en-US"/>
              </w:rPr>
            </w:pPr>
            <w:r w:rsidRPr="00715DE3">
              <w:rPr>
                <w:rFonts w:cs="Tahoma"/>
                <w:szCs w:val="20"/>
                <w:lang w:val="nl-BE"/>
              </w:rPr>
              <w:t xml:space="preserve">Analyse </w:t>
            </w:r>
          </w:p>
        </w:tc>
      </w:tr>
      <w:tr w:rsidR="00AA5E6E" w:rsidRPr="00E872DF" w14:paraId="37D9449C" w14:textId="77777777" w:rsidTr="007B00E9">
        <w:trPr>
          <w:cantSplit/>
          <w:trHeight w:val="2696"/>
        </w:trPr>
        <w:tc>
          <w:tcPr>
            <w:tcW w:w="4800" w:type="dxa"/>
          </w:tcPr>
          <w:p w14:paraId="64BB175E" w14:textId="07EFAC6C" w:rsidR="00AA5E6E" w:rsidRPr="00715DE3" w:rsidRDefault="00AA5E6E" w:rsidP="00715DE3">
            <w:pPr>
              <w:autoSpaceDE w:val="0"/>
              <w:autoSpaceDN w:val="0"/>
              <w:adjustRightInd w:val="0"/>
              <w:spacing w:before="20" w:after="20"/>
              <w:rPr>
                <w:rFonts w:cs="Tahoma"/>
                <w:szCs w:val="20"/>
                <w:u w:val="single"/>
                <w:lang w:val="en-US"/>
              </w:rPr>
            </w:pPr>
            <w:r w:rsidRPr="00715DE3">
              <w:rPr>
                <w:rFonts w:cs="Tahoma"/>
                <w:szCs w:val="20"/>
                <w:u w:val="single"/>
                <w:lang w:val="en-US"/>
              </w:rPr>
              <w:t xml:space="preserve">Operator X </w:t>
            </w:r>
          </w:p>
          <w:p w14:paraId="787C51E1" w14:textId="09A04BE9" w:rsidR="00AA5E6E" w:rsidRPr="00715DE3" w:rsidRDefault="00167C3F" w:rsidP="00715DE3">
            <w:pPr>
              <w:autoSpaceDE w:val="0"/>
              <w:autoSpaceDN w:val="0"/>
              <w:adjustRightInd w:val="0"/>
              <w:spacing w:before="20" w:after="20"/>
              <w:rPr>
                <w:rFonts w:cs="Tahoma"/>
                <w:szCs w:val="20"/>
                <w:lang w:val="en-US"/>
              </w:rPr>
            </w:pPr>
            <w:r>
              <w:rPr>
                <w:rFonts w:cs="Tahoma"/>
                <w:szCs w:val="20"/>
                <w:lang w:val="en-GB"/>
              </w:rPr>
              <w:t>“</w:t>
            </w:r>
            <w:r w:rsidR="00AA5E6E" w:rsidRPr="00715DE3">
              <w:rPr>
                <w:rFonts w:cs="Tahoma"/>
                <w:szCs w:val="20"/>
                <w:lang w:val="en-GB"/>
              </w:rPr>
              <w:t xml:space="preserve">First of all, we would like to underline the need to obtain more clarity on what constitutes a “5G network element” as this term is not defined in the (draft) Royal Decree concerning the ministerial authorization. </w:t>
            </w:r>
            <w:proofErr w:type="gramStart"/>
            <w:r w:rsidR="00AA5E6E" w:rsidRPr="00715DE3">
              <w:rPr>
                <w:rFonts w:cs="Tahoma"/>
                <w:szCs w:val="20"/>
                <w:lang w:val="en-GB"/>
              </w:rPr>
              <w:t>In particular for</w:t>
            </w:r>
            <w:proofErr w:type="gramEnd"/>
            <w:r w:rsidR="00AA5E6E" w:rsidRPr="00715DE3">
              <w:rPr>
                <w:rFonts w:cs="Tahoma"/>
                <w:szCs w:val="20"/>
                <w:lang w:val="en-GB"/>
              </w:rPr>
              <w:t xml:space="preserve"> the RAN network, it is not clear which granularity is expected. For example: in case of a base station, there are by default 15-20 modules inside the base station. Should we request an authorization for all these modules? We call upon BIPT to provide concrete guidelines which are pragmatic whilst avoiding that authorizations need to be applied for individual elements which are going too deep in the network.</w:t>
            </w:r>
            <w:r>
              <w:rPr>
                <w:rFonts w:cs="Tahoma"/>
                <w:szCs w:val="20"/>
                <w:lang w:val="en-GB"/>
              </w:rPr>
              <w:t>”</w:t>
            </w:r>
            <w:r w:rsidR="00AA5E6E" w:rsidRPr="00715DE3">
              <w:rPr>
                <w:rFonts w:cs="Tahoma"/>
                <w:szCs w:val="20"/>
                <w:lang w:val="en-GB"/>
              </w:rPr>
              <w:t xml:space="preserve"> </w:t>
            </w:r>
          </w:p>
        </w:tc>
        <w:tc>
          <w:tcPr>
            <w:tcW w:w="4262" w:type="dxa"/>
          </w:tcPr>
          <w:p w14:paraId="3FA9ABF7" w14:textId="2B278326" w:rsidR="00214F5F" w:rsidRPr="00715DE3" w:rsidRDefault="002101C4" w:rsidP="00715DE3">
            <w:pPr>
              <w:rPr>
                <w:rFonts w:cs="Tahoma"/>
                <w:szCs w:val="20"/>
                <w:lang w:val="nl-BE"/>
              </w:rPr>
            </w:pPr>
            <w:r w:rsidRPr="00715DE3">
              <w:rPr>
                <w:color w:val="000000"/>
                <w:szCs w:val="20"/>
                <w:lang w:val="nl-BE"/>
              </w:rPr>
              <w:t xml:space="preserve">Artikel 105, § 1, </w:t>
            </w:r>
            <w:r w:rsidR="00D12A58" w:rsidRPr="00715DE3">
              <w:rPr>
                <w:color w:val="000000"/>
                <w:szCs w:val="20"/>
                <w:lang w:val="nl-BE"/>
              </w:rPr>
              <w:t xml:space="preserve">derde </w:t>
            </w:r>
            <w:r w:rsidRPr="00715DE3">
              <w:rPr>
                <w:color w:val="000000"/>
                <w:szCs w:val="20"/>
                <w:lang w:val="nl-BE"/>
              </w:rPr>
              <w:t xml:space="preserve">lid, 2°, van de wet van 13 juni 2005 betreffende de elektronische communicatie definieert een </w:t>
            </w:r>
            <w:r w:rsidR="00214F5F" w:rsidRPr="00715DE3">
              <w:rPr>
                <w:color w:val="000000"/>
                <w:szCs w:val="20"/>
                <w:lang w:val="nl-BE"/>
              </w:rPr>
              <w:t>5G-netwerk</w:t>
            </w:r>
            <w:r w:rsidRPr="00715DE3">
              <w:rPr>
                <w:color w:val="000000"/>
                <w:szCs w:val="20"/>
                <w:lang w:val="nl-BE"/>
              </w:rPr>
              <w:t xml:space="preserve"> als </w:t>
            </w:r>
            <w:proofErr w:type="gramStart"/>
            <w:r w:rsidRPr="00715DE3">
              <w:rPr>
                <w:color w:val="000000"/>
                <w:szCs w:val="20"/>
                <w:lang w:val="nl-BE"/>
              </w:rPr>
              <w:t xml:space="preserve">volgt </w:t>
            </w:r>
            <w:r w:rsidR="00214F5F" w:rsidRPr="00715DE3">
              <w:rPr>
                <w:color w:val="000000"/>
                <w:szCs w:val="20"/>
                <w:lang w:val="nl-BE"/>
              </w:rPr>
              <w:t>:</w:t>
            </w:r>
            <w:proofErr w:type="gramEnd"/>
            <w:r w:rsidR="00214F5F" w:rsidRPr="00715DE3">
              <w:rPr>
                <w:color w:val="000000"/>
                <w:szCs w:val="20"/>
                <w:lang w:val="nl-BE"/>
              </w:rPr>
              <w:t xml:space="preserve"> </w:t>
            </w:r>
            <w:r w:rsidRPr="00715DE3">
              <w:rPr>
                <w:color w:val="000000"/>
                <w:szCs w:val="20"/>
                <w:lang w:val="nl-BE"/>
              </w:rPr>
              <w:t>“</w:t>
            </w:r>
            <w:r w:rsidR="00214F5F" w:rsidRPr="00715DE3">
              <w:rPr>
                <w:color w:val="000000"/>
                <w:szCs w:val="20"/>
                <w:lang w:val="nl-BE"/>
              </w:rPr>
              <w:t>een elektronische-communicatienetwerk waarvan het radiotoegangsnetwerk gebaseerd is op een radio-interface die gespecificeerd is in de ITU-R-aanbeveling M.2150 van de Internationale Telecommunicatie Unie.</w:t>
            </w:r>
            <w:r w:rsidRPr="00715DE3">
              <w:rPr>
                <w:color w:val="000000"/>
                <w:szCs w:val="20"/>
                <w:lang w:val="nl-BE"/>
              </w:rPr>
              <w:t>”</w:t>
            </w:r>
          </w:p>
          <w:p w14:paraId="36CC46FD" w14:textId="77777777" w:rsidR="00214F5F" w:rsidRPr="00715DE3" w:rsidRDefault="00214F5F" w:rsidP="00715DE3">
            <w:pPr>
              <w:rPr>
                <w:rFonts w:cs="Tahoma"/>
                <w:szCs w:val="20"/>
                <w:lang w:val="nl-BE"/>
              </w:rPr>
            </w:pPr>
          </w:p>
          <w:p w14:paraId="545E11AF" w14:textId="0CAF2AB9" w:rsidR="00AA5E6E" w:rsidRPr="00715DE3" w:rsidRDefault="00595B7C" w:rsidP="00715DE3">
            <w:pPr>
              <w:rPr>
                <w:rFonts w:cs="Tahoma"/>
                <w:szCs w:val="20"/>
                <w:lang w:val="nl-BE"/>
              </w:rPr>
            </w:pPr>
            <w:r w:rsidRPr="00715DE3">
              <w:rPr>
                <w:lang w:val="nl-BE"/>
              </w:rPr>
              <w:t>Er moet een machtiging aangevraagd worden voor de 15-20 modules van het basisstation, behalve voor de modules die geen verband zouden houden met het verstrekken van een 5G-netwerk of -dienst.</w:t>
            </w:r>
            <w:r w:rsidR="00AA5E6E" w:rsidRPr="00715DE3">
              <w:rPr>
                <w:rFonts w:cs="Tahoma"/>
                <w:szCs w:val="20"/>
                <w:lang w:val="nl-BE"/>
              </w:rPr>
              <w:t xml:space="preserve"> </w:t>
            </w:r>
          </w:p>
        </w:tc>
      </w:tr>
      <w:tr w:rsidR="00AA5E6E" w:rsidRPr="00E872DF" w14:paraId="4BBB9088" w14:textId="77777777" w:rsidTr="007B00E9">
        <w:trPr>
          <w:cantSplit/>
        </w:trPr>
        <w:tc>
          <w:tcPr>
            <w:tcW w:w="4800" w:type="dxa"/>
          </w:tcPr>
          <w:p w14:paraId="2529ECF0" w14:textId="0CE20587" w:rsidR="00AA5E6E" w:rsidRPr="00715DE3" w:rsidRDefault="00AA5E6E" w:rsidP="00715DE3">
            <w:pPr>
              <w:autoSpaceDE w:val="0"/>
              <w:autoSpaceDN w:val="0"/>
              <w:adjustRightInd w:val="0"/>
              <w:spacing w:before="20" w:after="20"/>
              <w:rPr>
                <w:rFonts w:cs="Tahoma"/>
                <w:b/>
                <w:bCs/>
                <w:szCs w:val="20"/>
                <w:u w:val="single"/>
                <w:lang w:val="en-US"/>
              </w:rPr>
            </w:pPr>
            <w:r w:rsidRPr="00715DE3">
              <w:rPr>
                <w:rFonts w:cs="Tahoma"/>
                <w:b/>
                <w:bCs/>
                <w:szCs w:val="20"/>
                <w:u w:val="single"/>
                <w:lang w:val="en-US"/>
              </w:rPr>
              <w:lastRenderedPageBreak/>
              <w:t>Operator X</w:t>
            </w:r>
          </w:p>
          <w:p w14:paraId="54738BFA" w14:textId="4E3FC367" w:rsidR="00AA5E6E" w:rsidRPr="00715DE3" w:rsidRDefault="00AA5E6E" w:rsidP="00715DE3">
            <w:pPr>
              <w:pStyle w:val="Numberednormal"/>
              <w:numPr>
                <w:ilvl w:val="1"/>
                <w:numId w:val="34"/>
              </w:numPr>
              <w:ind w:left="360"/>
              <w:rPr>
                <w:rFonts w:cs="Tahoma"/>
                <w:iCs/>
                <w:szCs w:val="20"/>
              </w:rPr>
            </w:pPr>
            <w:r w:rsidRPr="00715DE3">
              <w:rPr>
                <w:rFonts w:cs="Tahoma"/>
                <w:szCs w:val="20"/>
              </w:rPr>
              <w:t xml:space="preserve">Volgens artikel 10, § 1, van het koninklijk besluit dient de operator </w:t>
            </w:r>
            <w:r w:rsidRPr="00715DE3">
              <w:rPr>
                <w:rFonts w:cs="Tahoma"/>
                <w:i/>
                <w:szCs w:val="20"/>
              </w:rPr>
              <w:t xml:space="preserve">de betrokken informatie te verschaffen over alle </w:t>
            </w:r>
            <w:r w:rsidRPr="00715DE3">
              <w:rPr>
                <w:rFonts w:cs="Tahoma"/>
                <w:b/>
                <w:bCs/>
                <w:i/>
                <w:szCs w:val="20"/>
                <w:u w:val="single"/>
              </w:rPr>
              <w:t>actieve elementen die nuttig zijn voor de verstrekking van 5G-diensten</w:t>
            </w:r>
            <w:r w:rsidRPr="00715DE3">
              <w:rPr>
                <w:rFonts w:cs="Tahoma"/>
                <w:i/>
                <w:szCs w:val="20"/>
              </w:rPr>
              <w:t xml:space="preserve">, </w:t>
            </w:r>
            <w:r w:rsidR="00A57890">
              <w:rPr>
                <w:rFonts w:cs="Tahoma"/>
                <w:iCs/>
                <w:szCs w:val="20"/>
              </w:rPr>
              <w:t>en minstens de volgende elementen</w:t>
            </w:r>
            <w:r w:rsidRPr="00715DE3">
              <w:rPr>
                <w:rFonts w:cs="Tahoma"/>
                <w:iCs/>
                <w:szCs w:val="20"/>
              </w:rPr>
              <w:t>:</w:t>
            </w:r>
          </w:p>
          <w:p w14:paraId="6FCDD906" w14:textId="77777777" w:rsidR="00AA5E6E" w:rsidRPr="00715DE3" w:rsidRDefault="00AA5E6E" w:rsidP="00715DE3">
            <w:pPr>
              <w:pStyle w:val="ListParagraph"/>
              <w:keepLines w:val="0"/>
              <w:numPr>
                <w:ilvl w:val="2"/>
                <w:numId w:val="34"/>
              </w:numPr>
              <w:spacing w:line="256" w:lineRule="auto"/>
              <w:ind w:left="1080"/>
              <w:jc w:val="left"/>
              <w:rPr>
                <w:rFonts w:cs="Tahoma"/>
                <w:iCs/>
                <w:lang w:val="nl-BE"/>
              </w:rPr>
            </w:pPr>
            <w:bookmarkStart w:id="16" w:name="_Hlk123733129"/>
            <w:r w:rsidRPr="00715DE3">
              <w:rPr>
                <w:rFonts w:cs="Tahoma"/>
                <w:iCs/>
                <w:lang w:val="nl-BE"/>
              </w:rPr>
              <w:t xml:space="preserve">1° de identiteit van de verschillende rechtspersonen die deze verschillende elementen beheren en er toezicht op houden of aan wie de betrokken onderneming deze activiteiten zal toewijzen, wanneer deze rechtspersonen niet de verzoeker zijn;    </w:t>
            </w:r>
          </w:p>
          <w:p w14:paraId="470BA7E7" w14:textId="77777777" w:rsidR="00AA5E6E" w:rsidRPr="00715DE3" w:rsidRDefault="00AA5E6E" w:rsidP="00715DE3">
            <w:pPr>
              <w:pStyle w:val="ListParagraph"/>
              <w:keepLines w:val="0"/>
              <w:numPr>
                <w:ilvl w:val="2"/>
                <w:numId w:val="34"/>
              </w:numPr>
              <w:spacing w:line="256" w:lineRule="auto"/>
              <w:ind w:left="1080"/>
              <w:jc w:val="left"/>
              <w:rPr>
                <w:rFonts w:cs="Tahoma"/>
                <w:iCs/>
                <w:lang w:val="nl-BE"/>
              </w:rPr>
            </w:pPr>
            <w:r w:rsidRPr="00715DE3">
              <w:rPr>
                <w:rFonts w:cs="Tahoma"/>
                <w:iCs/>
                <w:lang w:val="nl-BE"/>
              </w:rPr>
              <w:t xml:space="preserve">2° de identiteit van de producenten van netwerkelementen die de actieve elementen bedoeld in 17° vervaardigen;  </w:t>
            </w:r>
          </w:p>
          <w:p w14:paraId="253511FA" w14:textId="77777777" w:rsidR="00AA5E6E" w:rsidRPr="00715DE3" w:rsidRDefault="00AA5E6E" w:rsidP="00715DE3">
            <w:pPr>
              <w:pStyle w:val="ListParagraph"/>
              <w:keepLines w:val="0"/>
              <w:numPr>
                <w:ilvl w:val="2"/>
                <w:numId w:val="34"/>
              </w:numPr>
              <w:spacing w:line="256" w:lineRule="auto"/>
              <w:ind w:left="1080"/>
              <w:jc w:val="left"/>
              <w:rPr>
                <w:rFonts w:cs="Tahoma"/>
                <w:iCs/>
                <w:lang w:val="nl-BE"/>
              </w:rPr>
            </w:pPr>
            <w:r w:rsidRPr="00715DE3">
              <w:rPr>
                <w:rFonts w:cs="Tahoma"/>
                <w:iCs/>
                <w:lang w:val="nl-BE"/>
              </w:rPr>
              <w:t xml:space="preserve">3° een beschrijving van de actieve elementen die zij wenst te gebruiken (verzoek om voorafgaande machtiging) of gebruikt (verzoek om regularisatie), met een onderscheid tussen het radiotoegangsnetwerk, de backbone van het transportnetwerk, het aggregatienetwerk van het transportnetwerk en het centrale deel van het netwerk. </w:t>
            </w:r>
          </w:p>
          <w:p w14:paraId="7FFF5B1D" w14:textId="77777777" w:rsidR="00AA5E6E" w:rsidRPr="00715DE3" w:rsidRDefault="00AA5E6E" w:rsidP="00715DE3">
            <w:pPr>
              <w:pStyle w:val="ListParagraph"/>
              <w:keepLines w:val="0"/>
              <w:ind w:left="0"/>
              <w:rPr>
                <w:rFonts w:cs="Tahoma"/>
                <w:iCs/>
                <w:lang w:val="nl-BE"/>
              </w:rPr>
            </w:pPr>
          </w:p>
          <w:bookmarkEnd w:id="16"/>
          <w:p w14:paraId="025769B1" w14:textId="77777777" w:rsidR="00AA5E6E" w:rsidRPr="00715DE3" w:rsidRDefault="00AA5E6E" w:rsidP="00715DE3">
            <w:pPr>
              <w:pStyle w:val="ListParagraph"/>
              <w:keepLines w:val="0"/>
              <w:numPr>
                <w:ilvl w:val="1"/>
                <w:numId w:val="34"/>
              </w:numPr>
              <w:spacing w:line="256" w:lineRule="auto"/>
              <w:ind w:left="360"/>
              <w:jc w:val="left"/>
              <w:rPr>
                <w:rFonts w:cs="Tahoma"/>
                <w:b/>
                <w:bCs/>
                <w:u w:val="single"/>
                <w:lang w:val="nl-BE"/>
              </w:rPr>
            </w:pPr>
            <w:r w:rsidRPr="00715DE3">
              <w:rPr>
                <w:rFonts w:cs="Tahoma"/>
                <w:lang w:val="nl-BE"/>
              </w:rPr>
              <w:t>Het begrip “</w:t>
            </w:r>
            <w:r w:rsidRPr="00715DE3">
              <w:rPr>
                <w:rFonts w:cs="Tahoma"/>
                <w:i/>
                <w:lang w:val="nl-BE"/>
              </w:rPr>
              <w:t xml:space="preserve">actieve elementen die nuttig zijn voor de verstrekking van 5G-diensten” </w:t>
            </w:r>
            <w:r w:rsidRPr="00715DE3">
              <w:rPr>
                <w:rFonts w:cs="Tahoma"/>
                <w:iCs/>
                <w:lang w:val="nl-BE"/>
              </w:rPr>
              <w:t>is echter nergens duidelijk omschreven. Het is niet duidelijk tot op welk niveau van component, of geheel van componenten, een aparte fiche dient opgemaakt te worden.</w:t>
            </w:r>
          </w:p>
        </w:tc>
        <w:tc>
          <w:tcPr>
            <w:tcW w:w="4262" w:type="dxa"/>
          </w:tcPr>
          <w:p w14:paraId="6E7E4C0B" w14:textId="77777777" w:rsidR="00AA5E6E" w:rsidRPr="00715DE3" w:rsidRDefault="00AA5E6E" w:rsidP="00715DE3">
            <w:pPr>
              <w:rPr>
                <w:rFonts w:cs="Tahoma"/>
                <w:szCs w:val="20"/>
                <w:lang w:val="nl-BE"/>
              </w:rPr>
            </w:pPr>
          </w:p>
          <w:p w14:paraId="7E382A4C" w14:textId="77777777" w:rsidR="00AA5E6E" w:rsidRPr="00715DE3" w:rsidRDefault="00AA5E6E" w:rsidP="00715DE3">
            <w:pPr>
              <w:rPr>
                <w:rFonts w:cs="Tahoma"/>
                <w:szCs w:val="20"/>
                <w:lang w:val="nl-BE"/>
              </w:rPr>
            </w:pPr>
          </w:p>
        </w:tc>
      </w:tr>
      <w:tr w:rsidR="00AA5E6E" w:rsidRPr="00E872DF" w14:paraId="30E8F101" w14:textId="77777777" w:rsidTr="007B00E9">
        <w:trPr>
          <w:cantSplit/>
        </w:trPr>
        <w:tc>
          <w:tcPr>
            <w:tcW w:w="4800" w:type="dxa"/>
          </w:tcPr>
          <w:p w14:paraId="75A49309" w14:textId="7C590A96" w:rsidR="00AA5E6E" w:rsidRPr="00715DE3" w:rsidRDefault="00AA5E6E" w:rsidP="00715DE3">
            <w:pPr>
              <w:pStyle w:val="ListParagraph"/>
              <w:keepLines w:val="0"/>
              <w:ind w:left="360"/>
              <w:rPr>
                <w:rFonts w:cs="Tahoma"/>
                <w:iCs/>
                <w:lang w:val="nl-BE"/>
              </w:rPr>
            </w:pPr>
            <w:r w:rsidRPr="00715DE3">
              <w:rPr>
                <w:rFonts w:cs="Tahoma"/>
                <w:iCs/>
                <w:lang w:val="nl-BE"/>
              </w:rPr>
              <w:t>Ter illustratie: een typisch 5G radio basisstation behorend tot het radiotoegangsnetwerk bestaat functioneel uit een 4-tal fundamentele componenten: antenne – Radio (</w:t>
            </w:r>
            <w:r w:rsidR="003F0884">
              <w:rPr>
                <w:rFonts w:cs="Tahoma"/>
                <w:iCs/>
                <w:lang w:val="nl-BE"/>
              </w:rPr>
              <w:t>zender/ontvanger</w:t>
            </w:r>
            <w:r w:rsidRPr="00715DE3">
              <w:rPr>
                <w:rFonts w:cs="Tahoma"/>
                <w:iCs/>
                <w:lang w:val="nl-BE"/>
              </w:rPr>
              <w:t xml:space="preserve">) – </w:t>
            </w:r>
            <w:r w:rsidR="003F0884">
              <w:rPr>
                <w:rFonts w:cs="Tahoma"/>
                <w:iCs/>
                <w:lang w:val="nl-BE"/>
              </w:rPr>
              <w:t>basisbandeenheid</w:t>
            </w:r>
            <w:r w:rsidRPr="00715DE3">
              <w:rPr>
                <w:rFonts w:cs="Tahoma"/>
                <w:iCs/>
                <w:lang w:val="nl-BE"/>
              </w:rPr>
              <w:t xml:space="preserve"> – </w:t>
            </w:r>
            <w:r w:rsidR="003F0884">
              <w:rPr>
                <w:rFonts w:cs="Tahoma"/>
                <w:iCs/>
                <w:lang w:val="nl-BE"/>
              </w:rPr>
              <w:t>energiebron</w:t>
            </w:r>
            <w:r w:rsidRPr="00715DE3">
              <w:rPr>
                <w:rFonts w:cs="Tahoma"/>
                <w:iCs/>
                <w:lang w:val="nl-BE"/>
              </w:rPr>
              <w:t>.</w:t>
            </w:r>
          </w:p>
          <w:p w14:paraId="1A6F691F" w14:textId="537A446E" w:rsidR="00AA5E6E" w:rsidRPr="003F0884" w:rsidRDefault="00AA5E6E" w:rsidP="009F048B">
            <w:pPr>
              <w:pStyle w:val="ListParagraph"/>
              <w:keepLines w:val="0"/>
              <w:ind w:left="360"/>
              <w:rPr>
                <w:rFonts w:cs="Tahoma"/>
                <w:iCs/>
                <w:lang w:val="nl-BE"/>
              </w:rPr>
            </w:pPr>
            <w:r w:rsidRPr="00715DE3">
              <w:rPr>
                <w:rFonts w:cs="Tahoma"/>
                <w:iCs/>
                <w:lang w:val="nl-BE"/>
              </w:rPr>
              <w:t xml:space="preserve">Elk van deze componenten is opgebouwd uit een aantal verschillende modules (vb: een typische radio basisstation kan bestaan uit een 15-tal (of meer) verschillende actieve modules, met voor elk basisstation potentieel een verschillende mix). </w:t>
            </w:r>
          </w:p>
          <w:p w14:paraId="3F2080A9" w14:textId="77777777" w:rsidR="00AA5E6E" w:rsidRPr="00715DE3" w:rsidRDefault="00AA5E6E" w:rsidP="00715DE3">
            <w:pPr>
              <w:pStyle w:val="ListParagraph"/>
              <w:keepLines w:val="0"/>
              <w:ind w:left="360"/>
              <w:rPr>
                <w:rFonts w:cs="Tahoma"/>
                <w:b/>
                <w:bCs/>
                <w:u w:val="single"/>
                <w:lang w:val="nl-BE"/>
              </w:rPr>
            </w:pPr>
            <w:r w:rsidRPr="00715DE3">
              <w:rPr>
                <w:rFonts w:cs="Tahoma"/>
                <w:iCs/>
                <w:lang w:val="nl-BE"/>
              </w:rPr>
              <w:t>Dit voorbeeld is illustratief voor het radiotoegangsnetwerk, maar de situatie is gelijkaardig voor de actieve netwerkelementen in de andere delen van het 5G-netwerk.</w:t>
            </w:r>
          </w:p>
        </w:tc>
        <w:tc>
          <w:tcPr>
            <w:tcW w:w="4262" w:type="dxa"/>
          </w:tcPr>
          <w:p w14:paraId="5CF4A849" w14:textId="77777777" w:rsidR="00AA5E6E" w:rsidRPr="00715DE3" w:rsidRDefault="00AA5E6E" w:rsidP="00715DE3">
            <w:pPr>
              <w:rPr>
                <w:rFonts w:cs="Tahoma"/>
                <w:szCs w:val="20"/>
                <w:lang w:val="nl-BE"/>
              </w:rPr>
            </w:pPr>
          </w:p>
        </w:tc>
      </w:tr>
      <w:tr w:rsidR="00AA5E6E" w:rsidRPr="00E872DF" w14:paraId="25D15A7B" w14:textId="77777777" w:rsidTr="007B00E9">
        <w:trPr>
          <w:cantSplit/>
        </w:trPr>
        <w:tc>
          <w:tcPr>
            <w:tcW w:w="4800" w:type="dxa"/>
          </w:tcPr>
          <w:p w14:paraId="180C83FA" w14:textId="77777777" w:rsidR="00AA5E6E" w:rsidRPr="00715DE3" w:rsidRDefault="00AA5E6E" w:rsidP="00715DE3">
            <w:pPr>
              <w:rPr>
                <w:rFonts w:cs="Tahoma"/>
                <w:iCs/>
                <w:szCs w:val="20"/>
                <w:lang w:val="nl-BE"/>
              </w:rPr>
            </w:pPr>
            <w:r w:rsidRPr="00715DE3">
              <w:rPr>
                <w:rFonts w:cs="Tahoma"/>
                <w:iCs/>
                <w:szCs w:val="20"/>
                <w:lang w:val="nl-BE"/>
              </w:rPr>
              <w:lastRenderedPageBreak/>
              <w:t>Gezien de veelheid aan actieve modules en mogelijke combinaties, achten wij het niet zinvol, noch praktisch, om per module een info fiche op te stellen.</w:t>
            </w:r>
          </w:p>
          <w:p w14:paraId="499E97B6" w14:textId="77777777" w:rsidR="00430C11" w:rsidRPr="00715DE3" w:rsidRDefault="00430C11" w:rsidP="00715DE3">
            <w:pPr>
              <w:rPr>
                <w:rFonts w:cs="Tahoma"/>
                <w:iCs/>
                <w:szCs w:val="20"/>
                <w:lang w:val="nl-BE"/>
              </w:rPr>
            </w:pPr>
          </w:p>
          <w:p w14:paraId="73729032" w14:textId="7A335C3E" w:rsidR="00430C11" w:rsidRPr="00715DE3" w:rsidRDefault="00430C11" w:rsidP="00715DE3">
            <w:pPr>
              <w:rPr>
                <w:rFonts w:cs="Tahoma"/>
                <w:iCs/>
                <w:szCs w:val="20"/>
                <w:lang w:val="nl-BE"/>
              </w:rPr>
            </w:pPr>
            <w:r w:rsidRPr="00715DE3">
              <w:rPr>
                <w:rFonts w:cs="Tahoma"/>
                <w:iCs/>
                <w:szCs w:val="20"/>
                <w:lang w:val="nl-BE"/>
              </w:rPr>
              <w:t>Operator X stelt daarom voor om de info fiches op te stellen voor een relevant globaal niveau van componenten of platformen – voor zover deze samengesteld zijn uit modules van dezelfde leverancier. Het laat ons toe om zowel een goedkeuring van deze technische platformen te bekomen als voor de onderliggende leveranciers en dienstenaanbieders.</w:t>
            </w:r>
          </w:p>
        </w:tc>
        <w:tc>
          <w:tcPr>
            <w:tcW w:w="4262" w:type="dxa"/>
          </w:tcPr>
          <w:p w14:paraId="465063D3" w14:textId="435C939B" w:rsidR="00430C11" w:rsidRPr="00715DE3" w:rsidRDefault="00430C11" w:rsidP="00715DE3">
            <w:pPr>
              <w:rPr>
                <w:rStyle w:val="cf01"/>
                <w:rFonts w:ascii="Tahoma" w:hAnsi="Tahoma" w:cs="Tahoma"/>
                <w:sz w:val="20"/>
                <w:szCs w:val="20"/>
                <w:lang w:val="nl-BE"/>
              </w:rPr>
            </w:pPr>
            <w:r w:rsidRPr="00715DE3">
              <w:rPr>
                <w:rStyle w:val="cf01"/>
                <w:rFonts w:ascii="Tahoma" w:hAnsi="Tahoma" w:cs="Tahoma"/>
                <w:sz w:val="20"/>
                <w:szCs w:val="20"/>
                <w:lang w:val="nl-BE"/>
              </w:rPr>
              <w:t xml:space="preserve">Voor alle modules moet goedkeuring gevraagd worden. </w:t>
            </w:r>
          </w:p>
          <w:p w14:paraId="151262C2" w14:textId="77777777" w:rsidR="00430C11" w:rsidRPr="00715DE3" w:rsidRDefault="00430C11" w:rsidP="00715DE3">
            <w:pPr>
              <w:rPr>
                <w:rStyle w:val="cf01"/>
                <w:rFonts w:ascii="Tahoma" w:hAnsi="Tahoma" w:cs="Tahoma"/>
                <w:sz w:val="20"/>
                <w:szCs w:val="20"/>
                <w:lang w:val="nl-BE"/>
              </w:rPr>
            </w:pPr>
          </w:p>
          <w:p w14:paraId="7D635C6D" w14:textId="77777777" w:rsidR="00430C11" w:rsidRPr="00715DE3" w:rsidRDefault="00430C11" w:rsidP="00715DE3">
            <w:pPr>
              <w:rPr>
                <w:rFonts w:cs="Tahoma"/>
                <w:szCs w:val="20"/>
                <w:lang w:val="nl-BE"/>
              </w:rPr>
            </w:pPr>
            <w:r w:rsidRPr="00715DE3">
              <w:rPr>
                <w:rFonts w:cs="Tahoma"/>
                <w:szCs w:val="20"/>
                <w:lang w:val="nl-BE"/>
              </w:rPr>
              <w:t xml:space="preserve">Echter, elementen die één geheel vormen (bv. modules van een </w:t>
            </w:r>
            <w:r w:rsidRPr="00715DE3">
              <w:rPr>
                <w:rFonts w:cs="Tahoma"/>
                <w:iCs/>
                <w:lang w:val="nl-BE"/>
              </w:rPr>
              <w:t>radio basisstation)</w:t>
            </w:r>
            <w:r w:rsidRPr="00715DE3">
              <w:rPr>
                <w:rFonts w:cs="Tahoma"/>
                <w:szCs w:val="20"/>
                <w:lang w:val="nl-BE"/>
              </w:rPr>
              <w:t xml:space="preserve">, mogen in eenzelfde fiche gebundeld worden voor zover: </w:t>
            </w:r>
          </w:p>
          <w:p w14:paraId="67DDCB64" w14:textId="77777777" w:rsidR="00430C11" w:rsidRPr="00715DE3" w:rsidRDefault="00430C11" w:rsidP="00715DE3">
            <w:pPr>
              <w:pStyle w:val="ListParagraph"/>
              <w:keepLines w:val="0"/>
              <w:numPr>
                <w:ilvl w:val="0"/>
                <w:numId w:val="32"/>
              </w:numPr>
              <w:jc w:val="left"/>
              <w:rPr>
                <w:rFonts w:cs="Tahoma"/>
                <w:lang w:val="nl-BE"/>
              </w:rPr>
            </w:pPr>
            <w:r w:rsidRPr="00715DE3">
              <w:rPr>
                <w:rFonts w:cs="Tahoma"/>
                <w:lang w:val="nl-BE"/>
              </w:rPr>
              <w:t>het over dezelfde leverancier gaat (dit wil zeggen dezelfde producent van netwerkelement en/of dezelfde dienstaanbieder) ;</w:t>
            </w:r>
          </w:p>
          <w:p w14:paraId="0D12D065" w14:textId="5D40D7C4" w:rsidR="00AA5E6E" w:rsidRPr="00715DE3" w:rsidRDefault="00430C11" w:rsidP="00715DE3">
            <w:pPr>
              <w:pStyle w:val="ListParagraph"/>
              <w:keepLines w:val="0"/>
              <w:numPr>
                <w:ilvl w:val="0"/>
                <w:numId w:val="32"/>
              </w:numPr>
              <w:rPr>
                <w:rFonts w:cs="Tahoma"/>
                <w:lang w:val="nl-BE"/>
              </w:rPr>
            </w:pPr>
            <w:r w:rsidRPr="00715DE3">
              <w:rPr>
                <w:rFonts w:cs="Tahoma"/>
                <w:lang w:val="nl-BE"/>
              </w:rPr>
              <w:t>alle vereiste technische informatie wordt meegedeeld.</w:t>
            </w:r>
          </w:p>
        </w:tc>
      </w:tr>
      <w:tr w:rsidR="00AA5E6E" w:rsidRPr="00E872DF" w14:paraId="2744DD8C" w14:textId="77777777" w:rsidTr="007B00E9">
        <w:trPr>
          <w:cantSplit/>
        </w:trPr>
        <w:tc>
          <w:tcPr>
            <w:tcW w:w="4800" w:type="dxa"/>
          </w:tcPr>
          <w:p w14:paraId="154E5F49" w14:textId="77777777" w:rsidR="00AA5E6E" w:rsidRPr="00715DE3" w:rsidRDefault="00AA5E6E" w:rsidP="00715DE3">
            <w:pPr>
              <w:rPr>
                <w:rFonts w:cs="Tahoma"/>
                <w:iCs/>
                <w:szCs w:val="20"/>
                <w:lang w:val="nl-BE"/>
              </w:rPr>
            </w:pPr>
            <w:r w:rsidRPr="00715DE3">
              <w:rPr>
                <w:rFonts w:cs="Tahoma"/>
                <w:iCs/>
                <w:szCs w:val="20"/>
                <w:lang w:val="nl-BE"/>
              </w:rPr>
              <w:t>We stellen daarom voor om een fiche op te maken voor de volgende componenten/platformen met een eventuele opsplitsing per relevante leverancier:</w:t>
            </w:r>
          </w:p>
          <w:p w14:paraId="7AAA2891" w14:textId="77777777" w:rsidR="00AA5E6E" w:rsidRPr="00715DE3" w:rsidRDefault="00AA5E6E" w:rsidP="00715DE3">
            <w:pPr>
              <w:pStyle w:val="ListParagraph"/>
              <w:keepLines w:val="0"/>
              <w:numPr>
                <w:ilvl w:val="0"/>
                <w:numId w:val="0"/>
              </w:numPr>
              <w:ind w:left="360"/>
              <w:rPr>
                <w:rFonts w:cs="Tahoma"/>
                <w:iCs/>
                <w:lang w:val="nl-BE"/>
              </w:rPr>
            </w:pPr>
          </w:p>
          <w:p w14:paraId="6CE33397" w14:textId="77777777" w:rsidR="00AA5E6E" w:rsidRPr="00715DE3" w:rsidRDefault="00AA5E6E" w:rsidP="00715DE3">
            <w:pPr>
              <w:pStyle w:val="ListParagraph"/>
              <w:keepLines w:val="0"/>
              <w:ind w:left="360"/>
              <w:rPr>
                <w:rFonts w:cs="Tahoma"/>
                <w:b/>
                <w:bCs/>
                <w:iCs/>
                <w:lang w:val="nl-BE"/>
              </w:rPr>
            </w:pPr>
            <w:r w:rsidRPr="00715DE3">
              <w:rPr>
                <w:rFonts w:cs="Tahoma"/>
                <w:b/>
                <w:bCs/>
                <w:iCs/>
                <w:lang w:val="nl-BE"/>
              </w:rPr>
              <w:t>Voor het radio toegangsnetwerk</w:t>
            </w:r>
          </w:p>
          <w:p w14:paraId="633F1DDE"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Antenne</w:t>
            </w:r>
          </w:p>
          <w:p w14:paraId="0769AACA"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Transmitter / Receiver (TRX)</w:t>
            </w:r>
          </w:p>
          <w:p w14:paraId="7BC9B263"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Baseband Unit (BBU)</w:t>
            </w:r>
          </w:p>
          <w:p w14:paraId="03CD8A36"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Power Supply</w:t>
            </w:r>
          </w:p>
          <w:p w14:paraId="7F3BF209"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O&amp;M Platform</w:t>
            </w:r>
          </w:p>
          <w:p w14:paraId="39C13ADB" w14:textId="77777777" w:rsidR="00AA5E6E" w:rsidRPr="00715DE3" w:rsidRDefault="00AA5E6E" w:rsidP="00715DE3">
            <w:pPr>
              <w:pStyle w:val="ListParagraph"/>
              <w:keepLines w:val="0"/>
              <w:numPr>
                <w:ilvl w:val="0"/>
                <w:numId w:val="0"/>
              </w:numPr>
              <w:ind w:left="360"/>
              <w:rPr>
                <w:rFonts w:cs="Tahoma"/>
                <w:b/>
                <w:lang w:val="en-GB"/>
              </w:rPr>
            </w:pPr>
          </w:p>
          <w:p w14:paraId="44FBB980" w14:textId="77777777" w:rsidR="00AA5E6E" w:rsidRPr="00715DE3" w:rsidRDefault="00AA5E6E" w:rsidP="00715DE3">
            <w:pPr>
              <w:pStyle w:val="ListParagraph"/>
              <w:keepLines w:val="0"/>
              <w:ind w:left="360"/>
              <w:rPr>
                <w:rFonts w:cs="Tahoma"/>
                <w:b/>
                <w:lang w:val="en-GB"/>
              </w:rPr>
            </w:pPr>
            <w:r w:rsidRPr="00715DE3">
              <w:rPr>
                <w:rFonts w:cs="Tahoma"/>
                <w:b/>
                <w:lang w:val="en-GB"/>
              </w:rPr>
              <w:t>Voor het transport netwerk</w:t>
            </w:r>
          </w:p>
          <w:p w14:paraId="411D0DA5"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Optical network Multiplexer</w:t>
            </w:r>
          </w:p>
          <w:p w14:paraId="12A1540D"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Data network Router</w:t>
            </w:r>
          </w:p>
          <w:p w14:paraId="522239C8"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Mobile Backhauling CPE</w:t>
            </w:r>
          </w:p>
          <w:p w14:paraId="060F9D4E"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µwave indoor &amp; outdoor unit (of combo outdoor / indoor)</w:t>
            </w:r>
          </w:p>
          <w:p w14:paraId="20125F2D" w14:textId="77777777" w:rsidR="00AA5E6E" w:rsidRPr="00715DE3" w:rsidRDefault="00AA5E6E" w:rsidP="00715DE3">
            <w:pPr>
              <w:pStyle w:val="ListParagraph"/>
              <w:keepLines w:val="0"/>
              <w:numPr>
                <w:ilvl w:val="0"/>
                <w:numId w:val="35"/>
              </w:numPr>
              <w:spacing w:line="256" w:lineRule="auto"/>
              <w:ind w:left="720"/>
              <w:jc w:val="left"/>
              <w:rPr>
                <w:rFonts w:cs="Tahoma"/>
                <w:lang w:val="en-GB"/>
              </w:rPr>
            </w:pPr>
            <w:r w:rsidRPr="00715DE3">
              <w:rPr>
                <w:rFonts w:cs="Tahoma"/>
                <w:lang w:val="en-GB"/>
              </w:rPr>
              <w:t>Security gateway</w:t>
            </w:r>
          </w:p>
          <w:p w14:paraId="7BDA10C5"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O&amp;M Platform</w:t>
            </w:r>
          </w:p>
          <w:p w14:paraId="77C24415" w14:textId="77777777" w:rsidR="00AA5E6E" w:rsidRPr="00715DE3" w:rsidRDefault="00AA5E6E" w:rsidP="00715DE3">
            <w:pPr>
              <w:pStyle w:val="ListParagraph"/>
              <w:keepLines w:val="0"/>
              <w:numPr>
                <w:ilvl w:val="0"/>
                <w:numId w:val="0"/>
              </w:numPr>
              <w:ind w:left="717"/>
              <w:rPr>
                <w:rFonts w:cs="Tahoma"/>
                <w:lang w:val="en-GB"/>
              </w:rPr>
            </w:pPr>
          </w:p>
          <w:p w14:paraId="72BAD6D5" w14:textId="77777777" w:rsidR="00AA5E6E" w:rsidRPr="00715DE3" w:rsidRDefault="00AA5E6E" w:rsidP="00715DE3">
            <w:pPr>
              <w:pStyle w:val="ListParagraph"/>
              <w:keepLines w:val="0"/>
              <w:ind w:left="360"/>
              <w:rPr>
                <w:rFonts w:cs="Tahoma"/>
                <w:b/>
                <w:lang w:val="nl-BE"/>
              </w:rPr>
            </w:pPr>
            <w:bookmarkStart w:id="17" w:name="_Hlk131670758"/>
            <w:r w:rsidRPr="00715DE3">
              <w:rPr>
                <w:rFonts w:cs="Tahoma"/>
                <w:b/>
                <w:lang w:val="nl-BE"/>
              </w:rPr>
              <w:t>Voor het centrale deel van het netwerk</w:t>
            </w:r>
          </w:p>
          <w:p w14:paraId="51492A6E"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mobile data Core (EPC)</w:t>
            </w:r>
          </w:p>
          <w:p w14:paraId="7EEDA668"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Voice Core</w:t>
            </w:r>
          </w:p>
          <w:p w14:paraId="7E15EBEC"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VAS Platforms</w:t>
            </w:r>
          </w:p>
          <w:p w14:paraId="2A08BE96"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IMS Platform</w:t>
            </w:r>
          </w:p>
          <w:p w14:paraId="2C845217"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Interconnect platform</w:t>
            </w:r>
          </w:p>
          <w:p w14:paraId="6B4E0EC6"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lawful intercept</w:t>
            </w:r>
          </w:p>
          <w:p w14:paraId="2C99BAA4" w14:textId="77777777" w:rsidR="00AA5E6E" w:rsidRPr="00715DE3" w:rsidRDefault="00AA5E6E" w:rsidP="00715DE3">
            <w:pPr>
              <w:pStyle w:val="ListParagraph"/>
              <w:keepLines w:val="0"/>
              <w:numPr>
                <w:ilvl w:val="0"/>
                <w:numId w:val="35"/>
              </w:numPr>
              <w:spacing w:line="256" w:lineRule="auto"/>
              <w:ind w:left="720"/>
              <w:jc w:val="left"/>
              <w:rPr>
                <w:rFonts w:cs="Tahoma"/>
                <w:iCs/>
                <w:lang w:val="nl-BE"/>
              </w:rPr>
            </w:pPr>
            <w:r w:rsidRPr="00715DE3">
              <w:rPr>
                <w:rFonts w:cs="Tahoma"/>
                <w:iCs/>
                <w:lang w:val="nl-BE"/>
              </w:rPr>
              <w:t>O&amp;M Platform</w:t>
            </w:r>
          </w:p>
          <w:p w14:paraId="2099F108" w14:textId="77777777" w:rsidR="00AA5E6E" w:rsidRPr="00715DE3" w:rsidRDefault="00AA5E6E" w:rsidP="00715DE3">
            <w:pPr>
              <w:pStyle w:val="ListParagraph"/>
              <w:keepLines w:val="0"/>
              <w:numPr>
                <w:ilvl w:val="0"/>
                <w:numId w:val="0"/>
              </w:numPr>
              <w:spacing w:line="256" w:lineRule="auto"/>
              <w:ind w:left="717"/>
              <w:rPr>
                <w:rFonts w:cs="Tahoma"/>
                <w:iCs/>
                <w:lang w:val="nl-BE"/>
              </w:rPr>
            </w:pPr>
          </w:p>
          <w:p w14:paraId="4CC0965F" w14:textId="77777777" w:rsidR="00AA5E6E" w:rsidRPr="00715DE3" w:rsidRDefault="00AA5E6E" w:rsidP="005017D9">
            <w:pPr>
              <w:pStyle w:val="ListParagraph"/>
              <w:keepLines w:val="0"/>
              <w:ind w:left="360"/>
              <w:rPr>
                <w:rFonts w:cs="Tahoma"/>
                <w:b/>
                <w:lang w:val="nl-BE"/>
              </w:rPr>
            </w:pPr>
            <w:r w:rsidRPr="00715DE3">
              <w:rPr>
                <w:rFonts w:cs="Tahoma"/>
                <w:b/>
                <w:lang w:val="nl-BE"/>
              </w:rPr>
              <w:t>Voor onderliggende cloud infrastructuur</w:t>
            </w:r>
          </w:p>
          <w:p w14:paraId="1355ABE2" w14:textId="77777777" w:rsidR="00AA5E6E" w:rsidRPr="00715DE3" w:rsidRDefault="00AA5E6E" w:rsidP="00715DE3">
            <w:pPr>
              <w:pStyle w:val="ListParagraph"/>
              <w:keepLines w:val="0"/>
              <w:numPr>
                <w:ilvl w:val="0"/>
                <w:numId w:val="36"/>
              </w:numPr>
              <w:spacing w:line="252" w:lineRule="auto"/>
              <w:ind w:left="720"/>
              <w:jc w:val="left"/>
              <w:rPr>
                <w:rFonts w:eastAsia="Times New Roman" w:cs="Tahoma"/>
                <w:lang w:val="en-US"/>
              </w:rPr>
            </w:pPr>
            <w:r w:rsidRPr="00715DE3">
              <w:rPr>
                <w:rFonts w:eastAsia="Times New Roman" w:cs="Tahoma"/>
              </w:rPr>
              <w:t>virtualisatie infrastructuur</w:t>
            </w:r>
          </w:p>
          <w:p w14:paraId="58AFA9C2" w14:textId="77777777" w:rsidR="00AA5E6E" w:rsidRPr="00715DE3" w:rsidRDefault="00AA5E6E" w:rsidP="00715DE3">
            <w:pPr>
              <w:pStyle w:val="ListParagraph"/>
              <w:keepLines w:val="0"/>
              <w:numPr>
                <w:ilvl w:val="0"/>
                <w:numId w:val="36"/>
              </w:numPr>
              <w:spacing w:line="252" w:lineRule="auto"/>
              <w:ind w:left="720"/>
              <w:jc w:val="left"/>
              <w:rPr>
                <w:rFonts w:eastAsia="Times New Roman" w:cs="Tahoma"/>
              </w:rPr>
            </w:pPr>
            <w:r w:rsidRPr="00715DE3">
              <w:rPr>
                <w:rFonts w:eastAsia="Times New Roman" w:cs="Tahoma"/>
              </w:rPr>
              <w:t>orchestrator</w:t>
            </w:r>
          </w:p>
          <w:p w14:paraId="66105B34" w14:textId="77777777" w:rsidR="00AA5E6E" w:rsidRPr="00715DE3" w:rsidRDefault="00AA5E6E" w:rsidP="00715DE3">
            <w:pPr>
              <w:pStyle w:val="ListParagraph"/>
              <w:keepLines w:val="0"/>
              <w:numPr>
                <w:ilvl w:val="0"/>
                <w:numId w:val="36"/>
              </w:numPr>
              <w:spacing w:line="252" w:lineRule="auto"/>
              <w:ind w:left="720"/>
              <w:jc w:val="left"/>
              <w:rPr>
                <w:rFonts w:cs="Tahoma"/>
                <w:b/>
                <w:bCs/>
                <w:u w:val="single"/>
                <w:lang w:val="en-US"/>
              </w:rPr>
            </w:pPr>
            <w:r w:rsidRPr="00715DE3">
              <w:rPr>
                <w:rFonts w:eastAsia="Times New Roman" w:cs="Tahoma"/>
                <w:lang w:val="en-US"/>
              </w:rPr>
              <w:t>netwerk specifieke elementen (switches/routers/Firewalls /IDS/IPS)</w:t>
            </w:r>
            <w:bookmarkEnd w:id="17"/>
          </w:p>
        </w:tc>
        <w:tc>
          <w:tcPr>
            <w:tcW w:w="4262" w:type="dxa"/>
          </w:tcPr>
          <w:p w14:paraId="1C87D107" w14:textId="3AF31AD7" w:rsidR="00AA5E6E" w:rsidRPr="00715DE3" w:rsidRDefault="00595B7C" w:rsidP="00715DE3">
            <w:pPr>
              <w:rPr>
                <w:rFonts w:cs="Tahoma"/>
                <w:szCs w:val="20"/>
                <w:lang w:val="nl-BE"/>
              </w:rPr>
            </w:pPr>
            <w:r w:rsidRPr="00715DE3">
              <w:rPr>
                <w:lang w:val="nl-BE"/>
              </w:rPr>
              <w:t xml:space="preserve">Het is niet mogelijk om </w:t>
            </w:r>
            <w:r w:rsidR="009F048B">
              <w:rPr>
                <w:lang w:val="nl-BE"/>
              </w:rPr>
              <w:t xml:space="preserve">ons </w:t>
            </w:r>
            <w:r w:rsidRPr="00715DE3">
              <w:rPr>
                <w:lang w:val="nl-BE"/>
              </w:rPr>
              <w:t xml:space="preserve">akkoord te </w:t>
            </w:r>
            <w:r w:rsidR="009F048B">
              <w:rPr>
                <w:lang w:val="nl-BE"/>
              </w:rPr>
              <w:t>verlenen tot één welbepaald</w:t>
            </w:r>
            <w:r w:rsidR="00AF3429">
              <w:rPr>
                <w:lang w:val="nl-BE"/>
              </w:rPr>
              <w:t>e opsplitsing van het 5G-netwerk</w:t>
            </w:r>
            <w:r w:rsidRPr="00715DE3">
              <w:rPr>
                <w:lang w:val="nl-BE"/>
              </w:rPr>
              <w:t xml:space="preserve">, omdat </w:t>
            </w:r>
            <w:r w:rsidR="009F048B">
              <w:rPr>
                <w:lang w:val="nl-BE"/>
              </w:rPr>
              <w:t>alleen een operator zijn eigen netwerk ten volle kent en de netwerken van alle operatoren niet per se dezelfde structuur kennen.</w:t>
            </w:r>
          </w:p>
          <w:p w14:paraId="216ACC0B" w14:textId="77777777" w:rsidR="00AA5E6E" w:rsidRPr="00715DE3" w:rsidRDefault="00AA5E6E" w:rsidP="00715DE3">
            <w:pPr>
              <w:rPr>
                <w:rFonts w:cs="Tahoma"/>
                <w:szCs w:val="20"/>
                <w:lang w:val="nl-BE"/>
              </w:rPr>
            </w:pPr>
          </w:p>
          <w:p w14:paraId="59ED5588" w14:textId="77777777" w:rsidR="00AA5E6E" w:rsidRPr="00715DE3" w:rsidRDefault="00AA5E6E" w:rsidP="00715DE3">
            <w:pPr>
              <w:rPr>
                <w:rFonts w:cs="Tahoma"/>
                <w:szCs w:val="20"/>
                <w:lang w:val="nl-BE"/>
              </w:rPr>
            </w:pPr>
          </w:p>
          <w:p w14:paraId="00F738A6" w14:textId="77777777" w:rsidR="00AA5E6E" w:rsidRPr="00715DE3" w:rsidRDefault="00AA5E6E" w:rsidP="00715DE3">
            <w:pPr>
              <w:rPr>
                <w:rFonts w:cs="Tahoma"/>
                <w:szCs w:val="20"/>
                <w:lang w:val="nl-BE"/>
              </w:rPr>
            </w:pPr>
          </w:p>
        </w:tc>
      </w:tr>
      <w:tr w:rsidR="00AA5E6E" w:rsidRPr="00E872DF" w14:paraId="1EE6C2E4" w14:textId="77777777" w:rsidTr="007B00E9">
        <w:trPr>
          <w:cantSplit/>
        </w:trPr>
        <w:tc>
          <w:tcPr>
            <w:tcW w:w="4800" w:type="dxa"/>
          </w:tcPr>
          <w:p w14:paraId="3B4EEB16" w14:textId="38B79599" w:rsidR="00AA5E6E" w:rsidRPr="00715DE3" w:rsidRDefault="00AA5E6E" w:rsidP="00715DE3">
            <w:pPr>
              <w:autoSpaceDE w:val="0"/>
              <w:autoSpaceDN w:val="0"/>
              <w:adjustRightInd w:val="0"/>
              <w:spacing w:before="20" w:after="20"/>
              <w:rPr>
                <w:rFonts w:cs="Tahoma"/>
                <w:b/>
                <w:bCs/>
                <w:szCs w:val="20"/>
                <w:u w:val="single"/>
                <w:lang w:val="nl-BE"/>
              </w:rPr>
            </w:pPr>
            <w:r w:rsidRPr="00715DE3">
              <w:rPr>
                <w:rFonts w:cs="Tahoma"/>
                <w:b/>
                <w:bCs/>
                <w:szCs w:val="20"/>
                <w:u w:val="single"/>
                <w:lang w:val="nl-BE"/>
              </w:rPr>
              <w:lastRenderedPageBreak/>
              <w:t>O</w:t>
            </w:r>
            <w:r w:rsidR="00214F5F" w:rsidRPr="00715DE3">
              <w:rPr>
                <w:rFonts w:cs="Tahoma"/>
                <w:b/>
                <w:bCs/>
                <w:szCs w:val="20"/>
                <w:u w:val="single"/>
                <w:lang w:val="nl-BE"/>
              </w:rPr>
              <w:t xml:space="preserve">perator X </w:t>
            </w:r>
            <w:r w:rsidRPr="00715DE3">
              <w:rPr>
                <w:rFonts w:cs="Tahoma"/>
                <w:b/>
                <w:bCs/>
                <w:szCs w:val="20"/>
                <w:u w:val="single"/>
                <w:lang w:val="nl-BE"/>
              </w:rPr>
              <w:t xml:space="preserve"> </w:t>
            </w:r>
          </w:p>
          <w:p w14:paraId="5D9D8C19" w14:textId="709EBF55" w:rsidR="00AA5E6E" w:rsidRPr="00715DE3" w:rsidRDefault="00AA5E6E" w:rsidP="00715DE3">
            <w:pPr>
              <w:autoSpaceDE w:val="0"/>
              <w:autoSpaceDN w:val="0"/>
              <w:adjustRightInd w:val="0"/>
              <w:spacing w:before="20" w:after="20"/>
              <w:rPr>
                <w:rFonts w:cs="Tahoma"/>
                <w:szCs w:val="20"/>
                <w:lang w:val="nl-BE"/>
              </w:rPr>
            </w:pPr>
            <w:r w:rsidRPr="00715DE3">
              <w:rPr>
                <w:rFonts w:cs="Tahoma"/>
                <w:szCs w:val="20"/>
                <w:lang w:val="nl-BE"/>
              </w:rPr>
              <w:t xml:space="preserve">Voor </w:t>
            </w:r>
            <w:r w:rsidR="007B00E9" w:rsidRPr="00715DE3">
              <w:rPr>
                <w:rFonts w:cs="Tahoma"/>
                <w:szCs w:val="20"/>
                <w:lang w:val="nl-BE"/>
              </w:rPr>
              <w:t xml:space="preserve">operator X </w:t>
            </w:r>
            <w:r w:rsidRPr="00715DE3">
              <w:rPr>
                <w:rFonts w:cs="Tahoma"/>
                <w:szCs w:val="20"/>
                <w:lang w:val="nl-BE"/>
              </w:rPr>
              <w:t xml:space="preserve">is het ook onduidelijk voor welke actieve netwerkelementen een fiche moet worden aangevraagd. De uitleg over </w:t>
            </w:r>
            <w:r w:rsidR="00E872DF">
              <w:rPr>
                <w:rFonts w:cs="Tahoma"/>
                <w:szCs w:val="20"/>
                <w:lang w:val="nl-BE"/>
              </w:rPr>
              <w:t xml:space="preserve">deel </w:t>
            </w:r>
            <w:r w:rsidRPr="00715DE3">
              <w:rPr>
                <w:rFonts w:cs="Tahoma"/>
                <w:szCs w:val="20"/>
                <w:lang w:val="nl-BE"/>
              </w:rPr>
              <w:t xml:space="preserve">4 stelt dat de verschillende delen van het netwerk worden gedefinieerd in het Koninklijk Besluit </w:t>
            </w:r>
            <w:proofErr w:type="gramStart"/>
            <w:r w:rsidRPr="00715DE3">
              <w:rPr>
                <w:rFonts w:cs="Tahoma"/>
                <w:szCs w:val="20"/>
                <w:lang w:val="nl-BE"/>
              </w:rPr>
              <w:t>betreffende</w:t>
            </w:r>
            <w:proofErr w:type="gramEnd"/>
            <w:r w:rsidRPr="00715DE3">
              <w:rPr>
                <w:rFonts w:cs="Tahoma"/>
                <w:szCs w:val="20"/>
                <w:lang w:val="nl-BE"/>
              </w:rPr>
              <w:t xml:space="preserve"> de ministeriële machtiging, de punten 4, 7-9, 11. </w:t>
            </w:r>
          </w:p>
          <w:p w14:paraId="00148483" w14:textId="77777777" w:rsidR="00AA5E6E" w:rsidRPr="00715DE3" w:rsidRDefault="00AA5E6E" w:rsidP="00715DE3">
            <w:pPr>
              <w:autoSpaceDE w:val="0"/>
              <w:autoSpaceDN w:val="0"/>
              <w:adjustRightInd w:val="0"/>
              <w:spacing w:before="20" w:after="20"/>
              <w:rPr>
                <w:rFonts w:cs="Tahoma"/>
                <w:szCs w:val="20"/>
                <w:lang w:val="nl-BE"/>
              </w:rPr>
            </w:pPr>
          </w:p>
          <w:p w14:paraId="2E2C3882" w14:textId="77777777" w:rsidR="00AA5E6E" w:rsidRPr="00715DE3" w:rsidRDefault="00AA5E6E" w:rsidP="00715DE3">
            <w:pPr>
              <w:autoSpaceDE w:val="0"/>
              <w:autoSpaceDN w:val="0"/>
              <w:adjustRightInd w:val="0"/>
              <w:spacing w:before="20" w:after="20"/>
              <w:rPr>
                <w:rFonts w:cs="Tahoma"/>
                <w:szCs w:val="20"/>
                <w:lang w:val="nl-BE"/>
              </w:rPr>
            </w:pPr>
            <w:r w:rsidRPr="00715DE3">
              <w:rPr>
                <w:rFonts w:cs="Tahoma"/>
                <w:szCs w:val="20"/>
                <w:lang w:val="nl-BE"/>
              </w:rPr>
              <w:t xml:space="preserve">Punt 7 definieert bijvoorbeeld het transportnetwerk als volgt: het transportnetwerk bestaat uit de elementen die zorgen voor de transmissie van signalen tussen de sites van het radiotoegangsnetwerk en de elementen van het centrale deel van het netwerk, tussen de verschillende sites van het radiotoegangsnetwerk of tussen de verschillende elementen van het centrale deel van het netwerk. </w:t>
            </w:r>
          </w:p>
          <w:p w14:paraId="71809F6D" w14:textId="77777777" w:rsidR="00AA5E6E" w:rsidRPr="00715DE3" w:rsidRDefault="00AA5E6E" w:rsidP="00715DE3">
            <w:pPr>
              <w:autoSpaceDE w:val="0"/>
              <w:autoSpaceDN w:val="0"/>
              <w:adjustRightInd w:val="0"/>
              <w:spacing w:before="20" w:after="20"/>
              <w:rPr>
                <w:rFonts w:cs="Tahoma"/>
                <w:szCs w:val="20"/>
                <w:lang w:val="nl-BE"/>
              </w:rPr>
            </w:pPr>
          </w:p>
          <w:p w14:paraId="6E711C05" w14:textId="002018D5" w:rsidR="00AA5E6E" w:rsidRPr="00715DE3" w:rsidRDefault="00AA5E6E" w:rsidP="00715DE3">
            <w:pPr>
              <w:autoSpaceDE w:val="0"/>
              <w:autoSpaceDN w:val="0"/>
              <w:adjustRightInd w:val="0"/>
              <w:spacing w:before="20" w:after="20"/>
              <w:rPr>
                <w:rFonts w:cs="Tahoma"/>
                <w:b/>
                <w:bCs/>
                <w:szCs w:val="20"/>
                <w:u w:val="single"/>
                <w:lang w:val="nl-BE"/>
              </w:rPr>
            </w:pPr>
            <w:r w:rsidRPr="00715DE3">
              <w:rPr>
                <w:rFonts w:cs="Tahoma"/>
                <w:b/>
                <w:bCs/>
                <w:szCs w:val="20"/>
                <w:lang w:val="nl-BE"/>
              </w:rPr>
              <w:t>De verschillende elementen van het transportnetwerk worden echter niet verder gedefinieerd.</w:t>
            </w:r>
            <w:r w:rsidRPr="00715DE3">
              <w:rPr>
                <w:rFonts w:cs="Tahoma"/>
                <w:szCs w:val="20"/>
                <w:lang w:val="nl-BE"/>
              </w:rPr>
              <w:t xml:space="preserve"> Dit is ook van toepassing voor de andere punten naar waar verwezen wordt. De huidige definities geven dan ook ruimte voor interpretatie en kunnen het proces van machtiging vertragen als de 2 bevoegde autoriteiten stellen dat het dossier onvolledig is. </w:t>
            </w:r>
            <w:r w:rsidR="007B00E9" w:rsidRPr="00715DE3">
              <w:rPr>
                <w:rFonts w:cs="Tahoma"/>
                <w:szCs w:val="20"/>
                <w:lang w:val="nl-BE"/>
              </w:rPr>
              <w:t>Operator X</w:t>
            </w:r>
            <w:r w:rsidRPr="00715DE3">
              <w:rPr>
                <w:rFonts w:cs="Tahoma"/>
                <w:szCs w:val="20"/>
                <w:lang w:val="nl-BE"/>
              </w:rPr>
              <w:t xml:space="preserve"> vraagt dan ook meer duidelijkheid voor welke netwerkelementen een fiche moet worden aangevraagd zodat het proces voor de aanvraag van een machtiging vlot verloopt. </w:t>
            </w:r>
          </w:p>
        </w:tc>
        <w:tc>
          <w:tcPr>
            <w:tcW w:w="4262" w:type="dxa"/>
          </w:tcPr>
          <w:p w14:paraId="13BCE7F3" w14:textId="77777777" w:rsidR="00AA5E6E" w:rsidRPr="00715DE3" w:rsidRDefault="00AA5E6E" w:rsidP="00715DE3">
            <w:pPr>
              <w:rPr>
                <w:rFonts w:cs="Tahoma"/>
                <w:szCs w:val="20"/>
                <w:lang w:val="nl-BE"/>
              </w:rPr>
            </w:pPr>
          </w:p>
          <w:p w14:paraId="7DB86840" w14:textId="77777777" w:rsidR="00595B7C" w:rsidRPr="00715DE3" w:rsidRDefault="00595B7C" w:rsidP="00715DE3">
            <w:pPr>
              <w:rPr>
                <w:rFonts w:cs="Tahoma"/>
                <w:szCs w:val="20"/>
                <w:lang w:val="nl-BE"/>
              </w:rPr>
            </w:pPr>
            <w:r w:rsidRPr="00715DE3">
              <w:rPr>
                <w:lang w:val="nl-BE"/>
              </w:rPr>
              <w:t xml:space="preserve">Voor alle elementen van het transportnetwerk moet er een machtiging worden aangevraagd. </w:t>
            </w:r>
          </w:p>
          <w:p w14:paraId="26845EB4" w14:textId="77777777" w:rsidR="00595B7C" w:rsidRPr="00715DE3" w:rsidRDefault="00595B7C" w:rsidP="00715DE3">
            <w:pPr>
              <w:rPr>
                <w:rFonts w:cs="Tahoma"/>
                <w:szCs w:val="20"/>
                <w:lang w:val="nl-BE"/>
              </w:rPr>
            </w:pPr>
          </w:p>
          <w:p w14:paraId="3F31F82E" w14:textId="77777777" w:rsidR="00595B7C" w:rsidRPr="00715DE3" w:rsidRDefault="00595B7C" w:rsidP="00715DE3">
            <w:pPr>
              <w:rPr>
                <w:rFonts w:cs="Tahoma"/>
                <w:szCs w:val="20"/>
                <w:lang w:val="nl-BE"/>
              </w:rPr>
            </w:pPr>
            <w:r w:rsidRPr="00715DE3">
              <w:rPr>
                <w:lang w:val="nl-BE"/>
              </w:rPr>
              <w:t xml:space="preserve">De operatoren zijn het beste geplaatst om de elementen te bepalen die deel uitmaken van het transportnetwerk. </w:t>
            </w:r>
          </w:p>
          <w:p w14:paraId="7B0ADFEA" w14:textId="77777777" w:rsidR="00595B7C" w:rsidRPr="00715DE3" w:rsidRDefault="00595B7C" w:rsidP="00715DE3">
            <w:pPr>
              <w:rPr>
                <w:rFonts w:cs="Tahoma"/>
                <w:szCs w:val="20"/>
                <w:lang w:val="nl-BE"/>
              </w:rPr>
            </w:pPr>
          </w:p>
          <w:p w14:paraId="6B3D00BA" w14:textId="77777777" w:rsidR="00595B7C" w:rsidRPr="00715DE3" w:rsidRDefault="00595B7C" w:rsidP="00715DE3">
            <w:pPr>
              <w:rPr>
                <w:rFonts w:cs="Tahoma"/>
                <w:szCs w:val="20"/>
                <w:lang w:val="nl-BE"/>
              </w:rPr>
            </w:pPr>
            <w:proofErr w:type="gramStart"/>
            <w:r w:rsidRPr="00715DE3">
              <w:rPr>
                <w:lang w:val="nl-BE"/>
              </w:rPr>
              <w:t>Indien</w:t>
            </w:r>
            <w:proofErr w:type="gramEnd"/>
            <w:r w:rsidRPr="00715DE3">
              <w:rPr>
                <w:lang w:val="nl-BE"/>
              </w:rPr>
              <w:t xml:space="preserve"> het BIPT of de inlichtingen- en veiligheidsdiensten op een gegeven ogenblik vaststellen dat een operator geen machtiging heeft aangevraagd voor een (transport)netwerkelement, zullen dit de gevolgen zijn: </w:t>
            </w:r>
          </w:p>
          <w:p w14:paraId="7C994A58" w14:textId="77777777" w:rsidR="00595B7C" w:rsidRPr="00715DE3" w:rsidRDefault="00595B7C" w:rsidP="00715DE3">
            <w:pPr>
              <w:pStyle w:val="ListParagraph"/>
              <w:keepLines w:val="0"/>
              <w:numPr>
                <w:ilvl w:val="0"/>
                <w:numId w:val="32"/>
              </w:numPr>
              <w:jc w:val="left"/>
              <w:rPr>
                <w:rFonts w:cs="Tahoma"/>
                <w:lang w:val="nl-BE"/>
              </w:rPr>
            </w:pPr>
            <w:r w:rsidRPr="00715DE3">
              <w:rPr>
                <w:lang w:val="nl-BE"/>
              </w:rPr>
              <w:t xml:space="preserve">dat element van het transportnetwerk zal niet gebruikt mogen worden zolang de machtiging niet verkregen is; </w:t>
            </w:r>
          </w:p>
          <w:p w14:paraId="457A8B5B" w14:textId="1B597C01" w:rsidR="00AA5E6E" w:rsidRPr="00715DE3" w:rsidRDefault="00595B7C" w:rsidP="00715DE3">
            <w:pPr>
              <w:pStyle w:val="ListParagraph"/>
              <w:keepLines w:val="0"/>
              <w:numPr>
                <w:ilvl w:val="0"/>
                <w:numId w:val="32"/>
              </w:numPr>
              <w:jc w:val="left"/>
              <w:rPr>
                <w:rFonts w:cs="Tahoma"/>
                <w:lang w:val="nl-BE"/>
              </w:rPr>
            </w:pPr>
            <w:r w:rsidRPr="00715DE3">
              <w:rPr>
                <w:lang w:val="nl-BE"/>
              </w:rPr>
              <w:t xml:space="preserve">maar dat zal geen impact hebben op de elementen waarvoor wel degelijk </w:t>
            </w:r>
            <w:r w:rsidR="002244E5">
              <w:rPr>
                <w:lang w:val="nl-BE"/>
              </w:rPr>
              <w:t>een</w:t>
            </w:r>
            <w:r w:rsidR="002244E5" w:rsidRPr="00715DE3">
              <w:rPr>
                <w:lang w:val="nl-BE"/>
              </w:rPr>
              <w:t xml:space="preserve"> </w:t>
            </w:r>
            <w:r w:rsidRPr="00715DE3">
              <w:rPr>
                <w:lang w:val="nl-BE"/>
              </w:rPr>
              <w:t>machtiging aangevraagd werd.</w:t>
            </w:r>
          </w:p>
          <w:p w14:paraId="09410844" w14:textId="77777777" w:rsidR="00AA5E6E" w:rsidRPr="00715DE3" w:rsidRDefault="00AA5E6E" w:rsidP="00715DE3">
            <w:pPr>
              <w:rPr>
                <w:rFonts w:cs="Tahoma"/>
                <w:szCs w:val="20"/>
                <w:lang w:val="nl-BE"/>
              </w:rPr>
            </w:pPr>
          </w:p>
        </w:tc>
      </w:tr>
      <w:tr w:rsidR="007B00E9" w:rsidRPr="00E872DF" w14:paraId="04D72898" w14:textId="77777777" w:rsidTr="007B00E9">
        <w:trPr>
          <w:cantSplit/>
        </w:trPr>
        <w:tc>
          <w:tcPr>
            <w:tcW w:w="4800" w:type="dxa"/>
          </w:tcPr>
          <w:p w14:paraId="40FD96FA" w14:textId="658461D4" w:rsidR="007B00E9" w:rsidRPr="00715DE3" w:rsidRDefault="007B00E9" w:rsidP="00715DE3">
            <w:pPr>
              <w:autoSpaceDE w:val="0"/>
              <w:autoSpaceDN w:val="0"/>
              <w:adjustRightInd w:val="0"/>
              <w:spacing w:before="20" w:after="20"/>
              <w:rPr>
                <w:rFonts w:cs="Tahoma"/>
                <w:b/>
                <w:bCs/>
                <w:szCs w:val="20"/>
                <w:u w:val="single"/>
                <w:lang w:val="nl-BE"/>
              </w:rPr>
            </w:pPr>
            <w:r w:rsidRPr="00715DE3">
              <w:rPr>
                <w:rFonts w:cs="Tahoma"/>
                <w:b/>
                <w:bCs/>
                <w:szCs w:val="20"/>
                <w:u w:val="single"/>
                <w:lang w:val="nl-BE"/>
              </w:rPr>
              <w:t xml:space="preserve">Operator X </w:t>
            </w:r>
          </w:p>
          <w:p w14:paraId="76A5D498" w14:textId="4CADC223" w:rsidR="007B00E9" w:rsidRPr="00715DE3" w:rsidRDefault="007B00E9" w:rsidP="00715DE3">
            <w:pPr>
              <w:autoSpaceDE w:val="0"/>
              <w:autoSpaceDN w:val="0"/>
              <w:adjustRightInd w:val="0"/>
              <w:spacing w:before="20" w:after="20"/>
              <w:rPr>
                <w:rFonts w:cs="Tahoma"/>
                <w:b/>
                <w:bCs/>
                <w:szCs w:val="20"/>
                <w:u w:val="single"/>
                <w:lang w:val="nl-BE"/>
              </w:rPr>
            </w:pPr>
            <w:r w:rsidRPr="00715DE3">
              <w:rPr>
                <w:rFonts w:cs="Tahoma"/>
                <w:szCs w:val="20"/>
                <w:lang w:val="nl-BE"/>
              </w:rPr>
              <w:t>Een voorstel zou kunnen zijn dat het BIPT een lijst vastlegt van de netwerkelementen waarvoor een fiche moet worden ingediend.</w:t>
            </w:r>
          </w:p>
        </w:tc>
        <w:tc>
          <w:tcPr>
            <w:tcW w:w="4262" w:type="dxa"/>
          </w:tcPr>
          <w:p w14:paraId="52D9B3E5" w14:textId="5DCC6BC1" w:rsidR="007B00E9" w:rsidRPr="00715DE3" w:rsidRDefault="00595B7C" w:rsidP="00715DE3">
            <w:pPr>
              <w:rPr>
                <w:rFonts w:cs="Tahoma"/>
                <w:szCs w:val="20"/>
                <w:lang w:val="nl-BE"/>
              </w:rPr>
            </w:pPr>
            <w:r w:rsidRPr="00715DE3">
              <w:rPr>
                <w:lang w:val="nl-BE"/>
              </w:rPr>
              <w:t>Als het BIPT een lijst opstelt met (transport)netwerkelementen</w:t>
            </w:r>
            <w:r w:rsidR="002244E5">
              <w:rPr>
                <w:lang w:val="nl-BE"/>
              </w:rPr>
              <w:t>,</w:t>
            </w:r>
            <w:r w:rsidRPr="00715DE3">
              <w:rPr>
                <w:lang w:val="nl-BE"/>
              </w:rPr>
              <w:t xml:space="preserve"> dan bestaat het risico dat die lijst niet “</w:t>
            </w:r>
            <w:proofErr w:type="spellStart"/>
            <w:r w:rsidRPr="00715DE3">
              <w:rPr>
                <w:lang w:val="nl-BE"/>
              </w:rPr>
              <w:t>futur</w:t>
            </w:r>
            <w:r w:rsidR="002244E5">
              <w:rPr>
                <w:lang w:val="nl-BE"/>
              </w:rPr>
              <w:t>e</w:t>
            </w:r>
            <w:proofErr w:type="spellEnd"/>
            <w:r w:rsidRPr="00715DE3">
              <w:rPr>
                <w:lang w:val="nl-BE"/>
              </w:rPr>
              <w:t xml:space="preserve"> </w:t>
            </w:r>
            <w:proofErr w:type="spellStart"/>
            <w:r w:rsidRPr="00715DE3">
              <w:rPr>
                <w:lang w:val="nl-BE"/>
              </w:rPr>
              <w:t>proof</w:t>
            </w:r>
            <w:proofErr w:type="spellEnd"/>
            <w:r w:rsidRPr="00715DE3">
              <w:rPr>
                <w:lang w:val="nl-BE"/>
              </w:rPr>
              <w:t xml:space="preserve">” is. De algemene definitie van transportnetwerk (zie artikel 1, punt 7, van het </w:t>
            </w:r>
            <w:proofErr w:type="gramStart"/>
            <w:r w:rsidRPr="00715DE3">
              <w:rPr>
                <w:lang w:val="nl-BE"/>
              </w:rPr>
              <w:t>KB machtigingen</w:t>
            </w:r>
            <w:proofErr w:type="gramEnd"/>
            <w:r w:rsidRPr="00715DE3">
              <w:rPr>
                <w:lang w:val="nl-BE"/>
              </w:rPr>
              <w:t>) is dat daarentegen wel.</w:t>
            </w:r>
          </w:p>
        </w:tc>
      </w:tr>
    </w:tbl>
    <w:p w14:paraId="0937CF29" w14:textId="77777777" w:rsidR="00AA5E6E" w:rsidRPr="00715DE3" w:rsidRDefault="00AA5E6E" w:rsidP="00AA5E6E">
      <w:pPr>
        <w:rPr>
          <w:lang w:val="nl-BE"/>
        </w:rPr>
      </w:pPr>
    </w:p>
    <w:p w14:paraId="731B9AA2" w14:textId="452F7691" w:rsidR="00034129" w:rsidRPr="00715DE3" w:rsidRDefault="00034129" w:rsidP="00034129">
      <w:pPr>
        <w:pStyle w:val="Heading2"/>
        <w:numPr>
          <w:ilvl w:val="1"/>
          <w:numId w:val="7"/>
        </w:numPr>
        <w:rPr>
          <w:lang w:val="nl-BE"/>
        </w:rPr>
      </w:pPr>
      <w:bookmarkStart w:id="18" w:name="_Toc135085671"/>
      <w:r w:rsidRPr="00715DE3">
        <w:rPr>
          <w:lang w:val="nl-BE"/>
        </w:rPr>
        <w:t>Nadere bepalingen voor de verzending van het dossier aan het BIPT</w:t>
      </w:r>
      <w:bookmarkEnd w:id="15"/>
      <w:bookmarkEnd w:id="18"/>
      <w:r w:rsidRPr="00715DE3">
        <w:rPr>
          <w:lang w:val="nl-BE"/>
        </w:rPr>
        <w:t xml:space="preserve"> </w:t>
      </w:r>
    </w:p>
    <w:p w14:paraId="050820C8" w14:textId="36EF6F3F" w:rsidR="00034129" w:rsidRPr="00715DE3" w:rsidRDefault="00034129" w:rsidP="00034129">
      <w:pPr>
        <w:pStyle w:val="Numberednormal"/>
        <w:numPr>
          <w:ilvl w:val="0"/>
          <w:numId w:val="6"/>
        </w:numPr>
      </w:pPr>
      <w:r w:rsidRPr="00715DE3">
        <w:t xml:space="preserve">De verzoeker dient via mail aan </w:t>
      </w:r>
      <w:hyperlink r:id="rId15" w:history="1">
        <w:r w:rsidRPr="00715DE3">
          <w:rPr>
            <w:rStyle w:val="Hyperlink"/>
          </w:rPr>
          <w:t>SG@bipt.be</w:t>
        </w:r>
      </w:hyperlink>
      <w:r w:rsidRPr="00715DE3">
        <w:t xml:space="preserve"> ten minste de volgende documenten te versturen aan het BIPT: de brief met het verzoek om machtiging (</w:t>
      </w:r>
      <w:r w:rsidR="009567B0">
        <w:t>deel</w:t>
      </w:r>
      <w:r w:rsidRPr="00715DE3">
        <w:t xml:space="preserve"> 1) en de inventaris van de bijlagen bij deze brief (d</w:t>
      </w:r>
      <w:r w:rsidR="009567B0">
        <w:t>eel</w:t>
      </w:r>
      <w:r w:rsidRPr="00715DE3">
        <w:t xml:space="preserve"> 2). Daarnaast kan hij deze documenten ook </w:t>
      </w:r>
      <w:r w:rsidR="00562EC3">
        <w:t xml:space="preserve">vrijblijvend </w:t>
      </w:r>
      <w:r w:rsidRPr="00715DE3">
        <w:t>per bode of via post versturen.</w:t>
      </w:r>
    </w:p>
    <w:p w14:paraId="23DE49BD" w14:textId="77777777" w:rsidR="00034129" w:rsidRPr="00715DE3" w:rsidRDefault="00034129" w:rsidP="00034129">
      <w:pPr>
        <w:pStyle w:val="Numberednormal"/>
        <w:numPr>
          <w:ilvl w:val="0"/>
          <w:numId w:val="0"/>
        </w:numPr>
        <w:ind w:left="360"/>
      </w:pPr>
    </w:p>
    <w:p w14:paraId="21BF8A2A" w14:textId="084A1F6C" w:rsidR="00034129" w:rsidRPr="00715DE3" w:rsidRDefault="00034129" w:rsidP="00034129">
      <w:pPr>
        <w:pStyle w:val="Numberednormal"/>
        <w:numPr>
          <w:ilvl w:val="0"/>
          <w:numId w:val="6"/>
        </w:numPr>
      </w:pPr>
      <w:r w:rsidRPr="00715DE3">
        <w:t>De bijlagen bij deze brief (</w:t>
      </w:r>
      <w:r w:rsidR="009567B0">
        <w:t xml:space="preserve">delen </w:t>
      </w:r>
      <w:r w:rsidRPr="00715DE3">
        <w:t xml:space="preserve">3 tot 5 en de eventuele aanvullende documenten) mogen via een van de volgende middelen aan het BIPT verzonden worden: </w:t>
      </w:r>
    </w:p>
    <w:p w14:paraId="4C243111" w14:textId="77777777" w:rsidR="00034129" w:rsidRPr="00715DE3" w:rsidRDefault="00034129" w:rsidP="00034129">
      <w:pPr>
        <w:pStyle w:val="Numberednormal"/>
        <w:numPr>
          <w:ilvl w:val="0"/>
          <w:numId w:val="28"/>
        </w:numPr>
        <w:rPr>
          <w:szCs w:val="20"/>
        </w:rPr>
      </w:pPr>
      <w:proofErr w:type="gramStart"/>
      <w:r w:rsidRPr="00715DE3">
        <w:t>als</w:t>
      </w:r>
      <w:proofErr w:type="gramEnd"/>
      <w:r w:rsidRPr="00715DE3">
        <w:t xml:space="preserve"> bijlage bij de mail verzonden aan het BIPT met daarin de brief met het verzoek om machtiging (of als bijlage bij een andere mail); </w:t>
      </w:r>
    </w:p>
    <w:p w14:paraId="237B41C7" w14:textId="77777777" w:rsidR="00034129" w:rsidRPr="00715DE3" w:rsidRDefault="00034129" w:rsidP="00034129">
      <w:pPr>
        <w:pStyle w:val="Numberednormal"/>
        <w:numPr>
          <w:ilvl w:val="0"/>
          <w:numId w:val="28"/>
        </w:numPr>
        <w:rPr>
          <w:szCs w:val="20"/>
        </w:rPr>
      </w:pPr>
      <w:proofErr w:type="gramStart"/>
      <w:r w:rsidRPr="00715DE3">
        <w:t>link</w:t>
      </w:r>
      <w:proofErr w:type="gramEnd"/>
      <w:r w:rsidRPr="00715DE3">
        <w:t xml:space="preserve"> naar deze documenten in een andere mail aan het BIPT dan de mail aan het BIPT met daarin de brief met het verzoek om machtiging</w:t>
      </w:r>
      <w:r w:rsidRPr="00715DE3">
        <w:rPr>
          <w:rStyle w:val="FootnoteReference"/>
          <w:szCs w:val="20"/>
          <w:lang w:val="fr-BE"/>
        </w:rPr>
        <w:footnoteReference w:id="3"/>
      </w:r>
      <w:r w:rsidRPr="00715DE3">
        <w:t xml:space="preserve">; </w:t>
      </w:r>
    </w:p>
    <w:p w14:paraId="4A9738A6" w14:textId="77777777" w:rsidR="00034129" w:rsidRPr="00715DE3" w:rsidRDefault="00034129" w:rsidP="00034129">
      <w:pPr>
        <w:pStyle w:val="Numberednormal"/>
        <w:numPr>
          <w:ilvl w:val="0"/>
          <w:numId w:val="28"/>
        </w:numPr>
        <w:rPr>
          <w:szCs w:val="20"/>
        </w:rPr>
      </w:pPr>
      <w:r w:rsidRPr="00715DE3">
        <w:t xml:space="preserve">USB-stick, aan het BIPT bezorgd per bode. </w:t>
      </w:r>
    </w:p>
    <w:p w14:paraId="26650B7A" w14:textId="77777777" w:rsidR="00034129" w:rsidRPr="00715DE3" w:rsidRDefault="00034129" w:rsidP="00034129">
      <w:pPr>
        <w:pStyle w:val="Numberednormal"/>
        <w:numPr>
          <w:ilvl w:val="0"/>
          <w:numId w:val="0"/>
        </w:numPr>
        <w:rPr>
          <w:szCs w:val="20"/>
        </w:rPr>
      </w:pPr>
    </w:p>
    <w:p w14:paraId="0D7612A0" w14:textId="77777777" w:rsidR="00034129" w:rsidRPr="00715DE3" w:rsidRDefault="00034129" w:rsidP="00034129">
      <w:pPr>
        <w:pStyle w:val="Numberednormal"/>
        <w:numPr>
          <w:ilvl w:val="0"/>
          <w:numId w:val="6"/>
        </w:numPr>
      </w:pPr>
      <w:proofErr w:type="gramStart"/>
      <w:r w:rsidRPr="00715DE3">
        <w:t>Indien</w:t>
      </w:r>
      <w:proofErr w:type="gramEnd"/>
      <w:r w:rsidRPr="00715DE3">
        <w:t xml:space="preserve"> de verzoeker dat wenst, kunnen de aan het BIPT verzonden mails worden versleuteld.</w:t>
      </w:r>
      <w:r w:rsidRPr="00715DE3">
        <w:rPr>
          <w:rStyle w:val="FootnoteReference"/>
          <w:lang w:val="fr-BE"/>
        </w:rPr>
        <w:footnoteReference w:id="4"/>
      </w:r>
      <w:r w:rsidRPr="00715DE3">
        <w:t xml:space="preserve"> </w:t>
      </w:r>
    </w:p>
    <w:p w14:paraId="05B54CA9" w14:textId="77777777" w:rsidR="00034129" w:rsidRPr="00715DE3" w:rsidRDefault="00034129" w:rsidP="00034129">
      <w:pPr>
        <w:pStyle w:val="Numberednormal"/>
        <w:numPr>
          <w:ilvl w:val="0"/>
          <w:numId w:val="0"/>
        </w:numPr>
        <w:ind w:left="360"/>
      </w:pPr>
    </w:p>
    <w:p w14:paraId="174A9C48" w14:textId="77777777" w:rsidR="00034129" w:rsidRPr="00715DE3" w:rsidRDefault="00034129" w:rsidP="00034129">
      <w:pPr>
        <w:pStyle w:val="Numberednormal"/>
        <w:numPr>
          <w:ilvl w:val="0"/>
          <w:numId w:val="6"/>
        </w:numPr>
      </w:pPr>
      <w:bookmarkStart w:id="19" w:name="_Hlk124233309"/>
      <w:r w:rsidRPr="00715DE3">
        <w:t xml:space="preserve">Binnen de 5 werkdagen die volgen op het verzenden van de mail aan het BIPT met daarin het verzoek om machtiging, </w:t>
      </w:r>
      <w:bookmarkStart w:id="20" w:name="_Hlk124233290"/>
      <w:r w:rsidRPr="00715DE3">
        <w:t>zal het BIPT aan de verzoeker een elektronisch ontvangstbewijs versturen met daarin de vermelding van het kenmerk van het BIPT-dossier.</w:t>
      </w:r>
      <w:bookmarkEnd w:id="20"/>
    </w:p>
    <w:p w14:paraId="245A2211" w14:textId="48578056" w:rsidR="00034129" w:rsidRPr="00715DE3" w:rsidRDefault="006F6609" w:rsidP="00034129">
      <w:pPr>
        <w:pStyle w:val="Heading1"/>
        <w:numPr>
          <w:ilvl w:val="0"/>
          <w:numId w:val="7"/>
        </w:numPr>
        <w:rPr>
          <w:lang w:val="nl-BE"/>
        </w:rPr>
      </w:pPr>
      <w:bookmarkStart w:id="21" w:name="_Toc135085672"/>
      <w:bookmarkEnd w:id="19"/>
      <w:r w:rsidRPr="00715DE3">
        <w:rPr>
          <w:lang w:val="nl-BE"/>
        </w:rPr>
        <w:t>Door</w:t>
      </w:r>
      <w:r w:rsidR="00034129" w:rsidRPr="00715DE3">
        <w:rPr>
          <w:lang w:val="nl-BE"/>
        </w:rPr>
        <w:t>zenden van het dossier aan de betrokken ministers en aan de inlichtingen- en veiligheidsdiensten</w:t>
      </w:r>
      <w:bookmarkEnd w:id="21"/>
      <w:r w:rsidR="00034129" w:rsidRPr="00715DE3">
        <w:rPr>
          <w:lang w:val="nl-BE"/>
        </w:rPr>
        <w:t xml:space="preserve"> </w:t>
      </w:r>
    </w:p>
    <w:p w14:paraId="30D9AA96" w14:textId="77777777" w:rsidR="00034129" w:rsidRPr="00715DE3" w:rsidRDefault="00034129" w:rsidP="00034129">
      <w:pPr>
        <w:pStyle w:val="Numberednormal"/>
        <w:numPr>
          <w:ilvl w:val="0"/>
          <w:numId w:val="6"/>
        </w:numPr>
      </w:pPr>
      <w:r w:rsidRPr="00715DE3">
        <w:t xml:space="preserve">Het BIPT zal het volledige dossier dat het heeft ontvangen van de verzoeker doorsturen aan de inlichtingen- en veiligheidsdiensten. </w:t>
      </w:r>
    </w:p>
    <w:p w14:paraId="2972101D" w14:textId="77777777" w:rsidR="00034129" w:rsidRPr="00715DE3" w:rsidRDefault="00034129" w:rsidP="00034129">
      <w:pPr>
        <w:pStyle w:val="Numberednormal"/>
        <w:numPr>
          <w:ilvl w:val="0"/>
          <w:numId w:val="0"/>
        </w:numPr>
        <w:ind w:left="360"/>
      </w:pPr>
    </w:p>
    <w:p w14:paraId="17E0F74A" w14:textId="10A71875" w:rsidR="00034129" w:rsidRPr="00715DE3" w:rsidRDefault="00034129" w:rsidP="00034129">
      <w:pPr>
        <w:pStyle w:val="Numberednormal"/>
        <w:numPr>
          <w:ilvl w:val="0"/>
          <w:numId w:val="6"/>
        </w:numPr>
      </w:pPr>
      <w:r w:rsidRPr="00715DE3">
        <w:t>Om daarentegen de informatie verstrekt door de verzoeker te beschermen, zal het BIPT enkel de mail verzonden aan het BIPT met daarin het verzoek om machtiging, de brief van de verzoeker (</w:t>
      </w:r>
      <w:r w:rsidR="00EA5354">
        <w:t>deel 1</w:t>
      </w:r>
      <w:r w:rsidRPr="00715DE3">
        <w:t>) en de inventaris van de bijlagen bij die brief (d</w:t>
      </w:r>
      <w:r w:rsidR="00EA5354">
        <w:t xml:space="preserve">eel </w:t>
      </w:r>
      <w:r w:rsidRPr="00715DE3">
        <w:t>2) bezorgen aan de 6 betrokken ministers</w:t>
      </w:r>
      <w:r w:rsidRPr="00715DE3">
        <w:rPr>
          <w:rStyle w:val="FootnoteReference"/>
          <w:lang w:val="fr-BE"/>
        </w:rPr>
        <w:footnoteReference w:id="5"/>
      </w:r>
      <w:r w:rsidRPr="00715DE3">
        <w:t xml:space="preserve">. </w:t>
      </w:r>
    </w:p>
    <w:p w14:paraId="2C7B81B0" w14:textId="77777777" w:rsidR="00034129" w:rsidRPr="00715DE3" w:rsidRDefault="00034129" w:rsidP="00034129">
      <w:pPr>
        <w:pStyle w:val="Numberednormal"/>
        <w:numPr>
          <w:ilvl w:val="0"/>
          <w:numId w:val="0"/>
        </w:numPr>
        <w:ind w:left="360"/>
      </w:pPr>
    </w:p>
    <w:p w14:paraId="192B126F" w14:textId="5FE34A7E" w:rsidR="00034129" w:rsidRPr="00715DE3" w:rsidRDefault="00034129" w:rsidP="00034129">
      <w:pPr>
        <w:pStyle w:val="Numberednormal"/>
        <w:numPr>
          <w:ilvl w:val="0"/>
          <w:numId w:val="6"/>
        </w:numPr>
      </w:pPr>
      <w:r w:rsidRPr="00715DE3">
        <w:t xml:space="preserve">Het BIPT zal op verzoek een betrokken ministerkabinet toestaan om de andere documenten in te kijken. Wat betreft de verzoeken om machtiging is het BIPT immers gemachtigd om aan de betrokken ministeriële kabinetten vertrouwelijke informatie mee te delen die in het door de operatoren verstrekte dossier staat. De meegedeelde vertrouwelijke informatie zal evenwel worden beschermd </w:t>
      </w:r>
      <w:proofErr w:type="gramStart"/>
      <w:r w:rsidRPr="00715DE3">
        <w:t>krachtens</w:t>
      </w:r>
      <w:proofErr w:type="gramEnd"/>
      <w:r w:rsidRPr="00715DE3">
        <w:t xml:space="preserve"> artikel 105, § 7, van de wet van 13 juni 2005 betreffende de elektronische communicatie, dat het volgende bepaalt: </w:t>
      </w:r>
    </w:p>
    <w:p w14:paraId="246EE978" w14:textId="77777777" w:rsidR="00034129" w:rsidRPr="00715DE3" w:rsidRDefault="00034129" w:rsidP="00034129">
      <w:pPr>
        <w:pStyle w:val="ListParagraph"/>
        <w:numPr>
          <w:ilvl w:val="0"/>
          <w:numId w:val="0"/>
        </w:numPr>
        <w:ind w:left="717"/>
        <w:rPr>
          <w:i/>
          <w:iCs/>
          <w:lang w:val="nl-BE"/>
        </w:rPr>
      </w:pPr>
      <w:r w:rsidRPr="00715DE3">
        <w:rPr>
          <w:i/>
          <w:lang w:val="nl-BE"/>
        </w:rPr>
        <w:t>“[eerste lid]</w:t>
      </w:r>
    </w:p>
    <w:p w14:paraId="4DFF5C76" w14:textId="77777777" w:rsidR="00034129" w:rsidRPr="00715DE3" w:rsidRDefault="00034129" w:rsidP="00034129">
      <w:pPr>
        <w:pStyle w:val="ListParagraph"/>
        <w:numPr>
          <w:ilvl w:val="0"/>
          <w:numId w:val="0"/>
        </w:numPr>
        <w:ind w:left="717"/>
        <w:rPr>
          <w:i/>
          <w:iCs/>
          <w:lang w:val="nl-BE"/>
        </w:rPr>
      </w:pPr>
      <w:r w:rsidRPr="00715DE3">
        <w:rPr>
          <w:i/>
          <w:lang w:val="nl-BE"/>
        </w:rPr>
        <w:t>“[tweede lid]</w:t>
      </w:r>
    </w:p>
    <w:p w14:paraId="619B6A84" w14:textId="77777777" w:rsidR="0001600F" w:rsidRPr="00715DE3" w:rsidRDefault="00034129" w:rsidP="00034129">
      <w:pPr>
        <w:pStyle w:val="ListParagraph"/>
        <w:numPr>
          <w:ilvl w:val="0"/>
          <w:numId w:val="0"/>
        </w:numPr>
        <w:ind w:left="717"/>
        <w:rPr>
          <w:i/>
          <w:lang w:val="nl-BE"/>
        </w:rPr>
      </w:pPr>
      <w:r w:rsidRPr="00715DE3">
        <w:rPr>
          <w:i/>
          <w:lang w:val="nl-BE"/>
        </w:rPr>
        <w:t>Personen die een verzoek om machtiging of de herziening van een vroegere beslissing behandelen, mogen aan openbare besturen die zij in dat kader raadplegen vertrouwelijke informatie meedelen wanneer dat nodig is voor het vervullen van de taak die zij aan hen toevertrouwen.</w:t>
      </w:r>
      <w:r w:rsidRPr="00715DE3">
        <w:rPr>
          <w:i/>
          <w:lang w:val="nl-BE"/>
        </w:rPr>
        <w:br/>
        <w:t>   De in het derde lid bedoelde personen en openbare besturen mogen derden geen vertrouwelijke informatie meedelen waarvan zij kennis hebben in het kader van de toepassing van dit artikel, buiten de in de wet bepaalde uitzonderingen.</w:t>
      </w:r>
    </w:p>
    <w:p w14:paraId="588AF9BA" w14:textId="434E0516" w:rsidR="00034129" w:rsidRPr="00715DE3" w:rsidRDefault="00034129" w:rsidP="00034129">
      <w:pPr>
        <w:pStyle w:val="ListParagraph"/>
        <w:numPr>
          <w:ilvl w:val="0"/>
          <w:numId w:val="0"/>
        </w:numPr>
        <w:ind w:left="717"/>
        <w:rPr>
          <w:lang w:val="nl-BE"/>
        </w:rPr>
      </w:pPr>
      <w:r w:rsidRPr="00715DE3">
        <w:rPr>
          <w:i/>
          <w:lang w:val="nl-BE"/>
        </w:rPr>
        <w:t>   Deze vertrouwelijke informatie is die welke als zodanig wordt aangeduid door de persoon die ze heeft verstrekt, onverminderd artikel 23, paragraaf 3, van de wet van 17 januari 2003 met betrekking tot het statuut van de regulator van de Belgische post- en telecommunicatiesector.</w:t>
      </w:r>
      <w:r w:rsidRPr="00715DE3">
        <w:rPr>
          <w:i/>
          <w:lang w:val="nl-BE"/>
        </w:rPr>
        <w:br/>
        <w:t>   De schending van het in het vierde lid bedoelde verbod wordt bestraft met de straffen die zijn bepaald in artikel 458 van het Strafwetboek of met een van die straffen.”</w:t>
      </w:r>
    </w:p>
    <w:p w14:paraId="669B2CC2" w14:textId="77777777" w:rsidR="00034129" w:rsidRPr="00715DE3" w:rsidRDefault="00034129" w:rsidP="00034129">
      <w:pPr>
        <w:pStyle w:val="Heading1"/>
        <w:numPr>
          <w:ilvl w:val="0"/>
          <w:numId w:val="7"/>
        </w:numPr>
      </w:pPr>
      <w:bookmarkStart w:id="22" w:name="_Toc135085673"/>
      <w:proofErr w:type="spellStart"/>
      <w:r w:rsidRPr="00715DE3">
        <w:t>Aanvullende</w:t>
      </w:r>
      <w:proofErr w:type="spellEnd"/>
      <w:r w:rsidRPr="00715DE3">
        <w:t xml:space="preserve"> </w:t>
      </w:r>
      <w:proofErr w:type="spellStart"/>
      <w:r w:rsidRPr="00715DE3">
        <w:t>informatie</w:t>
      </w:r>
      <w:bookmarkEnd w:id="22"/>
      <w:proofErr w:type="spellEnd"/>
      <w:r w:rsidRPr="00715DE3">
        <w:t xml:space="preserve">  </w:t>
      </w:r>
    </w:p>
    <w:p w14:paraId="6A1106A9" w14:textId="77777777" w:rsidR="00034129" w:rsidRPr="00715DE3" w:rsidRDefault="00034129" w:rsidP="00034129">
      <w:pPr>
        <w:pStyle w:val="Numberednormal"/>
        <w:numPr>
          <w:ilvl w:val="0"/>
          <w:numId w:val="6"/>
        </w:numPr>
        <w:rPr>
          <w:szCs w:val="20"/>
        </w:rPr>
      </w:pPr>
      <w:r w:rsidRPr="00715DE3">
        <w:t xml:space="preserve">Nadat de verzoeker zijn dossier bij het BIPT heeft ingediend, zullen aanvullende inlichtingen of documenten kunnen opgevraagd worden </w:t>
      </w:r>
      <w:proofErr w:type="gramStart"/>
      <w:r w:rsidRPr="00715DE3">
        <w:t>krachtens</w:t>
      </w:r>
      <w:proofErr w:type="gramEnd"/>
      <w:r w:rsidRPr="00715DE3">
        <w:t xml:space="preserve"> artikel 105, § 3, derde lid, van de wet betreffende de elektronische communicatie:</w:t>
      </w:r>
      <w:r w:rsidRPr="00715DE3">
        <w:rPr>
          <w:color w:val="000000"/>
        </w:rPr>
        <w:t xml:space="preserve"> “</w:t>
      </w:r>
      <w:r w:rsidRPr="00715DE3">
        <w:rPr>
          <w:i/>
          <w:color w:val="000000"/>
        </w:rPr>
        <w:t>De betrokken ministers, het Instituut en de inlichtingen- en veiligheidsdiensten kunnen informatie of aanvullende documenten vragen aan de verzoeker of aan iedere persoon die op nuttige wijze kan bijdragen tot hun informatie.</w:t>
      </w:r>
      <w:r w:rsidRPr="00715DE3">
        <w:rPr>
          <w:color w:val="000000"/>
        </w:rPr>
        <w:t xml:space="preserve">” </w:t>
      </w:r>
    </w:p>
    <w:p w14:paraId="2A3968B9" w14:textId="77777777" w:rsidR="00034129" w:rsidRPr="00715DE3" w:rsidRDefault="00034129" w:rsidP="00034129">
      <w:pPr>
        <w:pStyle w:val="Numberednormal"/>
        <w:numPr>
          <w:ilvl w:val="0"/>
          <w:numId w:val="0"/>
        </w:numPr>
        <w:ind w:left="360"/>
        <w:rPr>
          <w:szCs w:val="20"/>
        </w:rPr>
      </w:pPr>
    </w:p>
    <w:p w14:paraId="77734730" w14:textId="77777777" w:rsidR="00034129" w:rsidRPr="00715DE3" w:rsidRDefault="00034129" w:rsidP="00034129">
      <w:pPr>
        <w:pStyle w:val="Numberednormal"/>
        <w:numPr>
          <w:ilvl w:val="0"/>
          <w:numId w:val="6"/>
        </w:numPr>
        <w:rPr>
          <w:szCs w:val="20"/>
        </w:rPr>
      </w:pPr>
      <w:r w:rsidRPr="00715DE3">
        <w:t>Het BIPT zou bijvoorbeeld aan de verzoeker de documenten of inlichtingen kunnen vragen die ontbreken in zijn dossier.</w:t>
      </w:r>
    </w:p>
    <w:p w14:paraId="1C7EEF4E" w14:textId="77777777" w:rsidR="00034129" w:rsidRPr="00715DE3" w:rsidRDefault="00034129" w:rsidP="00034129">
      <w:pPr>
        <w:pStyle w:val="Numberednormal"/>
        <w:numPr>
          <w:ilvl w:val="0"/>
          <w:numId w:val="0"/>
        </w:numPr>
        <w:ind w:left="360"/>
        <w:rPr>
          <w:szCs w:val="20"/>
        </w:rPr>
      </w:pPr>
    </w:p>
    <w:p w14:paraId="4CAF4858" w14:textId="77777777" w:rsidR="00034129" w:rsidRPr="00715DE3" w:rsidRDefault="00034129" w:rsidP="00034129">
      <w:pPr>
        <w:pStyle w:val="Numberednormal"/>
        <w:numPr>
          <w:ilvl w:val="0"/>
          <w:numId w:val="6"/>
        </w:numPr>
      </w:pPr>
      <w:r w:rsidRPr="00715DE3">
        <w:t xml:space="preserve">Een verzoek om aanvullende informatie vanwege het BIPT of de inlichtingen- en veiligheidsdiensten houdt de opschorting in van de termijn van 3 maanden om aan de verzoeker een beslissing mee te delen (machtiging) of een ontwerpbeslissing (weigering van machtiging of machtiging met voorwaarden). Het BIPT of de inlichtingen- en veiligheidsdiensten zal (zullen) de verzoeker inlichten </w:t>
      </w:r>
      <w:r w:rsidRPr="00715DE3">
        <w:lastRenderedPageBreak/>
        <w:t xml:space="preserve">over het feit dat een verzoek om informatie werd gedaan (opschorting van de termijn van drie maanden) en over het einde van de opschorting van de termijn van drie maanden. </w:t>
      </w:r>
    </w:p>
    <w:p w14:paraId="7B773CF8" w14:textId="77777777" w:rsidR="00034129" w:rsidRPr="00715DE3" w:rsidRDefault="00034129" w:rsidP="00034129">
      <w:pPr>
        <w:pStyle w:val="Heading1"/>
        <w:numPr>
          <w:ilvl w:val="0"/>
          <w:numId w:val="7"/>
        </w:numPr>
        <w:rPr>
          <w:lang w:val="nl-BE"/>
        </w:rPr>
      </w:pPr>
      <w:bookmarkStart w:id="23" w:name="_Toc135085674"/>
      <w:r w:rsidRPr="00715DE3">
        <w:rPr>
          <w:lang w:val="nl-BE"/>
        </w:rPr>
        <w:t>Advies van het BIPT en de inlichtingen- en veiligheidsdiensten</w:t>
      </w:r>
      <w:bookmarkEnd w:id="23"/>
    </w:p>
    <w:p w14:paraId="286AF09A" w14:textId="5EEC8503" w:rsidR="00034129" w:rsidRPr="00715DE3" w:rsidRDefault="00034129" w:rsidP="00034129">
      <w:pPr>
        <w:pStyle w:val="Numberednormal"/>
        <w:numPr>
          <w:ilvl w:val="0"/>
          <w:numId w:val="6"/>
        </w:numPr>
      </w:pPr>
      <w:r w:rsidRPr="00715DE3">
        <w:t xml:space="preserve">Het BIPT en de inlichtingen- en veiligheidsdiensten zullen aan de betrokken ministers een advies verstrekken over het verzoek om machtiging. </w:t>
      </w:r>
    </w:p>
    <w:p w14:paraId="20B5CC5D" w14:textId="77777777" w:rsidR="00056074" w:rsidRPr="00715DE3" w:rsidRDefault="00056074" w:rsidP="00056074">
      <w:pPr>
        <w:pStyle w:val="Numberednormal"/>
        <w:numPr>
          <w:ilvl w:val="0"/>
          <w:numId w:val="0"/>
        </w:numPr>
        <w:ind w:left="360"/>
      </w:pPr>
    </w:p>
    <w:p w14:paraId="6C98B6D3" w14:textId="448996DF" w:rsidR="00430C11" w:rsidRPr="00715DE3" w:rsidRDefault="00430C11" w:rsidP="00430C11">
      <w:pPr>
        <w:pStyle w:val="Numberednormal"/>
        <w:numPr>
          <w:ilvl w:val="0"/>
          <w:numId w:val="6"/>
        </w:numPr>
        <w:rPr>
          <w:lang w:val="fr-BE"/>
        </w:rPr>
      </w:pPr>
      <w:r w:rsidRPr="00715DE3">
        <w:t xml:space="preserve">De adviezen van het BIPT en van de inlichtingen- en veiligheidsdiensten maken deel uit van het </w:t>
      </w:r>
      <w:r w:rsidRPr="00715DE3">
        <w:rPr>
          <w:rFonts w:cs="Tahoma"/>
          <w:szCs w:val="20"/>
        </w:rPr>
        <w:t>administratief dossier bij de ministeriële besluiten, behalve wanneer zij informatie bevatten die geclassificeerd</w:t>
      </w:r>
      <w:r w:rsidR="00534FD3" w:rsidRPr="00715DE3">
        <w:rPr>
          <w:rFonts w:cs="Tahoma"/>
          <w:szCs w:val="20"/>
        </w:rPr>
        <w:t xml:space="preserve"> is</w:t>
      </w:r>
      <w:r w:rsidRPr="00715DE3">
        <w:rPr>
          <w:rFonts w:cs="Tahoma"/>
          <w:szCs w:val="20"/>
        </w:rPr>
        <w:t xml:space="preserve"> in de zin van de wet van 11 december 1998 </w:t>
      </w:r>
      <w:proofErr w:type="gramStart"/>
      <w:r w:rsidRPr="00715DE3">
        <w:rPr>
          <w:rFonts w:cs="Tahoma"/>
          <w:szCs w:val="20"/>
        </w:rPr>
        <w:t>betreffende</w:t>
      </w:r>
      <w:proofErr w:type="gramEnd"/>
      <w:r w:rsidRPr="00715DE3">
        <w:rPr>
          <w:rFonts w:cs="Tahoma"/>
          <w:szCs w:val="20"/>
        </w:rPr>
        <w:t xml:space="preserve"> de classificatie en de veiligheidsmachtigingen, veiligheidsattesten en veiligheidsadviezen. </w:t>
      </w:r>
      <w:r w:rsidR="00595B7C" w:rsidRPr="00715DE3">
        <w:t>Desgevallend kan een niet-geclassificeerde versie van hetzelfde advies aan het administratieve dossier worden toegevoegd.</w:t>
      </w:r>
      <w:r w:rsidRPr="00715DE3">
        <w:rPr>
          <w:rStyle w:val="cf01"/>
          <w:rFonts w:ascii="Tahoma" w:hAnsi="Tahoma" w:cs="Tahoma"/>
          <w:sz w:val="20"/>
          <w:szCs w:val="20"/>
        </w:rPr>
        <w:t xml:space="preserve"> </w:t>
      </w:r>
      <w:r w:rsidRPr="00715DE3">
        <w:rPr>
          <w:rFonts w:cs="Tahoma"/>
          <w:szCs w:val="20"/>
          <w:lang w:val="fr-BE"/>
        </w:rPr>
        <w:t xml:space="preserve">De </w:t>
      </w:r>
      <w:proofErr w:type="spellStart"/>
      <w:r w:rsidRPr="00715DE3">
        <w:rPr>
          <w:rFonts w:cs="Tahoma"/>
          <w:szCs w:val="20"/>
          <w:lang w:val="fr-BE"/>
        </w:rPr>
        <w:t>aanvrager</w:t>
      </w:r>
      <w:proofErr w:type="spellEnd"/>
      <w:r w:rsidRPr="00715DE3">
        <w:rPr>
          <w:rFonts w:cs="Tahoma"/>
          <w:szCs w:val="20"/>
          <w:lang w:val="fr-BE"/>
        </w:rPr>
        <w:t xml:space="preserve"> kan het </w:t>
      </w:r>
      <w:proofErr w:type="spellStart"/>
      <w:r w:rsidRPr="00715DE3">
        <w:rPr>
          <w:rFonts w:cs="Tahoma"/>
          <w:szCs w:val="20"/>
          <w:lang w:val="fr-BE"/>
        </w:rPr>
        <w:t>administratief</w:t>
      </w:r>
      <w:proofErr w:type="spellEnd"/>
      <w:r w:rsidRPr="00715DE3">
        <w:rPr>
          <w:rFonts w:cs="Tahoma"/>
          <w:szCs w:val="20"/>
          <w:lang w:val="fr-BE"/>
        </w:rPr>
        <w:t xml:space="preserve"> dossier </w:t>
      </w:r>
      <w:proofErr w:type="spellStart"/>
      <w:r w:rsidRPr="00715DE3">
        <w:rPr>
          <w:rFonts w:cs="Tahoma"/>
          <w:szCs w:val="20"/>
          <w:lang w:val="fr-BE"/>
        </w:rPr>
        <w:t>steeds</w:t>
      </w:r>
      <w:proofErr w:type="spellEnd"/>
      <w:r w:rsidRPr="00715DE3">
        <w:rPr>
          <w:rFonts w:cs="Tahoma"/>
          <w:szCs w:val="20"/>
          <w:lang w:val="fr-BE"/>
        </w:rPr>
        <w:t xml:space="preserve"> </w:t>
      </w:r>
      <w:proofErr w:type="spellStart"/>
      <w:r w:rsidRPr="00715DE3">
        <w:rPr>
          <w:rFonts w:cs="Tahoma"/>
          <w:szCs w:val="20"/>
          <w:lang w:val="fr-BE"/>
        </w:rPr>
        <w:t>inkijken</w:t>
      </w:r>
      <w:proofErr w:type="spellEnd"/>
      <w:r w:rsidRPr="00715DE3">
        <w:rPr>
          <w:rFonts w:cs="Tahoma"/>
          <w:szCs w:val="20"/>
          <w:lang w:val="fr-BE"/>
        </w:rPr>
        <w:t>.</w:t>
      </w:r>
    </w:p>
    <w:p w14:paraId="299D1D30" w14:textId="77777777" w:rsidR="00034129" w:rsidRPr="00715DE3" w:rsidRDefault="00034129" w:rsidP="00034129">
      <w:pPr>
        <w:pStyle w:val="Numberednormal"/>
        <w:numPr>
          <w:ilvl w:val="0"/>
          <w:numId w:val="0"/>
        </w:numPr>
        <w:ind w:left="360"/>
        <w:rPr>
          <w:lang w:val="fr-BE"/>
        </w:rPr>
      </w:pPr>
    </w:p>
    <w:p w14:paraId="0B757ABB" w14:textId="77777777" w:rsidR="00034129" w:rsidRPr="00715DE3" w:rsidRDefault="00034129" w:rsidP="00034129">
      <w:pPr>
        <w:pStyle w:val="Numberednormal"/>
        <w:numPr>
          <w:ilvl w:val="0"/>
          <w:numId w:val="6"/>
        </w:numPr>
      </w:pPr>
      <w:r w:rsidRPr="00715DE3">
        <w:t xml:space="preserve">Deze adviezen zullen niet gepubliceerd worden. </w:t>
      </w:r>
    </w:p>
    <w:p w14:paraId="34F20591" w14:textId="77777777" w:rsidR="00034129" w:rsidRPr="00715DE3" w:rsidRDefault="00034129" w:rsidP="00034129">
      <w:pPr>
        <w:pStyle w:val="Heading1"/>
        <w:numPr>
          <w:ilvl w:val="0"/>
          <w:numId w:val="7"/>
        </w:numPr>
        <w:rPr>
          <w:lang w:val="nl-BE"/>
        </w:rPr>
      </w:pPr>
      <w:bookmarkStart w:id="24" w:name="_Toc135085675"/>
      <w:r w:rsidRPr="00715DE3">
        <w:rPr>
          <w:lang w:val="nl-BE"/>
        </w:rPr>
        <w:t>Aanvullende informatie wanneer wordt beschouwd dat de producent van netwerkelementen een hoog risico vormt (enkel van toepassing wanneer de verzoeker een MNO is)</w:t>
      </w:r>
      <w:bookmarkEnd w:id="24"/>
      <w:r w:rsidRPr="00715DE3">
        <w:rPr>
          <w:lang w:val="nl-BE"/>
        </w:rPr>
        <w:t xml:space="preserve"> </w:t>
      </w:r>
    </w:p>
    <w:p w14:paraId="43CC56E7" w14:textId="77777777" w:rsidR="00034129" w:rsidRPr="00715DE3" w:rsidRDefault="00034129" w:rsidP="00034129">
      <w:pPr>
        <w:pStyle w:val="Numberednormal"/>
        <w:numPr>
          <w:ilvl w:val="0"/>
          <w:numId w:val="6"/>
        </w:numPr>
      </w:pPr>
      <w:r w:rsidRPr="00715DE3">
        <w:t xml:space="preserve">Er zal aanvullende informatie kunnen gevraagd worden aan de MNO </w:t>
      </w:r>
      <w:proofErr w:type="gramStart"/>
      <w:r w:rsidRPr="00715DE3">
        <w:t>krachtens</w:t>
      </w:r>
      <w:proofErr w:type="gramEnd"/>
      <w:r w:rsidRPr="00715DE3">
        <w:t xml:space="preserve"> artikel 10, § 2, van het koninklijk besluit betreffende de ministeriële machtiging: </w:t>
      </w:r>
    </w:p>
    <w:p w14:paraId="112EC3D9" w14:textId="77777777" w:rsidR="00034129" w:rsidRPr="00715DE3" w:rsidRDefault="00034129" w:rsidP="00034129">
      <w:pPr>
        <w:pStyle w:val="Numberednormal"/>
        <w:numPr>
          <w:ilvl w:val="0"/>
          <w:numId w:val="0"/>
        </w:numPr>
        <w:ind w:left="1080"/>
        <w:rPr>
          <w:rFonts w:cs="Tahoma"/>
          <w:i/>
          <w:iCs/>
          <w:szCs w:val="20"/>
        </w:rPr>
      </w:pPr>
      <w:r w:rsidRPr="00715DE3">
        <w:t>“</w:t>
      </w:r>
      <w:r w:rsidRPr="00715DE3">
        <w:rPr>
          <w:i/>
        </w:rPr>
        <w:t>§ 2. Wanneer een MNO ervan op de hoogte wordt gebracht dat een producent van netwerkelementen op wie hij van plan is een beroep te doen (verzoek om voorafgaande machtiging) of op wie hij een beroep doet (verzoek om regularisatie) wordt beschouwd als een producent van netwerkelementen die een hoog risico vormt, vervolledigt hij zijn dossier met</w:t>
      </w:r>
    </w:p>
    <w:p w14:paraId="4A1C0CD6" w14:textId="77777777" w:rsidR="00034129" w:rsidRPr="00715DE3" w:rsidRDefault="00034129" w:rsidP="56D1000B">
      <w:pPr>
        <w:pStyle w:val="Numberednormal"/>
        <w:numPr>
          <w:ilvl w:val="0"/>
          <w:numId w:val="0"/>
        </w:numPr>
        <w:ind w:left="1080"/>
        <w:rPr>
          <w:rFonts w:cs="Tahoma"/>
          <w:i/>
          <w:iCs/>
        </w:rPr>
      </w:pPr>
      <w:r w:rsidRPr="00715DE3">
        <w:rPr>
          <w:i/>
          <w:iCs/>
        </w:rPr>
        <w:t>1° de locatie van de sites van het aggregatienetwerk van het transportnetwerk, alsook van de sites van het radiotoegangsnetwerk waarin hij van plan is actieve elementen die een hoog risico vormen, te gebruiken (verzoek om voorafgaande machtiging) of waarin hij ze gebruikt (verzoek om regularisatie) en, voor de sites van het radiotoegangsnetwerk, de zones gedekt door deze sites, en;</w:t>
      </w:r>
    </w:p>
    <w:p w14:paraId="31253FA4" w14:textId="77777777" w:rsidR="00034129" w:rsidRPr="00715DE3" w:rsidRDefault="00034129" w:rsidP="00034129">
      <w:pPr>
        <w:pStyle w:val="Numberednormal"/>
        <w:numPr>
          <w:ilvl w:val="0"/>
          <w:numId w:val="0"/>
        </w:numPr>
        <w:ind w:left="1080"/>
        <w:rPr>
          <w:i/>
        </w:rPr>
      </w:pPr>
      <w:r w:rsidRPr="00715DE3">
        <w:rPr>
          <w:i/>
        </w:rPr>
        <w:t>2° gedetailleerde uitleg over de inachtneming van het percentage van 35% bedoeld in de artikelen 6, § 2, en 7, § 1.”</w:t>
      </w:r>
    </w:p>
    <w:p w14:paraId="0F1B5EE2" w14:textId="77777777" w:rsidR="00F53406" w:rsidRPr="00715DE3" w:rsidRDefault="00F53406" w:rsidP="00F53406">
      <w:pPr>
        <w:pStyle w:val="Numberednormal"/>
        <w:numPr>
          <w:ilvl w:val="0"/>
          <w:numId w:val="0"/>
        </w:numPr>
        <w:ind w:left="360" w:hanging="360"/>
        <w:rPr>
          <w:i/>
        </w:rPr>
      </w:pPr>
    </w:p>
    <w:p w14:paraId="162069D5" w14:textId="006CF010" w:rsidR="00F53406" w:rsidRPr="00715DE3" w:rsidRDefault="00F53406" w:rsidP="00056074">
      <w:pPr>
        <w:pStyle w:val="Numberednormal"/>
      </w:pPr>
      <w:r w:rsidRPr="00715DE3">
        <w:t xml:space="preserve">De locatie </w:t>
      </w:r>
      <w:r w:rsidR="007C5FB6" w:rsidRPr="00715DE3">
        <w:t xml:space="preserve">van de sites </w:t>
      </w:r>
      <w:r w:rsidRPr="00715DE3">
        <w:t xml:space="preserve">moet vermeld worden op basis van het adres </w:t>
      </w:r>
      <w:r w:rsidR="007C5FB6" w:rsidRPr="00715DE3">
        <w:t>(en niet op basis van</w:t>
      </w:r>
      <w:r w:rsidR="008044C7" w:rsidRPr="00715DE3">
        <w:t xml:space="preserve"> de</w:t>
      </w:r>
      <w:r w:rsidR="007C5FB6" w:rsidRPr="00715DE3">
        <w:t xml:space="preserve"> G</w:t>
      </w:r>
      <w:r w:rsidR="008044C7" w:rsidRPr="00715DE3">
        <w:t>P</w:t>
      </w:r>
      <w:r w:rsidR="007C5FB6" w:rsidRPr="00715DE3">
        <w:t>S</w:t>
      </w:r>
      <w:r w:rsidR="008044C7" w:rsidRPr="00715DE3">
        <w:t>-</w:t>
      </w:r>
      <w:r w:rsidR="007C5FB6" w:rsidRPr="00715DE3">
        <w:t xml:space="preserve"> </w:t>
      </w:r>
      <w:r w:rsidR="008044C7" w:rsidRPr="00715DE3">
        <w:t>coördinaten</w:t>
      </w:r>
      <w:r w:rsidR="007C5FB6" w:rsidRPr="00715DE3">
        <w:t xml:space="preserve">). </w:t>
      </w:r>
    </w:p>
    <w:p w14:paraId="7D073E82" w14:textId="77777777" w:rsidR="00034129" w:rsidRPr="00715DE3" w:rsidRDefault="00034129" w:rsidP="00034129">
      <w:pPr>
        <w:pStyle w:val="Heading1"/>
        <w:numPr>
          <w:ilvl w:val="0"/>
          <w:numId w:val="7"/>
        </w:numPr>
        <w:rPr>
          <w:lang w:val="nl-BE"/>
        </w:rPr>
      </w:pPr>
      <w:bookmarkStart w:id="25" w:name="_Toc135085676"/>
      <w:r w:rsidRPr="00715DE3">
        <w:rPr>
          <w:lang w:val="nl-BE"/>
        </w:rPr>
        <w:t>Hoorzitting van de verzoeker en verstrekking van zijn schriftelijke opmerkingen</w:t>
      </w:r>
      <w:bookmarkEnd w:id="25"/>
      <w:r w:rsidRPr="00715DE3">
        <w:rPr>
          <w:lang w:val="nl-BE"/>
        </w:rPr>
        <w:t xml:space="preserve"> </w:t>
      </w:r>
    </w:p>
    <w:p w14:paraId="19F5E974" w14:textId="77777777" w:rsidR="00034129" w:rsidRPr="00715DE3" w:rsidRDefault="00034129" w:rsidP="00034129">
      <w:pPr>
        <w:pStyle w:val="Numberednormal"/>
        <w:numPr>
          <w:ilvl w:val="0"/>
          <w:numId w:val="6"/>
        </w:numPr>
      </w:pPr>
      <w:r w:rsidRPr="00715DE3">
        <w:t xml:space="preserve">Artikel 105, § 5, van de wet </w:t>
      </w:r>
      <w:proofErr w:type="gramStart"/>
      <w:r w:rsidRPr="00715DE3">
        <w:t>betreffende</w:t>
      </w:r>
      <w:proofErr w:type="gramEnd"/>
      <w:r w:rsidRPr="00715DE3">
        <w:t xml:space="preserve"> de elektronische communicatie bepaalt het volgende: </w:t>
      </w:r>
    </w:p>
    <w:p w14:paraId="37EC8A23" w14:textId="77777777" w:rsidR="008B7C3A" w:rsidRPr="00715DE3" w:rsidRDefault="00034129" w:rsidP="00034129">
      <w:pPr>
        <w:pStyle w:val="Numberednormal"/>
        <w:numPr>
          <w:ilvl w:val="0"/>
          <w:numId w:val="0"/>
        </w:numPr>
        <w:ind w:left="360"/>
        <w:rPr>
          <w:i/>
          <w:color w:val="000000"/>
        </w:rPr>
      </w:pPr>
      <w:r w:rsidRPr="00715DE3">
        <w:rPr>
          <w:color w:val="000000"/>
        </w:rPr>
        <w:t>“</w:t>
      </w:r>
      <w:r w:rsidRPr="00715DE3">
        <w:rPr>
          <w:i/>
          <w:color w:val="000000"/>
        </w:rPr>
        <w:t>§ 5. Wanneer de betrokken ministers van plan zijn de machtiging te weigeren, daar voorwaarden aan te koppelen of hun beslissing te herzien, beschikt de verzoeker, na de ontwerpbeslissing te hebben ontvangen, over achtentwintig dagen tijd om zijn schriftelijke opmerkingen voor te leggen.</w:t>
      </w:r>
      <w:r w:rsidRPr="00715DE3">
        <w:rPr>
          <w:i/>
          <w:color w:val="000000"/>
        </w:rPr>
        <w:br/>
        <w:t>   De verzoeker wordt de kans geboden om te worden gehoord. Hij mag zich laten vergezellen door de technische of juridische raadgevers van zijn keuze.</w:t>
      </w:r>
    </w:p>
    <w:p w14:paraId="0A09D418" w14:textId="7DDE34ED" w:rsidR="00034129" w:rsidRPr="00715DE3" w:rsidRDefault="00034129" w:rsidP="00034129">
      <w:pPr>
        <w:pStyle w:val="Numberednormal"/>
        <w:numPr>
          <w:ilvl w:val="0"/>
          <w:numId w:val="0"/>
        </w:numPr>
        <w:ind w:left="360"/>
        <w:rPr>
          <w:i/>
          <w:color w:val="000000"/>
        </w:rPr>
      </w:pPr>
      <w:r w:rsidRPr="00715DE3">
        <w:rPr>
          <w:i/>
          <w:color w:val="000000"/>
        </w:rPr>
        <w:t>   De betrokken ministers kunnen zich laten vertegenwoordigen door het bestuur van hun keuze. Het Instituut en de inlichtingen- en veiligheidsdiensten kunnen aan de hoorzitting deelnemen.”</w:t>
      </w:r>
    </w:p>
    <w:p w14:paraId="14606C18" w14:textId="2E8263BB" w:rsidR="00F1629D" w:rsidRPr="00715DE3" w:rsidRDefault="00F1629D" w:rsidP="00F1629D">
      <w:pPr>
        <w:pStyle w:val="Heading1"/>
      </w:pPr>
      <w:bookmarkStart w:id="26" w:name="_Toc135085677"/>
      <w:proofErr w:type="spellStart"/>
      <w:r w:rsidRPr="00715DE3">
        <w:t>Eindbeslissing</w:t>
      </w:r>
      <w:bookmarkEnd w:id="26"/>
      <w:proofErr w:type="spellEnd"/>
      <w:r w:rsidRPr="00715DE3">
        <w:t xml:space="preserve"> </w:t>
      </w:r>
    </w:p>
    <w:p w14:paraId="592CF673" w14:textId="2325F08A" w:rsidR="00F53406" w:rsidRPr="00715DE3" w:rsidRDefault="008044C7" w:rsidP="00F1629D">
      <w:pPr>
        <w:pStyle w:val="Numberednormal"/>
      </w:pPr>
      <w:r w:rsidRPr="00715DE3">
        <w:t>De betrokken ministers zullen een machtiging onder voorwaarden verlenen indien er</w:t>
      </w:r>
      <w:r w:rsidR="00595E58" w:rsidRPr="00715DE3">
        <w:t xml:space="preserve"> in het desbetreffende 5G-netwerk</w:t>
      </w:r>
      <w:r w:rsidRPr="00715DE3">
        <w:t xml:space="preserve"> actieve elementen </w:t>
      </w:r>
      <w:r w:rsidR="00595E58" w:rsidRPr="00715DE3">
        <w:t xml:space="preserve">aanwezig zijn </w:t>
      </w:r>
      <w:r w:rsidRPr="00715DE3">
        <w:t xml:space="preserve">die een hoog risico vormen, die </w:t>
      </w:r>
      <w:r w:rsidR="00595E58" w:rsidRPr="00715DE3">
        <w:t xml:space="preserve">uiterlijk </w:t>
      </w:r>
      <w:r w:rsidR="00595E58" w:rsidRPr="00715DE3">
        <w:lastRenderedPageBreak/>
        <w:t>tegen</w:t>
      </w:r>
      <w:r w:rsidRPr="00715DE3">
        <w:t xml:space="preserve"> het einde van de</w:t>
      </w:r>
      <w:r w:rsidR="00595E58" w:rsidRPr="00715DE3">
        <w:t xml:space="preserve"> in het </w:t>
      </w:r>
      <w:proofErr w:type="gramStart"/>
      <w:r w:rsidR="00595E58" w:rsidRPr="00715DE3">
        <w:t>KB machtigingen</w:t>
      </w:r>
      <w:proofErr w:type="gramEnd"/>
      <w:r w:rsidR="00595E58" w:rsidRPr="00715DE3">
        <w:t xml:space="preserve"> voorziene</w:t>
      </w:r>
      <w:r w:rsidRPr="00715DE3">
        <w:t xml:space="preserve"> overgangsperiodes uit het 5G-netwerk verwijderd moeten zijn.</w:t>
      </w:r>
      <w:r w:rsidR="00F53406" w:rsidRPr="00715DE3">
        <w:t xml:space="preserve"> </w:t>
      </w:r>
    </w:p>
    <w:p w14:paraId="77B2FE0F" w14:textId="4C46B074" w:rsidR="00F1629D" w:rsidRPr="00715DE3" w:rsidRDefault="00F1629D" w:rsidP="00F53406">
      <w:pPr>
        <w:pStyle w:val="Numberednormal"/>
        <w:numPr>
          <w:ilvl w:val="0"/>
          <w:numId w:val="0"/>
        </w:numPr>
        <w:ind w:left="360"/>
      </w:pPr>
    </w:p>
    <w:p w14:paraId="383BB7A9" w14:textId="0189A5EB" w:rsidR="00F1629D" w:rsidRPr="00715DE3" w:rsidRDefault="008044C7" w:rsidP="00F1629D">
      <w:pPr>
        <w:pStyle w:val="Numberednormal"/>
      </w:pPr>
      <w:r w:rsidRPr="00715DE3">
        <w:t xml:space="preserve">Tot aan het einde van de overgangsperiodes mag de betrokken onderneming die actieve elementen die een hoog risico vormen gewoon verder gebruiken, althans voor zover deze op grond van andere regelgeving </w:t>
      </w:r>
      <w:r w:rsidR="00877759" w:rsidRPr="00715DE3">
        <w:t>niet verboden zijn</w:t>
      </w:r>
      <w:r w:rsidRPr="00715DE3">
        <w:t>.</w:t>
      </w:r>
    </w:p>
    <w:p w14:paraId="02233B87" w14:textId="77777777" w:rsidR="00056074" w:rsidRPr="00715DE3" w:rsidRDefault="00056074" w:rsidP="00056074">
      <w:pPr>
        <w:pStyle w:val="Numberednormal"/>
        <w:numPr>
          <w:ilvl w:val="0"/>
          <w:numId w:val="0"/>
        </w:numPr>
        <w:ind w:left="360"/>
      </w:pPr>
    </w:p>
    <w:p w14:paraId="23BA0264" w14:textId="4F01642D" w:rsidR="00056074" w:rsidRPr="00715DE3" w:rsidRDefault="008044C7" w:rsidP="00056074">
      <w:pPr>
        <w:pStyle w:val="Numberednormal"/>
      </w:pPr>
      <w:r w:rsidRPr="00715DE3">
        <w:t>De betrokken ministers zullen hun beslissing</w:t>
      </w:r>
      <w:r w:rsidR="00193905" w:rsidRPr="00715DE3">
        <w:t xml:space="preserve"> moeten</w:t>
      </w:r>
      <w:r w:rsidRPr="00715DE3">
        <w:t xml:space="preserve"> motiveren in geval van weigering of wanneer er voorwaarden aan </w:t>
      </w:r>
      <w:r w:rsidR="00877759" w:rsidRPr="00715DE3">
        <w:t xml:space="preserve">de beslissing </w:t>
      </w:r>
      <w:r w:rsidRPr="00715DE3">
        <w:t>worden gekoppeld.</w:t>
      </w:r>
      <w:r w:rsidR="00056074" w:rsidRPr="00715DE3">
        <w:t xml:space="preserve"> </w:t>
      </w:r>
    </w:p>
    <w:p w14:paraId="361A651A" w14:textId="77777777" w:rsidR="00034129" w:rsidRPr="00715DE3" w:rsidRDefault="00034129" w:rsidP="00034129">
      <w:pPr>
        <w:pStyle w:val="Heading1"/>
        <w:numPr>
          <w:ilvl w:val="0"/>
          <w:numId w:val="7"/>
        </w:numPr>
        <w:rPr>
          <w:lang w:val="nl-BE"/>
        </w:rPr>
      </w:pPr>
      <w:bookmarkStart w:id="27" w:name="_Toc135085678"/>
      <w:r w:rsidRPr="00715DE3">
        <w:rPr>
          <w:lang w:val="nl-BE"/>
        </w:rPr>
        <w:t xml:space="preserve">Wijziging van een </w:t>
      </w:r>
      <w:proofErr w:type="gramStart"/>
      <w:r w:rsidRPr="00715DE3">
        <w:rPr>
          <w:lang w:val="nl-BE"/>
        </w:rPr>
        <w:t>reeds</w:t>
      </w:r>
      <w:proofErr w:type="gramEnd"/>
      <w:r w:rsidRPr="00715DE3">
        <w:rPr>
          <w:lang w:val="nl-BE"/>
        </w:rPr>
        <w:t xml:space="preserve"> ingediend dossier</w:t>
      </w:r>
      <w:bookmarkEnd w:id="27"/>
      <w:r w:rsidRPr="00715DE3">
        <w:rPr>
          <w:lang w:val="nl-BE"/>
        </w:rPr>
        <w:t xml:space="preserve"> </w:t>
      </w:r>
    </w:p>
    <w:p w14:paraId="2DA55BC1" w14:textId="77777777" w:rsidR="00034129" w:rsidRPr="00715DE3" w:rsidRDefault="00034129" w:rsidP="00034129">
      <w:pPr>
        <w:pStyle w:val="Numberednormal"/>
        <w:numPr>
          <w:ilvl w:val="0"/>
          <w:numId w:val="6"/>
        </w:numPr>
      </w:pPr>
      <w:r w:rsidRPr="00715DE3">
        <w:t xml:space="preserve">Er kunnen zich twee situaties voordoen: </w:t>
      </w:r>
    </w:p>
    <w:p w14:paraId="3BBDD5A1" w14:textId="77777777" w:rsidR="00034129" w:rsidRPr="00715DE3" w:rsidRDefault="00034129" w:rsidP="00034129">
      <w:pPr>
        <w:pStyle w:val="Numberednormal"/>
        <w:numPr>
          <w:ilvl w:val="0"/>
          <w:numId w:val="0"/>
        </w:numPr>
        <w:ind w:left="360" w:hanging="360"/>
      </w:pPr>
    </w:p>
    <w:p w14:paraId="7CB94525" w14:textId="77777777" w:rsidR="00034129" w:rsidRPr="00715DE3" w:rsidRDefault="00034129" w:rsidP="00034129">
      <w:pPr>
        <w:pStyle w:val="Numberednormal"/>
        <w:numPr>
          <w:ilvl w:val="0"/>
          <w:numId w:val="27"/>
        </w:numPr>
      </w:pPr>
      <w:r w:rsidRPr="00715DE3">
        <w:t xml:space="preserve">De verzoeker meldt aan het BIPT dat bepaalde informatie die is opgenomen in een eerder ingediend verzoek om machtiging (met name de gegevens betreffende de verzoeker of de contactpunten) niet (langer) correct zijn, zonder dat daarvoor een nieuwe machtiging moet worden aangevraagd; </w:t>
      </w:r>
    </w:p>
    <w:p w14:paraId="6A9E9D77" w14:textId="77777777" w:rsidR="00034129" w:rsidRPr="00715DE3" w:rsidRDefault="00034129" w:rsidP="00034129">
      <w:pPr>
        <w:pStyle w:val="Numberednormal"/>
        <w:numPr>
          <w:ilvl w:val="0"/>
          <w:numId w:val="27"/>
        </w:numPr>
      </w:pPr>
      <w:r w:rsidRPr="00715DE3">
        <w:t xml:space="preserve">De verzoeker moet een nieuwe machtiging vragen omdat er aanzienlijke wijzigingen werden doorgevoerd ten opzichte van het initiële verzoek. </w:t>
      </w:r>
    </w:p>
    <w:p w14:paraId="620BD657" w14:textId="77777777" w:rsidR="00034129" w:rsidRPr="00715DE3" w:rsidRDefault="00034129" w:rsidP="00034129">
      <w:pPr>
        <w:pStyle w:val="Numberednormal"/>
        <w:numPr>
          <w:ilvl w:val="0"/>
          <w:numId w:val="0"/>
        </w:numPr>
        <w:ind w:left="720"/>
      </w:pPr>
    </w:p>
    <w:p w14:paraId="7B2AA7F6" w14:textId="77777777" w:rsidR="00034129" w:rsidRPr="00715DE3" w:rsidRDefault="00034129" w:rsidP="00034129">
      <w:pPr>
        <w:pStyle w:val="Numberednormal"/>
        <w:numPr>
          <w:ilvl w:val="0"/>
          <w:numId w:val="6"/>
        </w:numPr>
      </w:pPr>
      <w:r w:rsidRPr="00715DE3">
        <w:t xml:space="preserve">Wat betreft het tweede voorbeeld, bepaalt artikel 11, tweede lid, van het koninklijk besluit </w:t>
      </w:r>
      <w:proofErr w:type="gramStart"/>
      <w:r w:rsidRPr="00715DE3">
        <w:t>betreffende</w:t>
      </w:r>
      <w:proofErr w:type="gramEnd"/>
      <w:r w:rsidRPr="00715DE3">
        <w:t xml:space="preserve"> de ministeriële machtiging het volgende: “</w:t>
      </w:r>
      <w:r w:rsidRPr="00715DE3">
        <w:rPr>
          <w:i/>
          <w:shd w:val="clear" w:color="auto" w:fill="FFFFFF"/>
        </w:rPr>
        <w:t>Wanneer een update een nieuw verzoek om machtiging vergt, moet de betrokken onderneming een volledig dossier indienen waarin ze duidelijk aangeeft welke wijzigingen werden aangebracht ten opzichte van het initiële dossier.</w:t>
      </w:r>
      <w:r w:rsidRPr="00715DE3">
        <w:rPr>
          <w:shd w:val="clear" w:color="auto" w:fill="FFFFFF"/>
        </w:rPr>
        <w:t>”</w:t>
      </w:r>
    </w:p>
    <w:p w14:paraId="2E7A78D6" w14:textId="77777777" w:rsidR="00034129" w:rsidRPr="00715DE3" w:rsidRDefault="00034129" w:rsidP="00034129">
      <w:pPr>
        <w:pStyle w:val="Numberednormal"/>
        <w:numPr>
          <w:ilvl w:val="0"/>
          <w:numId w:val="0"/>
        </w:numPr>
        <w:ind w:left="360"/>
      </w:pPr>
    </w:p>
    <w:p w14:paraId="2B7A75F2" w14:textId="77777777" w:rsidR="00034129" w:rsidRPr="00715DE3" w:rsidRDefault="00034129" w:rsidP="00034129">
      <w:pPr>
        <w:pStyle w:val="Numberednormal"/>
        <w:numPr>
          <w:ilvl w:val="0"/>
          <w:numId w:val="6"/>
        </w:numPr>
      </w:pPr>
      <w:r w:rsidRPr="00715DE3">
        <w:t xml:space="preserve">Om aan deze bepaling te beantwoorden en wanneer de verzoeker een verzoek om machtiging indient dat wijzigingen inhoudt ten opzichte van een eerder verzoek, wordt het volgende voorgesteld: </w:t>
      </w:r>
    </w:p>
    <w:p w14:paraId="140B9457" w14:textId="77777777" w:rsidR="00034129" w:rsidRPr="00715DE3" w:rsidRDefault="00034129" w:rsidP="00034129">
      <w:pPr>
        <w:pStyle w:val="ListParagraph"/>
        <w:rPr>
          <w:lang w:val="nl-BE"/>
        </w:rPr>
      </w:pPr>
      <w:r w:rsidRPr="00715DE3">
        <w:rPr>
          <w:lang w:val="nl-BE"/>
        </w:rPr>
        <w:t xml:space="preserve">in de brief waarin een nieuwe machtiging wordt gevraagd zullen de kenmerken worden opgenomen die zijn verstrekt in de ontvangstbevestiging van het BIPT voor het initiële verzoek om machtiging (het verzoek waarin wijzigingen worden aangebracht); </w:t>
      </w:r>
    </w:p>
    <w:p w14:paraId="1B4695C4" w14:textId="77777777" w:rsidR="00034129" w:rsidRPr="00715DE3" w:rsidRDefault="00034129" w:rsidP="00034129">
      <w:pPr>
        <w:pStyle w:val="ListParagraph"/>
        <w:rPr>
          <w:lang w:val="nl-BE"/>
        </w:rPr>
      </w:pPr>
      <w:r w:rsidRPr="00715DE3">
        <w:rPr>
          <w:lang w:val="nl-BE"/>
        </w:rPr>
        <w:t>de verzoeker zal aan het BIPT de gewijzigde, vervangen of toegevoegde fiches verstrekken; de versie van de gewijzigde fiche zal versie 2 (of v2) worden;</w:t>
      </w:r>
      <w:r w:rsidRPr="00715DE3">
        <w:rPr>
          <w:rStyle w:val="FootnoteReference"/>
        </w:rPr>
        <w:footnoteReference w:id="6"/>
      </w:r>
      <w:r w:rsidRPr="00715DE3">
        <w:rPr>
          <w:lang w:val="nl-BE"/>
        </w:rPr>
        <w:t xml:space="preserve"> </w:t>
      </w:r>
    </w:p>
    <w:p w14:paraId="7DEC309A" w14:textId="1BD82684" w:rsidR="00034129" w:rsidRPr="00715DE3" w:rsidRDefault="00034129" w:rsidP="00034129">
      <w:pPr>
        <w:pStyle w:val="ListParagraph"/>
        <w:rPr>
          <w:lang w:val="nl-BE"/>
        </w:rPr>
      </w:pPr>
      <w:r w:rsidRPr="00715DE3">
        <w:rPr>
          <w:lang w:val="nl-BE"/>
        </w:rPr>
        <w:t xml:space="preserve">de verzoeker zal aan het BIPT de inventaris bezorgen van de bijlagen bij de brief waarin de initiële machtiging werd gevraagd, door in die inventaris informatie toe te voegen betreffende de wijzigingen erin (gewijzigde, vervangen of nieuwe stukken), conform </w:t>
      </w:r>
      <w:r w:rsidR="00E872DF">
        <w:rPr>
          <w:lang w:val="nl-BE"/>
        </w:rPr>
        <w:t xml:space="preserve">deel </w:t>
      </w:r>
      <w:r w:rsidRPr="00715DE3">
        <w:rPr>
          <w:lang w:val="nl-BE"/>
        </w:rPr>
        <w:t xml:space="preserve">2 (“geconsolideerde versie van de inventaris”);  </w:t>
      </w:r>
    </w:p>
    <w:p w14:paraId="6911912F" w14:textId="76B60DFE" w:rsidR="00034129" w:rsidRPr="00715DE3" w:rsidRDefault="00034129" w:rsidP="00034129">
      <w:pPr>
        <w:pStyle w:val="ListParagraph"/>
        <w:rPr>
          <w:lang w:val="nl-BE"/>
        </w:rPr>
      </w:pPr>
      <w:r w:rsidRPr="00715DE3">
        <w:rPr>
          <w:lang w:val="nl-BE"/>
        </w:rPr>
        <w:t xml:space="preserve">de verzoeker zal aan het BIPT een inventaris bezorgen met enkel de stukken waarop het nieuwe verzoek betrekking heeft, volgens het inventarissjabloon beoogd in </w:t>
      </w:r>
      <w:r w:rsidR="00E872DF">
        <w:rPr>
          <w:lang w:val="nl-BE"/>
        </w:rPr>
        <w:t>deel 2</w:t>
      </w:r>
      <w:r w:rsidRPr="00715DE3">
        <w:rPr>
          <w:lang w:val="nl-BE"/>
        </w:rPr>
        <w:t xml:space="preserve"> maar zonder de zevende kolom van die inventaris in te vullen (inventaris van het nieuwe dossier). </w:t>
      </w:r>
    </w:p>
    <w:p w14:paraId="2595300E" w14:textId="77777777" w:rsidR="00EE6790" w:rsidRPr="00715DE3" w:rsidRDefault="00EE6790" w:rsidP="00EE6790">
      <w:pPr>
        <w:rPr>
          <w:lang w:val="nl-BE"/>
        </w:rPr>
      </w:pPr>
    </w:p>
    <w:p w14:paraId="0B36FEF3" w14:textId="13EDC291" w:rsidR="00EE6790" w:rsidRPr="00715DE3" w:rsidRDefault="00595B7C" w:rsidP="00EE6790">
      <w:pPr>
        <w:pStyle w:val="Numberednormal"/>
      </w:pPr>
      <w:r w:rsidRPr="00715DE3">
        <w:t>Vraag van een operator:</w:t>
      </w:r>
      <w:r w:rsidR="00EE6790" w:rsidRPr="00715DE3">
        <w:t xml:space="preserve">  </w:t>
      </w:r>
    </w:p>
    <w:p w14:paraId="3D09CC69" w14:textId="677168D1" w:rsidR="00EE6790" w:rsidRPr="00715DE3" w:rsidRDefault="00EE6790" w:rsidP="00EE6790">
      <w:pPr>
        <w:rPr>
          <w:rFonts w:cs="Tahoma"/>
          <w:szCs w:val="20"/>
          <w:lang w:val="nl-BE"/>
        </w:rPr>
      </w:pPr>
      <w:r w:rsidRPr="00715DE3">
        <w:rPr>
          <w:rFonts w:cs="Tahoma"/>
          <w:szCs w:val="20"/>
          <w:lang w:val="nl-BE"/>
        </w:rPr>
        <w:t>“</w:t>
      </w:r>
      <w:r w:rsidRPr="00715DE3">
        <w:rPr>
          <w:rFonts w:cs="Tahoma"/>
          <w:i/>
          <w:iCs/>
          <w:szCs w:val="20"/>
          <w:lang w:val="nl-BE"/>
        </w:rPr>
        <w:t xml:space="preserve">Indien de leverancier na de </w:t>
      </w:r>
      <w:proofErr w:type="gramStart"/>
      <w:r w:rsidRPr="00715DE3">
        <w:rPr>
          <w:rFonts w:cs="Tahoma"/>
          <w:i/>
          <w:iCs/>
          <w:szCs w:val="20"/>
          <w:lang w:val="nl-BE"/>
        </w:rPr>
        <w:t>regularisatie procedure</w:t>
      </w:r>
      <w:proofErr w:type="gramEnd"/>
      <w:r w:rsidRPr="00715DE3">
        <w:rPr>
          <w:rFonts w:cs="Tahoma"/>
          <w:i/>
          <w:iCs/>
          <w:szCs w:val="20"/>
          <w:lang w:val="nl-BE"/>
        </w:rPr>
        <w:t xml:space="preserve"> </w:t>
      </w:r>
      <w:r w:rsidRPr="00715DE3">
        <w:rPr>
          <w:rFonts w:cs="Tahoma"/>
          <w:b/>
          <w:bCs/>
          <w:i/>
          <w:iCs/>
          <w:szCs w:val="20"/>
          <w:lang w:val="nl-BE"/>
        </w:rPr>
        <w:t>niet als een leverancier met hoog risico wordt aanzien</w:t>
      </w:r>
      <w:r w:rsidRPr="00715DE3">
        <w:rPr>
          <w:rFonts w:cs="Tahoma"/>
          <w:i/>
          <w:iCs/>
          <w:szCs w:val="20"/>
          <w:lang w:val="nl-BE"/>
        </w:rPr>
        <w:t>, dan stellen we ons de vraag of de procedure voor toekomstige aanpassingen aan de machtiging voor producten van deze leverancier zo veel mogelijk kan vereenvoudigd worden?</w:t>
      </w:r>
      <w:r w:rsidRPr="00715DE3">
        <w:rPr>
          <w:rFonts w:cs="Tahoma"/>
          <w:szCs w:val="20"/>
          <w:lang w:val="nl-BE"/>
        </w:rPr>
        <w:t>”</w:t>
      </w:r>
    </w:p>
    <w:p w14:paraId="58C609A4" w14:textId="77777777" w:rsidR="00EE6790" w:rsidRPr="00715DE3" w:rsidRDefault="00EE6790" w:rsidP="00EE6790">
      <w:pPr>
        <w:rPr>
          <w:rFonts w:cs="Tahoma"/>
          <w:szCs w:val="20"/>
          <w:lang w:val="nl-BE"/>
        </w:rPr>
      </w:pPr>
    </w:p>
    <w:p w14:paraId="2021981E" w14:textId="5988E547" w:rsidR="00EE6790" w:rsidRPr="00715DE3" w:rsidRDefault="00EE6790" w:rsidP="00681E45">
      <w:pPr>
        <w:pStyle w:val="Numberednormal"/>
        <w:rPr>
          <w:rFonts w:cs="Tahoma"/>
          <w:szCs w:val="20"/>
        </w:rPr>
      </w:pPr>
      <w:r w:rsidRPr="00715DE3">
        <w:t>Antwoord van het BIPT</w:t>
      </w:r>
      <w:r w:rsidR="008044C7" w:rsidRPr="00715DE3">
        <w:t>:</w:t>
      </w:r>
      <w:r w:rsidR="00877759" w:rsidRPr="00715DE3">
        <w:t xml:space="preserve"> </w:t>
      </w:r>
      <w:r w:rsidR="00595B7C" w:rsidRPr="00715DE3">
        <w:t>Het BIPT staat open voor alle concrete voorstellen van de sector. Het punt dat door de operator wordt aangehaald, betreft een toekomstige hypothese.</w:t>
      </w:r>
      <w:r w:rsidRPr="00715DE3">
        <w:rPr>
          <w:rFonts w:cs="Tahoma"/>
          <w:szCs w:val="20"/>
        </w:rPr>
        <w:t xml:space="preserve">  </w:t>
      </w:r>
    </w:p>
    <w:p w14:paraId="433E3621" w14:textId="2C1E3F11" w:rsidR="00614144" w:rsidRPr="00034129" w:rsidRDefault="00614144" w:rsidP="00034129">
      <w:pPr>
        <w:rPr>
          <w:lang w:val="nl-BE"/>
        </w:rPr>
      </w:pPr>
    </w:p>
    <w:sectPr w:rsidR="00614144" w:rsidRPr="00034129" w:rsidSect="007F7A6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9AFE" w14:textId="77777777" w:rsidR="00DC1DD1" w:rsidRDefault="00DC1DD1" w:rsidP="00C96447">
      <w:r>
        <w:separator/>
      </w:r>
    </w:p>
  </w:endnote>
  <w:endnote w:type="continuationSeparator" w:id="0">
    <w:p w14:paraId="06312C31" w14:textId="77777777" w:rsidR="00DC1DD1" w:rsidRDefault="00DC1DD1" w:rsidP="00C96447">
      <w:r>
        <w:continuationSeparator/>
      </w:r>
    </w:p>
  </w:endnote>
  <w:endnote w:type="continuationNotice" w:id="1">
    <w:p w14:paraId="68F3A225" w14:textId="77777777" w:rsidR="00DC1DD1" w:rsidRDefault="00DC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924C" w14:textId="59903525" w:rsidR="002A7F84" w:rsidRDefault="00107709">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0" allowOverlap="1" wp14:anchorId="0C53BF29" wp14:editId="77C7307B">
              <wp:simplePos x="0" y="0"/>
              <wp:positionH relativeFrom="page">
                <wp:posOffset>0</wp:posOffset>
              </wp:positionH>
              <wp:positionV relativeFrom="page">
                <wp:posOffset>9954260</wp:posOffset>
              </wp:positionV>
              <wp:extent cx="7560310" cy="546735"/>
              <wp:effectExtent l="0" t="0" r="0" b="5715"/>
              <wp:wrapNone/>
              <wp:docPr id="1" name="MSIPCM0d30438395338af6dcd66d01" descr="{&quot;HashCode&quot;:-181189421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D55FD" w14:textId="7C46B2C4" w:rsidR="00107709" w:rsidRPr="00107709" w:rsidRDefault="00107709" w:rsidP="00107709">
                          <w:pPr>
                            <w:jc w:val="center"/>
                            <w:rPr>
                              <w:rFonts w:ascii="Calibri" w:hAnsi="Calibri" w:cs="Calibri"/>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53BF29" id="_x0000_t202" coordsize="21600,21600" o:spt="202" path="m,l,21600r21600,l21600,xe">
              <v:stroke joinstyle="miter"/>
              <v:path gradientshapeok="t" o:connecttype="rect"/>
            </v:shapetype>
            <v:shape id="MSIPCM0d30438395338af6dcd66d01" o:spid="_x0000_s1026" type="#_x0000_t202" alt="{&quot;HashCode&quot;:-1811894213,&quot;Height&quot;:841.0,&quot;Width&quot;:595.0,&quot;Placement&quot;:&quot;Footer&quot;,&quot;Index&quot;:&quot;Primary&quot;,&quot;Section&quot;:1,&quot;Top&quot;:0.0,&quot;Left&quot;:0.0}" style="position:absolute;left:0;text-align:left;margin-left:0;margin-top:783.8pt;width:595.3pt;height:43.0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" o:allowincell="f" filled="f" stroked="f" strokeweight=".5pt">
              <v:textbox inset=",0,,0">
                <w:txbxContent>
                  <w:p w14:paraId="1E1D55FD" w14:textId="7C46B2C4" w:rsidR="00107709" w:rsidRPr="00107709" w:rsidRDefault="00107709" w:rsidP="00107709">
                    <w:pPr>
                      <w:jc w:val="center"/>
                      <w:rPr>
                        <w:rFonts w:ascii="Calibri" w:hAnsi="Calibri" w:cs="Calibri"/>
                        <w:color w:val="737373"/>
                        <w:sz w:val="14"/>
                      </w:rPr>
                    </w:pPr>
                  </w:p>
                </w:txbxContent>
              </v:textbox>
              <w10:wrap anchorx="page" anchory="page"/>
            </v:shape>
          </w:pict>
        </mc:Fallback>
      </mc:AlternateContent>
    </w:r>
    <w:sdt>
      <w:sdtPr>
        <w:rPr>
          <w:color w:val="2B579A"/>
          <w:shd w:val="clear" w:color="auto" w:fill="E6E6E6"/>
        </w:rPr>
        <w:id w:val="-1454168367"/>
        <w:docPartObj>
          <w:docPartGallery w:val="Page Numbers (Bottom of Page)"/>
          <w:docPartUnique/>
        </w:docPartObj>
      </w:sdtPr>
      <w:sdtEndPr>
        <w:rPr>
          <w:color w:val="auto"/>
          <w:shd w:val="clear" w:color="auto" w:fill="auto"/>
        </w:rPr>
      </w:sdtEndPr>
      <w:sdtContent>
        <w:r w:rsidR="002A7F84">
          <w:rPr>
            <w:color w:val="2B579A"/>
            <w:shd w:val="clear" w:color="auto" w:fill="E6E6E6"/>
          </w:rPr>
          <w:fldChar w:fldCharType="begin"/>
        </w:r>
        <w:r w:rsidR="002A7F84">
          <w:instrText>PAGE   \* MERGEFORMAT</w:instrText>
        </w:r>
        <w:r w:rsidR="002A7F84">
          <w:rPr>
            <w:color w:val="2B579A"/>
            <w:shd w:val="clear" w:color="auto" w:fill="E6E6E6"/>
          </w:rPr>
          <w:fldChar w:fldCharType="separate"/>
        </w:r>
        <w:r w:rsidR="002A7F84">
          <w:rPr>
            <w:lang w:val="nl-NL"/>
          </w:rPr>
          <w:t>2</w:t>
        </w:r>
        <w:r w:rsidR="002A7F84">
          <w:rPr>
            <w:color w:val="2B579A"/>
            <w:shd w:val="clear" w:color="auto" w:fill="E6E6E6"/>
          </w:rPr>
          <w:fldChar w:fldCharType="end"/>
        </w:r>
      </w:sdtContent>
    </w:sdt>
  </w:p>
  <w:p w14:paraId="722781EE" w14:textId="77777777" w:rsidR="002A7F84" w:rsidRDefault="002A7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870F" w14:textId="77777777" w:rsidR="00DC1DD1" w:rsidRDefault="00DC1DD1" w:rsidP="00C96447">
      <w:r>
        <w:separator/>
      </w:r>
    </w:p>
  </w:footnote>
  <w:footnote w:type="continuationSeparator" w:id="0">
    <w:p w14:paraId="4A50F321" w14:textId="77777777" w:rsidR="00DC1DD1" w:rsidRDefault="00DC1DD1" w:rsidP="00C96447">
      <w:r>
        <w:continuationSeparator/>
      </w:r>
    </w:p>
  </w:footnote>
  <w:footnote w:type="continuationNotice" w:id="1">
    <w:p w14:paraId="00928B7B" w14:textId="77777777" w:rsidR="00DC1DD1" w:rsidRDefault="00DC1DD1"/>
  </w:footnote>
  <w:footnote w:id="2">
    <w:p w14:paraId="3A7A5954" w14:textId="77777777" w:rsidR="0049060E" w:rsidRDefault="0049060E" w:rsidP="0049060E">
      <w:pPr>
        <w:pStyle w:val="pf0"/>
        <w:rPr>
          <w:rFonts w:ascii="Arial" w:hAnsi="Arial" w:cs="Arial"/>
          <w:sz w:val="20"/>
          <w:szCs w:val="20"/>
        </w:rPr>
      </w:pPr>
      <w:r>
        <w:rPr>
          <w:rStyle w:val="FootnoteReference"/>
        </w:rPr>
        <w:footnoteRef/>
      </w:r>
      <w:r>
        <w:t xml:space="preserve"> </w:t>
      </w:r>
      <w:hyperlink r:id="rId1" w:history="1">
        <w:r>
          <w:rPr>
            <w:rStyle w:val="cf01"/>
            <w:color w:val="0000FF"/>
            <w:u w:val="single"/>
          </w:rPr>
          <w:t>https://www.ericsson.com/en/reports-and-papers/ericsson-technology-review/articles/5g-synchronization-requirements-and-solutions</w:t>
        </w:r>
      </w:hyperlink>
      <w:r>
        <w:rPr>
          <w:rFonts w:ascii="Arial" w:hAnsi="Arial"/>
          <w:sz w:val="20"/>
        </w:rPr>
        <w:t xml:space="preserve">; </w:t>
      </w:r>
      <w:hyperlink r:id="rId2" w:history="1">
        <w:r>
          <w:rPr>
            <w:rStyle w:val="cf01"/>
            <w:color w:val="0000FF"/>
            <w:u w:val="single"/>
          </w:rPr>
          <w:t>https://forum.huawei.com/enterprise/en/topic-discussion-5g-synchronization-solution/thread/1042990-100305?from=latestPostsReplies</w:t>
        </w:r>
      </w:hyperlink>
      <w:r>
        <w:rPr>
          <w:rFonts w:ascii="Arial" w:hAnsi="Arial"/>
          <w:sz w:val="20"/>
        </w:rPr>
        <w:t xml:space="preserve">; </w:t>
      </w:r>
      <w:hyperlink r:id="rId3" w:history="1">
        <w:r>
          <w:rPr>
            <w:rStyle w:val="cf01"/>
            <w:color w:val="0000FF"/>
            <w:u w:val="single"/>
          </w:rPr>
          <w:t>https://www.nokia.com/blog/timing-and-synchronization-options-to-support-5g/</w:t>
        </w:r>
      </w:hyperlink>
      <w:r>
        <w:rPr>
          <w:rFonts w:ascii="Arial" w:hAnsi="Arial"/>
          <w:sz w:val="20"/>
        </w:rPr>
        <w:t>.</w:t>
      </w:r>
    </w:p>
    <w:p w14:paraId="02C1B181" w14:textId="77777777" w:rsidR="0049060E" w:rsidRPr="006C56AF" w:rsidRDefault="0049060E" w:rsidP="0049060E">
      <w:pPr>
        <w:pStyle w:val="FootnoteText"/>
      </w:pPr>
    </w:p>
  </w:footnote>
  <w:footnote w:id="3">
    <w:p w14:paraId="2934AC1B" w14:textId="77777777" w:rsidR="00034129" w:rsidRPr="007E6E29" w:rsidRDefault="00034129" w:rsidP="007E6E29">
      <w:pPr>
        <w:rPr>
          <w:sz w:val="18"/>
          <w:lang w:val="nl-BE"/>
        </w:rPr>
      </w:pPr>
      <w:r>
        <w:rPr>
          <w:rStyle w:val="FootnoteReference"/>
          <w:sz w:val="18"/>
          <w:szCs w:val="18"/>
        </w:rPr>
        <w:footnoteRef/>
      </w:r>
      <w:r w:rsidRPr="00034129">
        <w:rPr>
          <w:lang w:val="nl-BE"/>
        </w:rPr>
        <w:t xml:space="preserve"> </w:t>
      </w:r>
      <w:r w:rsidRPr="007E6E29">
        <w:rPr>
          <w:sz w:val="18"/>
          <w:lang w:val="nl-BE"/>
        </w:rPr>
        <w:t>De noodzaak van een afzonderlijke mail valt te verklaren door het feit dat deze mail niet zal worden doorgestuurd naar de betrokken ministers, in tegenstelling tot de mail waarin het verzoek om machtiging wordt verstuurd.</w:t>
      </w:r>
      <w:r w:rsidRPr="00034129">
        <w:rPr>
          <w:sz w:val="18"/>
          <w:lang w:val="nl-BE"/>
        </w:rPr>
        <w:t xml:space="preserve"> </w:t>
      </w:r>
    </w:p>
  </w:footnote>
  <w:footnote w:id="4">
    <w:p w14:paraId="64BB610C" w14:textId="77777777" w:rsidR="00034129" w:rsidRPr="007E6E29" w:rsidRDefault="00034129" w:rsidP="007E6E29">
      <w:pPr>
        <w:rPr>
          <w:sz w:val="18"/>
          <w:lang w:val="nl-BE"/>
        </w:rPr>
      </w:pPr>
      <w:r w:rsidRPr="005017D9">
        <w:rPr>
          <w:vertAlign w:val="superscript"/>
          <w:lang w:val="nl-BE"/>
        </w:rPr>
        <w:footnoteRef/>
      </w:r>
      <w:r w:rsidRPr="005017D9">
        <w:rPr>
          <w:sz w:val="18"/>
          <w:vertAlign w:val="superscript"/>
          <w:lang w:val="nl-BE"/>
        </w:rPr>
        <w:t xml:space="preserve"> </w:t>
      </w:r>
      <w:r w:rsidRPr="007E6E29">
        <w:rPr>
          <w:sz w:val="18"/>
          <w:lang w:val="nl-BE"/>
        </w:rPr>
        <w:t>In dat geval moet de openbare codeersleutel van het BIPT worden gevraagd en moet de verzoeker zijn eigen codeersleutel verstrekken.</w:t>
      </w:r>
    </w:p>
  </w:footnote>
  <w:footnote w:id="5">
    <w:p w14:paraId="0386F004" w14:textId="77777777" w:rsidR="00034129" w:rsidRPr="00034129" w:rsidRDefault="00034129" w:rsidP="00034129">
      <w:pPr>
        <w:rPr>
          <w:sz w:val="18"/>
          <w:szCs w:val="18"/>
          <w:lang w:val="nl-BE"/>
        </w:rPr>
      </w:pPr>
      <w:r>
        <w:rPr>
          <w:rStyle w:val="FootnoteReference"/>
          <w:sz w:val="18"/>
          <w:szCs w:val="18"/>
        </w:rPr>
        <w:footnoteRef/>
      </w:r>
      <w:r w:rsidRPr="00034129">
        <w:rPr>
          <w:sz w:val="18"/>
          <w:lang w:val="nl-BE"/>
        </w:rPr>
        <w:t xml:space="preserve"> De ministeriële machtiging wordt verstrekt door de volgende ministers: de eerste minister, de minister van Telecommunicatie, de minister van Defensie, de minister van Justitie, de minister van Binnenlandse Zaken en de minister van Buitenlandse Zaken. </w:t>
      </w:r>
    </w:p>
    <w:p w14:paraId="6AB27715" w14:textId="77777777" w:rsidR="00034129" w:rsidRPr="00034129" w:rsidRDefault="00034129" w:rsidP="00034129">
      <w:pPr>
        <w:pStyle w:val="FootnoteText"/>
        <w:rPr>
          <w:sz w:val="18"/>
          <w:szCs w:val="18"/>
          <w:lang w:val="nl-BE"/>
        </w:rPr>
      </w:pPr>
    </w:p>
  </w:footnote>
  <w:footnote w:id="6">
    <w:p w14:paraId="5B8F5238" w14:textId="77777777" w:rsidR="00034129" w:rsidRPr="00034129" w:rsidRDefault="00034129" w:rsidP="00034129">
      <w:pPr>
        <w:pStyle w:val="FootnoteText"/>
        <w:rPr>
          <w:sz w:val="18"/>
          <w:szCs w:val="18"/>
          <w:lang w:val="nl-BE"/>
        </w:rPr>
      </w:pPr>
      <w:r>
        <w:rPr>
          <w:rStyle w:val="FootnoteReference"/>
          <w:sz w:val="18"/>
          <w:szCs w:val="18"/>
        </w:rPr>
        <w:footnoteRef/>
      </w:r>
      <w:r w:rsidRPr="00034129">
        <w:rPr>
          <w:lang w:val="nl-BE"/>
        </w:rPr>
        <w:t xml:space="preserve"> </w:t>
      </w:r>
      <w:r w:rsidRPr="007E6E29">
        <w:rPr>
          <w:sz w:val="18"/>
          <w:szCs w:val="22"/>
          <w:lang w:val="nl-BE"/>
        </w:rPr>
        <w:t xml:space="preserve">Het is daarentegen niet nodig dat de verzoeker aan het BIPT de fiches bezorgt die hij het </w:t>
      </w:r>
      <w:proofErr w:type="gramStart"/>
      <w:r w:rsidRPr="007E6E29">
        <w:rPr>
          <w:sz w:val="18"/>
          <w:szCs w:val="22"/>
          <w:lang w:val="nl-BE"/>
        </w:rPr>
        <w:t>reeds</w:t>
      </w:r>
      <w:proofErr w:type="gramEnd"/>
      <w:r w:rsidRPr="007E6E29">
        <w:rPr>
          <w:sz w:val="18"/>
          <w:szCs w:val="22"/>
          <w:lang w:val="nl-BE"/>
        </w:rPr>
        <w:t xml:space="preserve"> heeft verstrekt in het kader van het initiële dossier.</w:t>
      </w:r>
      <w:r w:rsidRPr="00034129">
        <w:rPr>
          <w:sz w:val="18"/>
          <w:lang w:val="nl-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45136E0"/>
    <w:multiLevelType w:val="hybridMultilevel"/>
    <w:tmpl w:val="572E1996"/>
    <w:lvl w:ilvl="0" w:tplc="93B8813C">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FD0CCA"/>
    <w:multiLevelType w:val="hybridMultilevel"/>
    <w:tmpl w:val="128860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E1400A"/>
    <w:multiLevelType w:val="hybridMultilevel"/>
    <w:tmpl w:val="0E6A70EA"/>
    <w:lvl w:ilvl="0" w:tplc="8DFEDF66">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67544C"/>
    <w:multiLevelType w:val="hybridMultilevel"/>
    <w:tmpl w:val="46C6A1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159F1784"/>
    <w:multiLevelType w:val="hybridMultilevel"/>
    <w:tmpl w:val="82768728"/>
    <w:lvl w:ilvl="0" w:tplc="1C8EF076">
      <w:start w:val="6"/>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5D11690"/>
    <w:multiLevelType w:val="hybridMultilevel"/>
    <w:tmpl w:val="43BAB9C4"/>
    <w:lvl w:ilvl="0" w:tplc="C4FEF1F8">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E961726"/>
    <w:multiLevelType w:val="multilevel"/>
    <w:tmpl w:val="67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11403"/>
    <w:multiLevelType w:val="multilevel"/>
    <w:tmpl w:val="2EA490C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1717760"/>
    <w:multiLevelType w:val="hybridMultilevel"/>
    <w:tmpl w:val="785488C6"/>
    <w:lvl w:ilvl="0" w:tplc="4DD07ED6">
      <w:start w:val="2"/>
      <w:numFmt w:val="lowerLetter"/>
      <w:lvlText w:val="%1)"/>
      <w:lvlJc w:val="left"/>
      <w:pPr>
        <w:ind w:left="72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417240A"/>
    <w:multiLevelType w:val="hybridMultilevel"/>
    <w:tmpl w:val="9D08A32A"/>
    <w:lvl w:ilvl="0" w:tplc="080C0017">
      <w:start w:val="1"/>
      <w:numFmt w:val="lowerLetter"/>
      <w:lvlText w:val="%1)"/>
      <w:lvlJc w:val="left"/>
      <w:pPr>
        <w:ind w:left="720" w:hanging="360"/>
      </w:pPr>
      <w:rPr>
        <w:rFont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85D7BD7"/>
    <w:multiLevelType w:val="hybridMultilevel"/>
    <w:tmpl w:val="6F2C800E"/>
    <w:lvl w:ilvl="0" w:tplc="78AE1790">
      <w:start w:val="8"/>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3A19139C"/>
    <w:multiLevelType w:val="multilevel"/>
    <w:tmpl w:val="3AC63AAE"/>
    <w:numStyleLink w:val="Annexe"/>
  </w:abstractNum>
  <w:abstractNum w:abstractNumId="16"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E0495A"/>
    <w:multiLevelType w:val="hybridMultilevel"/>
    <w:tmpl w:val="BA96C072"/>
    <w:lvl w:ilvl="0" w:tplc="08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1DF3DB8"/>
    <w:multiLevelType w:val="hybridMultilevel"/>
    <w:tmpl w:val="A3E414DC"/>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3A83A18"/>
    <w:multiLevelType w:val="hybridMultilevel"/>
    <w:tmpl w:val="BA3E9378"/>
    <w:lvl w:ilvl="0" w:tplc="1B1A0C1E">
      <w:start w:val="7"/>
      <w:numFmt w:val="lowerLetter"/>
      <w:lvlText w:val="%1)"/>
      <w:lvlJc w:val="left"/>
      <w:pPr>
        <w:ind w:left="360" w:hanging="360"/>
      </w:pPr>
      <w:rPr>
        <w:rFonts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F83AE7"/>
    <w:multiLevelType w:val="hybridMultilevel"/>
    <w:tmpl w:val="D316AF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46DF2A9B"/>
    <w:multiLevelType w:val="hybridMultilevel"/>
    <w:tmpl w:val="52482966"/>
    <w:lvl w:ilvl="0" w:tplc="EA44DACE">
      <w:start w:val="10"/>
      <w:numFmt w:val="lowerLetter"/>
      <w:lvlText w:val="%1)"/>
      <w:lvlJc w:val="left"/>
      <w:pPr>
        <w:ind w:left="360" w:hanging="360"/>
      </w:pPr>
      <w:rPr>
        <w:rFonts w:hint="default"/>
        <w:sz w:val="20"/>
        <w:szCs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BB7633F"/>
    <w:multiLevelType w:val="hybridMultilevel"/>
    <w:tmpl w:val="D4487510"/>
    <w:lvl w:ilvl="0" w:tplc="080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D0FA5"/>
    <w:multiLevelType w:val="hybridMultilevel"/>
    <w:tmpl w:val="07B02A34"/>
    <w:lvl w:ilvl="0" w:tplc="9A8A0B0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5" w15:restartNumberingAfterBreak="0">
    <w:nsid w:val="518C374A"/>
    <w:multiLevelType w:val="hybridMultilevel"/>
    <w:tmpl w:val="6B9CC2DC"/>
    <w:lvl w:ilvl="0" w:tplc="7424E376">
      <w:start w:val="9"/>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6" w15:restartNumberingAfterBreak="0">
    <w:nsid w:val="51C83152"/>
    <w:multiLevelType w:val="hybridMultilevel"/>
    <w:tmpl w:val="D4487510"/>
    <w:lvl w:ilvl="0" w:tplc="080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0195F"/>
    <w:multiLevelType w:val="hybridMultilevel"/>
    <w:tmpl w:val="125A6382"/>
    <w:lvl w:ilvl="0" w:tplc="B658C7F6">
      <w:start w:val="7"/>
      <w:numFmt w:val="lowerLetter"/>
      <w:lvlText w:val="%1)"/>
      <w:lvlJc w:val="left"/>
      <w:pPr>
        <w:ind w:left="360" w:hanging="360"/>
      </w:pPr>
      <w:rPr>
        <w:rFonts w:hint="default"/>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B1F0E2F"/>
    <w:multiLevelType w:val="hybridMultilevel"/>
    <w:tmpl w:val="9D08A32A"/>
    <w:lvl w:ilvl="0" w:tplc="080C0017">
      <w:start w:val="1"/>
      <w:numFmt w:val="lowerLetter"/>
      <w:lvlText w:val="%1)"/>
      <w:lvlJc w:val="left"/>
      <w:pPr>
        <w:ind w:left="720" w:hanging="360"/>
      </w:pPr>
      <w:rPr>
        <w:rFont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13449A6"/>
    <w:multiLevelType w:val="hybridMultilevel"/>
    <w:tmpl w:val="06AE867A"/>
    <w:lvl w:ilvl="0" w:tplc="1B6C4882">
      <w:start w:val="3"/>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4" w15:restartNumberingAfterBreak="0">
    <w:nsid w:val="65052C5F"/>
    <w:multiLevelType w:val="hybridMultilevel"/>
    <w:tmpl w:val="FF26FE06"/>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5"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36" w15:restartNumberingAfterBreak="0">
    <w:nsid w:val="689A3CB4"/>
    <w:multiLevelType w:val="hybridMultilevel"/>
    <w:tmpl w:val="F078CD8C"/>
    <w:lvl w:ilvl="0" w:tplc="6E7AB9A0">
      <w:start w:val="11"/>
      <w:numFmt w:val="lowerLetter"/>
      <w:lvlText w:val="%1)"/>
      <w:lvlJc w:val="left"/>
      <w:pPr>
        <w:ind w:left="360" w:hanging="360"/>
      </w:pPr>
      <w:rPr>
        <w:rFonts w:hint="default"/>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7" w15:restartNumberingAfterBreak="0">
    <w:nsid w:val="68C7550F"/>
    <w:multiLevelType w:val="hybridMultilevel"/>
    <w:tmpl w:val="E1562246"/>
    <w:lvl w:ilvl="0" w:tplc="D700A59C">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1DA19CD"/>
    <w:multiLevelType w:val="hybridMultilevel"/>
    <w:tmpl w:val="38E8A708"/>
    <w:lvl w:ilvl="0" w:tplc="B4C8EA82">
      <w:numFmt w:val="bullet"/>
      <w:lvlText w:val="-"/>
      <w:lvlJc w:val="left"/>
      <w:pPr>
        <w:ind w:left="420" w:hanging="360"/>
      </w:pPr>
      <w:rPr>
        <w:rFonts w:ascii="Tahoma" w:eastAsiaTheme="minorHAnsi" w:hAnsi="Tahoma"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9" w15:restartNumberingAfterBreak="0">
    <w:nsid w:val="7A1556E7"/>
    <w:multiLevelType w:val="hybridMultilevel"/>
    <w:tmpl w:val="581234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E6F676B"/>
    <w:multiLevelType w:val="hybridMultilevel"/>
    <w:tmpl w:val="ABCC6766"/>
    <w:lvl w:ilvl="0" w:tplc="4538D642">
      <w:start w:val="1"/>
      <w:numFmt w:val="decimal"/>
      <w:lvlText w:val="%1)"/>
      <w:lvlJc w:val="left"/>
      <w:pPr>
        <w:ind w:left="720" w:hanging="360"/>
      </w:pPr>
      <w:rPr>
        <w:rFonts w:asciiTheme="minorHAnsi" w:eastAsiaTheme="minorHAnsi" w:hAnsiTheme="minorHAnsi" w:cstheme="minorBidi"/>
      </w:rPr>
    </w:lvl>
    <w:lvl w:ilvl="1" w:tplc="AFE8E820">
      <w:start w:val="1"/>
      <w:numFmt w:val="bullet"/>
      <w:lvlText w:val="o"/>
      <w:lvlJc w:val="left"/>
      <w:pPr>
        <w:ind w:left="1440" w:hanging="360"/>
      </w:pPr>
      <w:rPr>
        <w:rFonts w:ascii="Courier New" w:hAnsi="Courier New" w:cs="Times New Roman" w:hint="default"/>
      </w:rPr>
    </w:lvl>
    <w:lvl w:ilvl="2" w:tplc="9A44919A">
      <w:start w:val="1"/>
      <w:numFmt w:val="bullet"/>
      <w:lvlText w:val=""/>
      <w:lvlJc w:val="left"/>
      <w:pPr>
        <w:ind w:left="2160" w:hanging="360"/>
      </w:pPr>
      <w:rPr>
        <w:rFonts w:ascii="Wingdings" w:hAnsi="Wingdings" w:hint="default"/>
      </w:rPr>
    </w:lvl>
    <w:lvl w:ilvl="3" w:tplc="6DEEC2A2">
      <w:start w:val="1"/>
      <w:numFmt w:val="bullet"/>
      <w:lvlText w:val=""/>
      <w:lvlJc w:val="left"/>
      <w:pPr>
        <w:ind w:left="2880" w:hanging="360"/>
      </w:pPr>
      <w:rPr>
        <w:rFonts w:ascii="Symbol" w:hAnsi="Symbol" w:hint="default"/>
      </w:rPr>
    </w:lvl>
    <w:lvl w:ilvl="4" w:tplc="4D205606">
      <w:start w:val="1"/>
      <w:numFmt w:val="bullet"/>
      <w:lvlText w:val="o"/>
      <w:lvlJc w:val="left"/>
      <w:pPr>
        <w:ind w:left="3600" w:hanging="360"/>
      </w:pPr>
      <w:rPr>
        <w:rFonts w:ascii="Courier New" w:hAnsi="Courier New" w:cs="Times New Roman" w:hint="default"/>
      </w:rPr>
    </w:lvl>
    <w:lvl w:ilvl="5" w:tplc="B6C650A6">
      <w:start w:val="1"/>
      <w:numFmt w:val="bullet"/>
      <w:lvlText w:val=""/>
      <w:lvlJc w:val="left"/>
      <w:pPr>
        <w:ind w:left="4320" w:hanging="360"/>
      </w:pPr>
      <w:rPr>
        <w:rFonts w:ascii="Wingdings" w:hAnsi="Wingdings" w:hint="default"/>
      </w:rPr>
    </w:lvl>
    <w:lvl w:ilvl="6" w:tplc="68D2B588">
      <w:start w:val="1"/>
      <w:numFmt w:val="bullet"/>
      <w:lvlText w:val=""/>
      <w:lvlJc w:val="left"/>
      <w:pPr>
        <w:ind w:left="5040" w:hanging="360"/>
      </w:pPr>
      <w:rPr>
        <w:rFonts w:ascii="Symbol" w:hAnsi="Symbol" w:hint="default"/>
      </w:rPr>
    </w:lvl>
    <w:lvl w:ilvl="7" w:tplc="C276E414">
      <w:start w:val="1"/>
      <w:numFmt w:val="bullet"/>
      <w:lvlText w:val="o"/>
      <w:lvlJc w:val="left"/>
      <w:pPr>
        <w:ind w:left="5760" w:hanging="360"/>
      </w:pPr>
      <w:rPr>
        <w:rFonts w:ascii="Courier New" w:hAnsi="Courier New" w:cs="Times New Roman" w:hint="default"/>
      </w:rPr>
    </w:lvl>
    <w:lvl w:ilvl="8" w:tplc="6CB6E7C4">
      <w:start w:val="1"/>
      <w:numFmt w:val="bullet"/>
      <w:lvlText w:val=""/>
      <w:lvlJc w:val="left"/>
      <w:pPr>
        <w:ind w:left="6480" w:hanging="360"/>
      </w:pPr>
      <w:rPr>
        <w:rFonts w:ascii="Wingdings" w:hAnsi="Wingdings" w:hint="default"/>
      </w:rPr>
    </w:lvl>
  </w:abstractNum>
  <w:num w:numId="1" w16cid:durableId="28605623">
    <w:abstractNumId w:val="8"/>
  </w:num>
  <w:num w:numId="2" w16cid:durableId="897787035">
    <w:abstractNumId w:val="34"/>
  </w:num>
  <w:num w:numId="3" w16cid:durableId="1351645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8744801">
    <w:abstractNumId w:val="22"/>
  </w:num>
  <w:num w:numId="5" w16cid:durableId="1655598385">
    <w:abstractNumId w:val="1"/>
  </w:num>
  <w:num w:numId="6" w16cid:durableId="1757942270">
    <w:abstractNumId w:val="33"/>
  </w:num>
  <w:num w:numId="7" w16cid:durableId="1256211675">
    <w:abstractNumId w:val="10"/>
  </w:num>
  <w:num w:numId="8" w16cid:durableId="1329286149">
    <w:abstractNumId w:val="10"/>
  </w:num>
  <w:num w:numId="9" w16cid:durableId="1180970186">
    <w:abstractNumId w:val="10"/>
  </w:num>
  <w:num w:numId="10" w16cid:durableId="1054961644">
    <w:abstractNumId w:val="31"/>
  </w:num>
  <w:num w:numId="11" w16cid:durableId="1411852867">
    <w:abstractNumId w:val="35"/>
  </w:num>
  <w:num w:numId="12" w16cid:durableId="1109275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4617968">
    <w:abstractNumId w:val="22"/>
  </w:num>
  <w:num w:numId="14" w16cid:durableId="1070006429">
    <w:abstractNumId w:val="1"/>
  </w:num>
  <w:num w:numId="15" w16cid:durableId="1753382565">
    <w:abstractNumId w:val="33"/>
  </w:num>
  <w:num w:numId="16" w16cid:durableId="411780109">
    <w:abstractNumId w:val="28"/>
  </w:num>
  <w:num w:numId="17" w16cid:durableId="1125387967">
    <w:abstractNumId w:val="29"/>
  </w:num>
  <w:num w:numId="18" w16cid:durableId="81688825">
    <w:abstractNumId w:val="15"/>
  </w:num>
  <w:num w:numId="19" w16cid:durableId="821311740">
    <w:abstractNumId w:val="11"/>
  </w:num>
  <w:num w:numId="20" w16cid:durableId="1246038174">
    <w:abstractNumId w:val="3"/>
  </w:num>
  <w:num w:numId="21" w16cid:durableId="1677461961">
    <w:abstractNumId w:val="39"/>
  </w:num>
  <w:num w:numId="22" w16cid:durableId="232005498">
    <w:abstractNumId w:val="17"/>
  </w:num>
  <w:num w:numId="23" w16cid:durableId="1031809203">
    <w:abstractNumId w:val="18"/>
  </w:num>
  <w:num w:numId="24" w16cid:durableId="810827372">
    <w:abstractNumId w:val="4"/>
  </w:num>
  <w:num w:numId="25" w16cid:durableId="351957288">
    <w:abstractNumId w:val="2"/>
  </w:num>
  <w:num w:numId="26" w16cid:durableId="185020706">
    <w:abstractNumId w:val="33"/>
  </w:num>
  <w:num w:numId="27" w16cid:durableId="1900096926">
    <w:abstractNumId w:val="32"/>
  </w:num>
  <w:num w:numId="28" w16cid:durableId="1811512020">
    <w:abstractNumId w:val="0"/>
  </w:num>
  <w:num w:numId="29" w16cid:durableId="1189181876">
    <w:abstractNumId w:val="7"/>
  </w:num>
  <w:num w:numId="30" w16cid:durableId="1453670867">
    <w:abstractNumId w:val="9"/>
  </w:num>
  <w:num w:numId="31" w16cid:durableId="1519348437">
    <w:abstractNumId w:val="38"/>
  </w:num>
  <w:num w:numId="32" w16cid:durableId="555118463">
    <w:abstractNumId w:val="24"/>
  </w:num>
  <w:num w:numId="33" w16cid:durableId="11030652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321359">
    <w:abstractNumId w:val="40"/>
    <w:lvlOverride w:ilvl="0">
      <w:startOverride w:val="1"/>
    </w:lvlOverride>
    <w:lvlOverride w:ilvl="1"/>
    <w:lvlOverride w:ilvl="2"/>
    <w:lvlOverride w:ilvl="3"/>
    <w:lvlOverride w:ilvl="4"/>
    <w:lvlOverride w:ilvl="5"/>
    <w:lvlOverride w:ilvl="6"/>
    <w:lvlOverride w:ilvl="7"/>
    <w:lvlOverride w:ilvl="8"/>
  </w:num>
  <w:num w:numId="35" w16cid:durableId="109126637">
    <w:abstractNumId w:val="5"/>
  </w:num>
  <w:num w:numId="36" w16cid:durableId="68814652">
    <w:abstractNumId w:val="20"/>
  </w:num>
  <w:num w:numId="37" w16cid:durableId="2061400732">
    <w:abstractNumId w:val="6"/>
  </w:num>
  <w:num w:numId="38" w16cid:durableId="88815881">
    <w:abstractNumId w:val="27"/>
  </w:num>
  <w:num w:numId="39" w16cid:durableId="1591351576">
    <w:abstractNumId w:val="14"/>
  </w:num>
  <w:num w:numId="40" w16cid:durableId="1980376502">
    <w:abstractNumId w:val="25"/>
  </w:num>
  <w:num w:numId="41" w16cid:durableId="1637443337">
    <w:abstractNumId w:val="36"/>
  </w:num>
  <w:num w:numId="42" w16cid:durableId="371003331">
    <w:abstractNumId w:val="21"/>
  </w:num>
  <w:num w:numId="43" w16cid:durableId="558517374">
    <w:abstractNumId w:val="19"/>
  </w:num>
  <w:num w:numId="44" w16cid:durableId="867989256">
    <w:abstractNumId w:val="30"/>
  </w:num>
  <w:num w:numId="45" w16cid:durableId="1112670712">
    <w:abstractNumId w:val="13"/>
  </w:num>
  <w:num w:numId="46" w16cid:durableId="599526984">
    <w:abstractNumId w:val="12"/>
  </w:num>
  <w:num w:numId="47" w16cid:durableId="760494852">
    <w:abstractNumId w:val="23"/>
  </w:num>
  <w:num w:numId="48" w16cid:durableId="1379359803">
    <w:abstractNumId w:val="26"/>
  </w:num>
  <w:num w:numId="49" w16cid:durableId="539636414">
    <w:abstractNumId w:val="37"/>
  </w:num>
  <w:num w:numId="50" w16cid:durableId="16173670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21CF"/>
    <w:rsid w:val="000039AE"/>
    <w:rsid w:val="0001600F"/>
    <w:rsid w:val="00034129"/>
    <w:rsid w:val="000548B5"/>
    <w:rsid w:val="00056074"/>
    <w:rsid w:val="000650E2"/>
    <w:rsid w:val="000964C0"/>
    <w:rsid w:val="000B1586"/>
    <w:rsid w:val="000E2908"/>
    <w:rsid w:val="001009BD"/>
    <w:rsid w:val="0010249C"/>
    <w:rsid w:val="00107709"/>
    <w:rsid w:val="001214AD"/>
    <w:rsid w:val="00125688"/>
    <w:rsid w:val="00161A07"/>
    <w:rsid w:val="0016508D"/>
    <w:rsid w:val="00167C3F"/>
    <w:rsid w:val="00171915"/>
    <w:rsid w:val="0017544D"/>
    <w:rsid w:val="00177AF6"/>
    <w:rsid w:val="00193905"/>
    <w:rsid w:val="001A758B"/>
    <w:rsid w:val="001D06C9"/>
    <w:rsid w:val="001D4432"/>
    <w:rsid w:val="001E1A0A"/>
    <w:rsid w:val="001F496B"/>
    <w:rsid w:val="001F6C9F"/>
    <w:rsid w:val="00205BA0"/>
    <w:rsid w:val="002101C4"/>
    <w:rsid w:val="00214F5F"/>
    <w:rsid w:val="00216AD6"/>
    <w:rsid w:val="002234AE"/>
    <w:rsid w:val="002244E5"/>
    <w:rsid w:val="00240908"/>
    <w:rsid w:val="00257690"/>
    <w:rsid w:val="002624FF"/>
    <w:rsid w:val="00270C6B"/>
    <w:rsid w:val="00284658"/>
    <w:rsid w:val="00297F17"/>
    <w:rsid w:val="002A5966"/>
    <w:rsid w:val="002A7F84"/>
    <w:rsid w:val="002C3C99"/>
    <w:rsid w:val="002E5BD2"/>
    <w:rsid w:val="0030519D"/>
    <w:rsid w:val="00325D94"/>
    <w:rsid w:val="00334BA5"/>
    <w:rsid w:val="00336219"/>
    <w:rsid w:val="003471C6"/>
    <w:rsid w:val="00347F93"/>
    <w:rsid w:val="003570DF"/>
    <w:rsid w:val="003630A5"/>
    <w:rsid w:val="00373066"/>
    <w:rsid w:val="00391068"/>
    <w:rsid w:val="0039499B"/>
    <w:rsid w:val="003D5B8E"/>
    <w:rsid w:val="003F0884"/>
    <w:rsid w:val="0041176D"/>
    <w:rsid w:val="00413894"/>
    <w:rsid w:val="00420263"/>
    <w:rsid w:val="00422820"/>
    <w:rsid w:val="00426C3D"/>
    <w:rsid w:val="00430C11"/>
    <w:rsid w:val="004351B6"/>
    <w:rsid w:val="00452E47"/>
    <w:rsid w:val="00460D72"/>
    <w:rsid w:val="004616FA"/>
    <w:rsid w:val="00486833"/>
    <w:rsid w:val="0049060E"/>
    <w:rsid w:val="0049396D"/>
    <w:rsid w:val="004B3C39"/>
    <w:rsid w:val="004B7509"/>
    <w:rsid w:val="004E1F47"/>
    <w:rsid w:val="005017D9"/>
    <w:rsid w:val="00510A55"/>
    <w:rsid w:val="00534FD3"/>
    <w:rsid w:val="005351A4"/>
    <w:rsid w:val="00542D1A"/>
    <w:rsid w:val="005432EA"/>
    <w:rsid w:val="00551D32"/>
    <w:rsid w:val="00562EC3"/>
    <w:rsid w:val="00573E06"/>
    <w:rsid w:val="00592687"/>
    <w:rsid w:val="00593F5F"/>
    <w:rsid w:val="00595B7C"/>
    <w:rsid w:val="00595E58"/>
    <w:rsid w:val="005975D9"/>
    <w:rsid w:val="005E1A0B"/>
    <w:rsid w:val="005E5757"/>
    <w:rsid w:val="005E6395"/>
    <w:rsid w:val="00614144"/>
    <w:rsid w:val="00617CB8"/>
    <w:rsid w:val="00632C4F"/>
    <w:rsid w:val="00643303"/>
    <w:rsid w:val="006474D5"/>
    <w:rsid w:val="00651A03"/>
    <w:rsid w:val="00651B34"/>
    <w:rsid w:val="00653D61"/>
    <w:rsid w:val="006A60D3"/>
    <w:rsid w:val="006A65FA"/>
    <w:rsid w:val="006B46D6"/>
    <w:rsid w:val="006B4B3A"/>
    <w:rsid w:val="006C56AF"/>
    <w:rsid w:val="006F6609"/>
    <w:rsid w:val="00715DE3"/>
    <w:rsid w:val="00723398"/>
    <w:rsid w:val="00731297"/>
    <w:rsid w:val="00766C14"/>
    <w:rsid w:val="00767BE2"/>
    <w:rsid w:val="00777B51"/>
    <w:rsid w:val="007835D0"/>
    <w:rsid w:val="00796C90"/>
    <w:rsid w:val="007B00E9"/>
    <w:rsid w:val="007C5FB6"/>
    <w:rsid w:val="007D1ED3"/>
    <w:rsid w:val="007E0347"/>
    <w:rsid w:val="007E2003"/>
    <w:rsid w:val="007E44B9"/>
    <w:rsid w:val="007E6E29"/>
    <w:rsid w:val="007F7A66"/>
    <w:rsid w:val="008044C7"/>
    <w:rsid w:val="008410D1"/>
    <w:rsid w:val="008416FC"/>
    <w:rsid w:val="00843C03"/>
    <w:rsid w:val="00851B35"/>
    <w:rsid w:val="00877759"/>
    <w:rsid w:val="0088574D"/>
    <w:rsid w:val="00887F37"/>
    <w:rsid w:val="008B71BB"/>
    <w:rsid w:val="008B7C3A"/>
    <w:rsid w:val="008D03D3"/>
    <w:rsid w:val="008D692A"/>
    <w:rsid w:val="008D71F3"/>
    <w:rsid w:val="008E50DA"/>
    <w:rsid w:val="008F5578"/>
    <w:rsid w:val="00920E0E"/>
    <w:rsid w:val="00942C2D"/>
    <w:rsid w:val="00945B3F"/>
    <w:rsid w:val="00951738"/>
    <w:rsid w:val="009567B0"/>
    <w:rsid w:val="00957D85"/>
    <w:rsid w:val="00966EDD"/>
    <w:rsid w:val="009B0203"/>
    <w:rsid w:val="009B2817"/>
    <w:rsid w:val="009B2FC3"/>
    <w:rsid w:val="009C70E4"/>
    <w:rsid w:val="009C7D1D"/>
    <w:rsid w:val="009D1190"/>
    <w:rsid w:val="009F048B"/>
    <w:rsid w:val="009F2438"/>
    <w:rsid w:val="009F5E36"/>
    <w:rsid w:val="00A1640A"/>
    <w:rsid w:val="00A249BD"/>
    <w:rsid w:val="00A26D14"/>
    <w:rsid w:val="00A52F0F"/>
    <w:rsid w:val="00A57890"/>
    <w:rsid w:val="00A637BB"/>
    <w:rsid w:val="00A7020D"/>
    <w:rsid w:val="00A907E6"/>
    <w:rsid w:val="00A953E4"/>
    <w:rsid w:val="00AA5E6E"/>
    <w:rsid w:val="00AB2450"/>
    <w:rsid w:val="00AD4C5F"/>
    <w:rsid w:val="00AF00FB"/>
    <w:rsid w:val="00AF3429"/>
    <w:rsid w:val="00B20A1F"/>
    <w:rsid w:val="00B33D3F"/>
    <w:rsid w:val="00B40106"/>
    <w:rsid w:val="00B563FC"/>
    <w:rsid w:val="00B749C8"/>
    <w:rsid w:val="00B75A1A"/>
    <w:rsid w:val="00B842BB"/>
    <w:rsid w:val="00B901C2"/>
    <w:rsid w:val="00B90C28"/>
    <w:rsid w:val="00B91608"/>
    <w:rsid w:val="00B91697"/>
    <w:rsid w:val="00B9606A"/>
    <w:rsid w:val="00BB40B2"/>
    <w:rsid w:val="00BB41A9"/>
    <w:rsid w:val="00BD5640"/>
    <w:rsid w:val="00BE2CBA"/>
    <w:rsid w:val="00C01A8E"/>
    <w:rsid w:val="00C27CAC"/>
    <w:rsid w:val="00C379C1"/>
    <w:rsid w:val="00C43D27"/>
    <w:rsid w:val="00C45B34"/>
    <w:rsid w:val="00C4627A"/>
    <w:rsid w:val="00C703B1"/>
    <w:rsid w:val="00C73464"/>
    <w:rsid w:val="00C930B1"/>
    <w:rsid w:val="00C96447"/>
    <w:rsid w:val="00C96F62"/>
    <w:rsid w:val="00CA3330"/>
    <w:rsid w:val="00CA5BD0"/>
    <w:rsid w:val="00CA5CC4"/>
    <w:rsid w:val="00CB79C7"/>
    <w:rsid w:val="00CC6989"/>
    <w:rsid w:val="00CE0C09"/>
    <w:rsid w:val="00D12A58"/>
    <w:rsid w:val="00D16C6B"/>
    <w:rsid w:val="00D24B3D"/>
    <w:rsid w:val="00D40EE4"/>
    <w:rsid w:val="00D6245E"/>
    <w:rsid w:val="00D63FEA"/>
    <w:rsid w:val="00D67EA3"/>
    <w:rsid w:val="00D70160"/>
    <w:rsid w:val="00D714F9"/>
    <w:rsid w:val="00D83926"/>
    <w:rsid w:val="00DA039B"/>
    <w:rsid w:val="00DA31CB"/>
    <w:rsid w:val="00DA3D25"/>
    <w:rsid w:val="00DA4830"/>
    <w:rsid w:val="00DB6B72"/>
    <w:rsid w:val="00DC1DD1"/>
    <w:rsid w:val="00DC5988"/>
    <w:rsid w:val="00DD0E03"/>
    <w:rsid w:val="00DD68CD"/>
    <w:rsid w:val="00DE395B"/>
    <w:rsid w:val="00DF6358"/>
    <w:rsid w:val="00E014C7"/>
    <w:rsid w:val="00E019EB"/>
    <w:rsid w:val="00E5130A"/>
    <w:rsid w:val="00E60238"/>
    <w:rsid w:val="00E729B5"/>
    <w:rsid w:val="00E872DF"/>
    <w:rsid w:val="00E91815"/>
    <w:rsid w:val="00E95220"/>
    <w:rsid w:val="00EA5354"/>
    <w:rsid w:val="00EB341F"/>
    <w:rsid w:val="00ED26BE"/>
    <w:rsid w:val="00EE12F1"/>
    <w:rsid w:val="00EE6790"/>
    <w:rsid w:val="00EF1E63"/>
    <w:rsid w:val="00F055DC"/>
    <w:rsid w:val="00F1629D"/>
    <w:rsid w:val="00F179F2"/>
    <w:rsid w:val="00F20726"/>
    <w:rsid w:val="00F4337D"/>
    <w:rsid w:val="00F459A4"/>
    <w:rsid w:val="00F53406"/>
    <w:rsid w:val="00F563F1"/>
    <w:rsid w:val="00F708A4"/>
    <w:rsid w:val="00F720B8"/>
    <w:rsid w:val="00F740AA"/>
    <w:rsid w:val="00F749A8"/>
    <w:rsid w:val="00FA6E19"/>
    <w:rsid w:val="00FB3C4B"/>
    <w:rsid w:val="00FD1F70"/>
    <w:rsid w:val="15A34E5D"/>
    <w:rsid w:val="17FB0BD8"/>
    <w:rsid w:val="1A6AD6E6"/>
    <w:rsid w:val="303AEF03"/>
    <w:rsid w:val="34228AB9"/>
    <w:rsid w:val="4BD03860"/>
    <w:rsid w:val="56D1000B"/>
    <w:rsid w:val="60E76247"/>
    <w:rsid w:val="6795BC3F"/>
    <w:rsid w:val="74A7FC28"/>
    <w:rsid w:val="7FD3363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D9EC"/>
  <w15:chartTrackingRefBased/>
  <w15:docId w15:val="{CE12C206-C0D4-434A-A8AD-BED911B3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8D71F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fr-FR"/>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fr-FR"/>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1F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CC6989"/>
    <w:pPr>
      <w:numPr>
        <w:numId w:val="0"/>
      </w:numPr>
      <w:jc w:val="center"/>
    </w:pPr>
  </w:style>
  <w:style w:type="character" w:customStyle="1" w:styleId="TitleChar">
    <w:name w:val="Title Char"/>
    <w:basedOn w:val="DefaultParagraphFont"/>
    <w:link w:val="Title"/>
    <w:uiPriority w:val="10"/>
    <w:rsid w:val="00CC698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en-GB"/>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NL"/>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7D1ED3"/>
    <w:pPr>
      <w:keepLines w:val="0"/>
      <w:numPr>
        <w:numId w:val="15"/>
      </w:numPr>
      <w:spacing w:before="120" w:after="240"/>
    </w:pPr>
    <w:rPr>
      <w:rFonts w:cstheme="minorBidi"/>
      <w:noProof w:val="0"/>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en-U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US"/>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FR"/>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FR"/>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B90C28"/>
    <w:pPr>
      <w:spacing w:after="0" w:line="240" w:lineRule="auto"/>
    </w:pPr>
    <w:rPr>
      <w:rFonts w:ascii="Tahoma" w:hAnsi="Tahoma"/>
      <w:sz w:val="20"/>
    </w:rPr>
  </w:style>
  <w:style w:type="paragraph" w:styleId="Header">
    <w:name w:val="header"/>
    <w:basedOn w:val="Normal"/>
    <w:link w:val="HeaderChar"/>
    <w:uiPriority w:val="99"/>
    <w:unhideWhenUsed/>
    <w:rsid w:val="002A7F84"/>
    <w:pPr>
      <w:tabs>
        <w:tab w:val="center" w:pos="4536"/>
        <w:tab w:val="right" w:pos="9072"/>
      </w:tabs>
    </w:pPr>
  </w:style>
  <w:style w:type="character" w:customStyle="1" w:styleId="HeaderChar">
    <w:name w:val="Header Char"/>
    <w:basedOn w:val="DefaultParagraphFont"/>
    <w:link w:val="Header"/>
    <w:uiPriority w:val="99"/>
    <w:rsid w:val="002A7F84"/>
    <w:rPr>
      <w:rFonts w:ascii="Tahoma" w:hAnsi="Tahoma"/>
      <w:sz w:val="20"/>
    </w:rPr>
  </w:style>
  <w:style w:type="paragraph" w:styleId="Footer">
    <w:name w:val="footer"/>
    <w:basedOn w:val="Normal"/>
    <w:link w:val="FooterChar"/>
    <w:uiPriority w:val="99"/>
    <w:unhideWhenUsed/>
    <w:rsid w:val="002A7F84"/>
    <w:pPr>
      <w:tabs>
        <w:tab w:val="center" w:pos="4536"/>
        <w:tab w:val="right" w:pos="9072"/>
      </w:tabs>
    </w:pPr>
  </w:style>
  <w:style w:type="character" w:customStyle="1" w:styleId="FooterChar">
    <w:name w:val="Footer Char"/>
    <w:basedOn w:val="DefaultParagraphFont"/>
    <w:link w:val="Footer"/>
    <w:uiPriority w:val="99"/>
    <w:rsid w:val="002A7F84"/>
    <w:rPr>
      <w:rFonts w:ascii="Tahoma" w:hAnsi="Tahoma"/>
      <w:sz w:val="20"/>
    </w:rPr>
  </w:style>
  <w:style w:type="character" w:customStyle="1" w:styleId="cf01">
    <w:name w:val="cf01"/>
    <w:basedOn w:val="DefaultParagraphFont"/>
    <w:rsid w:val="00F459A4"/>
    <w:rPr>
      <w:rFonts w:ascii="Segoe UI" w:hAnsi="Segoe UI" w:cs="Segoe UI" w:hint="default"/>
      <w:sz w:val="18"/>
      <w:szCs w:val="18"/>
    </w:rPr>
  </w:style>
  <w:style w:type="paragraph" w:customStyle="1" w:styleId="BodyIBPTBIPT">
    <w:name w:val="Body IBPT BIPT"/>
    <w:basedOn w:val="Normal"/>
    <w:link w:val="BodyIBPTBIPTCar"/>
    <w:rsid w:val="00723398"/>
    <w:pPr>
      <w:spacing w:before="120"/>
    </w:pPr>
    <w:rPr>
      <w:rFonts w:eastAsiaTheme="minorEastAsia"/>
      <w:color w:val="000000" w:themeColor="text1"/>
      <w:szCs w:val="20"/>
      <w:lang w:val="nl-BE"/>
      <w14:numForm w14:val="lining"/>
    </w:rPr>
  </w:style>
  <w:style w:type="character" w:customStyle="1" w:styleId="BodyIBPTBIPTCar">
    <w:name w:val="Body IBPT BIPT Car"/>
    <w:basedOn w:val="DefaultParagraphFont"/>
    <w:link w:val="BodyIBPTBIPT"/>
    <w:rsid w:val="00723398"/>
    <w:rPr>
      <w:rFonts w:ascii="Tahoma" w:eastAsiaTheme="minorEastAsia" w:hAnsi="Tahoma"/>
      <w:color w:val="000000" w:themeColor="text1"/>
      <w:sz w:val="20"/>
      <w:szCs w:val="20"/>
      <w:lang w:val="nl-BE"/>
      <w14:numForm w14:val="lining"/>
    </w:rPr>
  </w:style>
  <w:style w:type="paragraph" w:styleId="TOCHeading">
    <w:name w:val="TOC Heading"/>
    <w:basedOn w:val="Heading1"/>
    <w:next w:val="Normal"/>
    <w:uiPriority w:val="39"/>
    <w:unhideWhenUsed/>
    <w:qFormat/>
    <w:rsid w:val="00614144"/>
    <w:pPr>
      <w:keepNext/>
      <w:numPr>
        <w:numId w:val="0"/>
      </w:numPr>
      <w:spacing w:before="240" w:line="259" w:lineRule="auto"/>
      <w:jc w:val="left"/>
      <w:outlineLvl w:val="9"/>
    </w:pPr>
    <w:rPr>
      <w:rFonts w:asciiTheme="majorHAnsi" w:hAnsiTheme="majorHAnsi"/>
      <w:b w:val="0"/>
      <w:bCs w:val="0"/>
      <w:color w:val="1B80B2" w:themeColor="accent1" w:themeShade="BF"/>
      <w:sz w:val="32"/>
      <w:szCs w:val="32"/>
      <w:lang w:eastAsia="fr-BE"/>
    </w:rPr>
  </w:style>
  <w:style w:type="character" w:styleId="FollowedHyperlink">
    <w:name w:val="FollowedHyperlink"/>
    <w:basedOn w:val="DefaultParagraphFont"/>
    <w:uiPriority w:val="99"/>
    <w:semiHidden/>
    <w:unhideWhenUsed/>
    <w:rsid w:val="006A60D3"/>
    <w:rPr>
      <w:color w:val="834B93" w:themeColor="followedHyperlink"/>
      <w:u w:val="single"/>
    </w:rPr>
  </w:style>
  <w:style w:type="character" w:styleId="BookTitle">
    <w:name w:val="Book Title"/>
    <w:basedOn w:val="DefaultParagraphFont"/>
    <w:uiPriority w:val="33"/>
    <w:qFormat/>
    <w:rsid w:val="00DF6358"/>
    <w:rPr>
      <w:b/>
      <w:bCs/>
      <w:i/>
      <w:iCs/>
      <w:spacing w:val="5"/>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6C56AF"/>
    <w:pPr>
      <w:spacing w:before="100" w:beforeAutospacing="1" w:after="100" w:afterAutospacing="1"/>
      <w:jc w:val="left"/>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6733">
      <w:bodyDiv w:val="1"/>
      <w:marLeft w:val="0"/>
      <w:marRight w:val="0"/>
      <w:marTop w:val="0"/>
      <w:marBottom w:val="0"/>
      <w:divBdr>
        <w:top w:val="none" w:sz="0" w:space="0" w:color="auto"/>
        <w:left w:val="none" w:sz="0" w:space="0" w:color="auto"/>
        <w:bottom w:val="none" w:sz="0" w:space="0" w:color="auto"/>
        <w:right w:val="none" w:sz="0" w:space="0" w:color="auto"/>
      </w:divBdr>
    </w:div>
    <w:div w:id="1020621282">
      <w:bodyDiv w:val="1"/>
      <w:marLeft w:val="0"/>
      <w:marRight w:val="0"/>
      <w:marTop w:val="0"/>
      <w:marBottom w:val="0"/>
      <w:divBdr>
        <w:top w:val="none" w:sz="0" w:space="0" w:color="auto"/>
        <w:left w:val="none" w:sz="0" w:space="0" w:color="auto"/>
        <w:bottom w:val="none" w:sz="0" w:space="0" w:color="auto"/>
        <w:right w:val="none" w:sz="0" w:space="0" w:color="auto"/>
      </w:divBdr>
    </w:div>
    <w:div w:id="11362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justice.just.fgov.be/cgi_loi/change_lg.pl?language=nl&amp;la=N&amp;cn=2022102307&amp;table_name=w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G@bipt.b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t.sec@ibpt.b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kia.com/blog/timing-and-synchronization-options-to-support-5g/" TargetMode="External"/><Relationship Id="rId2" Type="http://schemas.openxmlformats.org/officeDocument/2006/relationships/hyperlink" Target="https://forum.huawei.com/enterprise/en/topic-discussion-5g-synchronization-solution/thread/1042990-100305?from=latestPostsReplies" TargetMode="External"/><Relationship Id="rId1" Type="http://schemas.openxmlformats.org/officeDocument/2006/relationships/hyperlink" Target="https://www.ericsson.com/en/reports-and-papers/ericsson-technology-review/articles/5g-synchronization-requirements-and-solutions"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2023-000195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DS23-1932324313-203</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DS23-1932324313-203</_dlc_DocId>
    <_dlc_DocIdUrl xmlns="2b4b6fc7-bde4-44a8-8bca-a78eb25a27e9">
      <Url>http://teamworkingspace.bipt.local/sites/dossiers2023/2/2023000195/_layouts/DocIdRedir.aspx?ID=DS23-1932324313-203</Url>
      <Description>DS23-1932324313-203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7AC1F-E2CC-4069-9450-5FEE0BDAED28}"/>
</file>

<file path=customXml/itemProps2.xml><?xml version="1.0" encoding="utf-8"?>
<ds:datastoreItem xmlns:ds="http://schemas.openxmlformats.org/officeDocument/2006/customXml" ds:itemID="{D6FBD6F8-CA0D-4F39-AE94-2E6395F205B0}"/>
</file>

<file path=customXml/itemProps3.xml><?xml version="1.0" encoding="utf-8"?>
<ds:datastoreItem xmlns:ds="http://schemas.openxmlformats.org/officeDocument/2006/customXml" ds:itemID="{FCDA24EF-526D-4F0A-8B32-705046F98759}"/>
</file>

<file path=customXml/itemProps4.xml><?xml version="1.0" encoding="utf-8"?>
<ds:datastoreItem xmlns:ds="http://schemas.openxmlformats.org/officeDocument/2006/customXml" ds:itemID="{705347AC-2E9F-4FC9-B316-33EAA35A63FC}"/>
</file>

<file path=customXml/itemProps5.xml><?xml version="1.0" encoding="utf-8"?>
<ds:datastoreItem xmlns:ds="http://schemas.openxmlformats.org/officeDocument/2006/customXml" ds:itemID="{87765F5F-5562-4F5D-B9F4-83DBFFAE26C1}"/>
</file>

<file path=customXml/itemProps6.xml><?xml version="1.0" encoding="utf-8"?>
<ds:datastoreItem xmlns:ds="http://schemas.openxmlformats.org/officeDocument/2006/customXml" ds:itemID="{F9F296C1-0D95-4CC5-8EE1-49E0B558067C}"/>
</file>

<file path=docProps/app.xml><?xml version="1.0" encoding="utf-8"?>
<Properties xmlns="http://schemas.openxmlformats.org/officeDocument/2006/extended-properties" xmlns:vt="http://schemas.openxmlformats.org/officeDocument/2006/docPropsVTypes">
  <Template>Normal</Template>
  <TotalTime>2112</TotalTime>
  <Pages>14</Pages>
  <Words>5296</Words>
  <Characters>29130</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00 document 0 - introduction_NL + adaptations (1)_NL</vt:lpstr>
      <vt:lpstr>00 document 0 - introduction_NL + adaptations (1)_NL</vt:lpstr>
    </vt:vector>
  </TitlesOfParts>
  <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document 0 - introduction_NL + adaptations (1)_NL</dc:title>
  <dc:subject/>
  <dc:creator>Pierre-François Vandenhaute</dc:creator>
  <cp:keywords/>
  <dc:description/>
  <cp:lastModifiedBy>Pierre-Yves Dethy</cp:lastModifiedBy>
  <cp:revision>82</cp:revision>
  <cp:lastPrinted>2023-04-27T07:48:00Z</cp:lastPrinted>
  <dcterms:created xsi:type="dcterms:W3CDTF">2023-03-23T03:30:00Z</dcterms:created>
  <dcterms:modified xsi:type="dcterms:W3CDTF">2023-05-16T06:15:00Z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5;#Dutch|6a9e699e-14a6-4582-b99d-f214c5b8b963</vt:lpwstr>
  </property>
  <property fmtid="{D5CDD505-2E9C-101B-9397-08002B2CF9AE}" pid="4" name="Service1">
    <vt:lpwstr>27;#Legal Department|dd78c772-9794-4686-a245-4df1b644d6ba</vt:lpwstr>
  </property>
  <property fmtid="{D5CDD505-2E9C-101B-9397-08002B2CF9AE}" pid="5" name="_dlc_DocIdItemGuid">
    <vt:lpwstr>d55008df-7ec3-4f16-8ea2-06b67a0528a8</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MSIP_Label_49c568a3-8637-42ee-a65c-3dcd5fe35721_Enabled">
    <vt:lpwstr>true</vt:lpwstr>
  </property>
  <property fmtid="{D5CDD505-2E9C-101B-9397-08002B2CF9AE}" pid="10" name="MSIP_Label_49c568a3-8637-42ee-a65c-3dcd5fe35721_SetDate">
    <vt:lpwstr>2023-04-07T13:18:34Z</vt:lpwstr>
  </property>
  <property fmtid="{D5CDD505-2E9C-101B-9397-08002B2CF9AE}" pid="11" name="MSIP_Label_49c568a3-8637-42ee-a65c-3dcd5fe35721_Method">
    <vt:lpwstr>Standard</vt:lpwstr>
  </property>
  <property fmtid="{D5CDD505-2E9C-101B-9397-08002B2CF9AE}" pid="12" name="MSIP_Label_49c568a3-8637-42ee-a65c-3dcd5fe35721_Name">
    <vt:lpwstr>49c568a3-8637-42ee-a65c-3dcd5fe35721</vt:lpwstr>
  </property>
  <property fmtid="{D5CDD505-2E9C-101B-9397-08002B2CF9AE}" pid="13" name="MSIP_Label_49c568a3-8637-42ee-a65c-3dcd5fe35721_SiteId">
    <vt:lpwstr>e7ab81b2-1e84-4bf7-9dcb-b6fec01ed138</vt:lpwstr>
  </property>
  <property fmtid="{D5CDD505-2E9C-101B-9397-08002B2CF9AE}" pid="14" name="MSIP_Label_49c568a3-8637-42ee-a65c-3dcd5fe35721_ActionId">
    <vt:lpwstr>f4d82d4a-6f44-4f40-b4f1-54a84808af54</vt:lpwstr>
  </property>
  <property fmtid="{D5CDD505-2E9C-101B-9397-08002B2CF9AE}" pid="15" name="MSIP_Label_49c568a3-8637-42ee-a65c-3dcd5fe35721_ContentBits">
    <vt:lpwstr>2</vt:lpwstr>
  </property>
  <property fmtid="{D5CDD505-2E9C-101B-9397-08002B2CF9AE}" pid="16" name="Document Type">
    <vt:lpwstr/>
  </property>
  <property fmtid="{D5CDD505-2E9C-101B-9397-08002B2CF9AE}" pid="17" name="Answer or Initiative">
    <vt:lpwstr/>
  </property>
</Properties>
</file>