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21C6" w14:textId="13877A06" w:rsidR="009B40C8" w:rsidRDefault="009B40C8"/>
    <w:sdt>
      <w:sdtPr>
        <w:rPr>
          <w:rFonts w:ascii="Tahoma" w:eastAsiaTheme="minorHAnsi" w:hAnsi="Tahoma" w:cstheme="minorBidi"/>
          <w:b w:val="0"/>
          <w:color w:val="auto"/>
          <w:sz w:val="20"/>
          <w:szCs w:val="22"/>
          <w:lang w:val="fr-FR" w:eastAsia="en-US"/>
        </w:rPr>
        <w:id w:val="-1706398010"/>
        <w:docPartObj>
          <w:docPartGallery w:val="Table of Contents"/>
          <w:docPartUnique/>
        </w:docPartObj>
      </w:sdtPr>
      <w:sdtEndPr>
        <w:rPr>
          <w:bCs/>
        </w:rPr>
      </w:sdtEndPr>
      <w:sdtContent>
        <w:p w14:paraId="05D46540" w14:textId="5E624B54" w:rsidR="009B40C8" w:rsidRDefault="009B40C8" w:rsidP="002F60E7">
          <w:pPr>
            <w:pStyle w:val="Kopvaninhoudsopgave"/>
            <w:rPr>
              <w:lang w:val="fr-FR"/>
            </w:rPr>
          </w:pPr>
          <w:r>
            <w:rPr>
              <w:lang w:val="fr-FR"/>
            </w:rPr>
            <w:t xml:space="preserve">Table des </w:t>
          </w:r>
          <w:proofErr w:type="spellStart"/>
          <w:r w:rsidRPr="002F60E7">
            <w:t>matières</w:t>
          </w:r>
          <w:proofErr w:type="spellEnd"/>
          <w:r w:rsidR="00C462D9">
            <w:t>/inhoudsopgave</w:t>
          </w:r>
        </w:p>
        <w:p w14:paraId="6B39D0CF" w14:textId="77777777" w:rsidR="009B40C8" w:rsidRPr="009B40C8" w:rsidRDefault="009B40C8" w:rsidP="009B40C8">
          <w:pPr>
            <w:rPr>
              <w:lang w:val="fr-FR" w:eastAsia="nl-BE"/>
            </w:rPr>
          </w:pPr>
        </w:p>
        <w:p w14:paraId="42FF7733" w14:textId="56FA3D8E" w:rsidR="00F478C3" w:rsidRDefault="009B40C8">
          <w:pPr>
            <w:pStyle w:val="Inhopg1"/>
            <w:rPr>
              <w:rFonts w:asciiTheme="minorHAnsi" w:eastAsiaTheme="minorEastAsia" w:hAnsiTheme="minorHAnsi"/>
              <w:noProof/>
              <w:sz w:val="22"/>
              <w:lang w:val="fr-BE" w:eastAsia="fr-BE"/>
            </w:rPr>
          </w:pPr>
          <w:r>
            <w:fldChar w:fldCharType="begin"/>
          </w:r>
          <w:r>
            <w:instrText xml:space="preserve"> TOC \o "1-3" \h \z \u </w:instrText>
          </w:r>
          <w:r>
            <w:fldChar w:fldCharType="separate"/>
          </w:r>
          <w:hyperlink w:anchor="_Toc96614948" w:history="1">
            <w:r w:rsidR="00F478C3" w:rsidRPr="003C2261">
              <w:rPr>
                <w:rStyle w:val="Hyperlink"/>
                <w:noProof/>
              </w:rPr>
              <w:t>Amendement n° 1</w:t>
            </w:r>
            <w:r w:rsidR="00F478C3">
              <w:rPr>
                <w:noProof/>
                <w:webHidden/>
              </w:rPr>
              <w:tab/>
            </w:r>
            <w:r w:rsidR="00F478C3">
              <w:rPr>
                <w:noProof/>
                <w:webHidden/>
              </w:rPr>
              <w:fldChar w:fldCharType="begin"/>
            </w:r>
            <w:r w:rsidR="00F478C3">
              <w:rPr>
                <w:noProof/>
                <w:webHidden/>
              </w:rPr>
              <w:instrText xml:space="preserve"> PAGEREF _Toc96614948 \h </w:instrText>
            </w:r>
            <w:r w:rsidR="00F478C3">
              <w:rPr>
                <w:noProof/>
                <w:webHidden/>
              </w:rPr>
            </w:r>
            <w:r w:rsidR="00F478C3">
              <w:rPr>
                <w:noProof/>
                <w:webHidden/>
              </w:rPr>
              <w:fldChar w:fldCharType="separate"/>
            </w:r>
            <w:r w:rsidR="00F478C3">
              <w:rPr>
                <w:noProof/>
                <w:webHidden/>
              </w:rPr>
              <w:t>2</w:t>
            </w:r>
            <w:r w:rsidR="00F478C3">
              <w:rPr>
                <w:noProof/>
                <w:webHidden/>
              </w:rPr>
              <w:fldChar w:fldCharType="end"/>
            </w:r>
          </w:hyperlink>
        </w:p>
        <w:p w14:paraId="5D8CC847" w14:textId="3DA5EC71" w:rsidR="00F478C3" w:rsidRDefault="00A33A52">
          <w:pPr>
            <w:pStyle w:val="Inhopg1"/>
            <w:rPr>
              <w:rFonts w:asciiTheme="minorHAnsi" w:eastAsiaTheme="minorEastAsia" w:hAnsiTheme="minorHAnsi"/>
              <w:noProof/>
              <w:sz w:val="22"/>
              <w:lang w:val="fr-BE" w:eastAsia="fr-BE"/>
            </w:rPr>
          </w:pPr>
          <w:hyperlink w:anchor="_Toc96614949" w:history="1">
            <w:r w:rsidR="00F478C3" w:rsidRPr="003C2261">
              <w:rPr>
                <w:rStyle w:val="Hyperlink"/>
                <w:noProof/>
              </w:rPr>
              <w:t>Amendement nr. 1</w:t>
            </w:r>
            <w:r w:rsidR="00F478C3">
              <w:rPr>
                <w:noProof/>
                <w:webHidden/>
              </w:rPr>
              <w:tab/>
            </w:r>
            <w:r w:rsidR="00F478C3">
              <w:rPr>
                <w:noProof/>
                <w:webHidden/>
              </w:rPr>
              <w:fldChar w:fldCharType="begin"/>
            </w:r>
            <w:r w:rsidR="00F478C3">
              <w:rPr>
                <w:noProof/>
                <w:webHidden/>
              </w:rPr>
              <w:instrText xml:space="preserve"> PAGEREF _Toc96614949 \h </w:instrText>
            </w:r>
            <w:r w:rsidR="00F478C3">
              <w:rPr>
                <w:noProof/>
                <w:webHidden/>
              </w:rPr>
            </w:r>
            <w:r w:rsidR="00F478C3">
              <w:rPr>
                <w:noProof/>
                <w:webHidden/>
              </w:rPr>
              <w:fldChar w:fldCharType="separate"/>
            </w:r>
            <w:r w:rsidR="00F478C3">
              <w:rPr>
                <w:noProof/>
                <w:webHidden/>
              </w:rPr>
              <w:t>2</w:t>
            </w:r>
            <w:r w:rsidR="00F478C3">
              <w:rPr>
                <w:noProof/>
                <w:webHidden/>
              </w:rPr>
              <w:fldChar w:fldCharType="end"/>
            </w:r>
          </w:hyperlink>
        </w:p>
        <w:p w14:paraId="7CEC2315" w14:textId="118311F3" w:rsidR="00F478C3" w:rsidRDefault="00A33A52">
          <w:pPr>
            <w:pStyle w:val="Inhopg1"/>
            <w:rPr>
              <w:rFonts w:asciiTheme="minorHAnsi" w:eastAsiaTheme="minorEastAsia" w:hAnsiTheme="minorHAnsi"/>
              <w:noProof/>
              <w:sz w:val="22"/>
              <w:lang w:val="fr-BE" w:eastAsia="fr-BE"/>
            </w:rPr>
          </w:pPr>
          <w:hyperlink w:anchor="_Toc96614950" w:history="1">
            <w:r w:rsidR="00F478C3" w:rsidRPr="003C2261">
              <w:rPr>
                <w:rStyle w:val="Hyperlink"/>
                <w:noProof/>
              </w:rPr>
              <w:t xml:space="preserve">Amendement </w:t>
            </w:r>
            <w:r w:rsidR="00F478C3" w:rsidRPr="003C2261">
              <w:rPr>
                <w:rStyle w:val="Hyperlink"/>
                <w:rFonts w:eastAsia="Times New Roman"/>
                <w:noProof/>
                <w:lang w:val="fr-FR" w:eastAsia="fr-FR"/>
              </w:rPr>
              <w:t>n° 2</w:t>
            </w:r>
            <w:r w:rsidR="00F478C3">
              <w:rPr>
                <w:noProof/>
                <w:webHidden/>
              </w:rPr>
              <w:tab/>
            </w:r>
            <w:r w:rsidR="00F478C3">
              <w:rPr>
                <w:noProof/>
                <w:webHidden/>
              </w:rPr>
              <w:fldChar w:fldCharType="begin"/>
            </w:r>
            <w:r w:rsidR="00F478C3">
              <w:rPr>
                <w:noProof/>
                <w:webHidden/>
              </w:rPr>
              <w:instrText xml:space="preserve"> PAGEREF _Toc96614950 \h </w:instrText>
            </w:r>
            <w:r w:rsidR="00F478C3">
              <w:rPr>
                <w:noProof/>
                <w:webHidden/>
              </w:rPr>
            </w:r>
            <w:r w:rsidR="00F478C3">
              <w:rPr>
                <w:noProof/>
                <w:webHidden/>
              </w:rPr>
              <w:fldChar w:fldCharType="separate"/>
            </w:r>
            <w:r w:rsidR="00F478C3">
              <w:rPr>
                <w:noProof/>
                <w:webHidden/>
              </w:rPr>
              <w:t>22</w:t>
            </w:r>
            <w:r w:rsidR="00F478C3">
              <w:rPr>
                <w:noProof/>
                <w:webHidden/>
              </w:rPr>
              <w:fldChar w:fldCharType="end"/>
            </w:r>
          </w:hyperlink>
        </w:p>
        <w:p w14:paraId="0A0ACDED" w14:textId="77FDD26D" w:rsidR="00F478C3" w:rsidRDefault="00A33A52">
          <w:pPr>
            <w:pStyle w:val="Inhopg1"/>
            <w:rPr>
              <w:rFonts w:asciiTheme="minorHAnsi" w:eastAsiaTheme="minorEastAsia" w:hAnsiTheme="minorHAnsi"/>
              <w:noProof/>
              <w:sz w:val="22"/>
              <w:lang w:val="fr-BE" w:eastAsia="fr-BE"/>
            </w:rPr>
          </w:pPr>
          <w:hyperlink w:anchor="_Toc96614951" w:history="1">
            <w:r w:rsidR="00F478C3" w:rsidRPr="003C2261">
              <w:rPr>
                <w:rStyle w:val="Hyperlink"/>
                <w:rFonts w:eastAsia="Times New Roman"/>
                <w:noProof/>
                <w:lang w:eastAsia="fr-FR"/>
              </w:rPr>
              <w:t>Amendement nr. 2</w:t>
            </w:r>
            <w:r w:rsidR="00F478C3">
              <w:rPr>
                <w:noProof/>
                <w:webHidden/>
              </w:rPr>
              <w:tab/>
            </w:r>
            <w:r w:rsidR="00F478C3">
              <w:rPr>
                <w:noProof/>
                <w:webHidden/>
              </w:rPr>
              <w:fldChar w:fldCharType="begin"/>
            </w:r>
            <w:r w:rsidR="00F478C3">
              <w:rPr>
                <w:noProof/>
                <w:webHidden/>
              </w:rPr>
              <w:instrText xml:space="preserve"> PAGEREF _Toc96614951 \h </w:instrText>
            </w:r>
            <w:r w:rsidR="00F478C3">
              <w:rPr>
                <w:noProof/>
                <w:webHidden/>
              </w:rPr>
            </w:r>
            <w:r w:rsidR="00F478C3">
              <w:rPr>
                <w:noProof/>
                <w:webHidden/>
              </w:rPr>
              <w:fldChar w:fldCharType="separate"/>
            </w:r>
            <w:r w:rsidR="00F478C3">
              <w:rPr>
                <w:noProof/>
                <w:webHidden/>
              </w:rPr>
              <w:t>22</w:t>
            </w:r>
            <w:r w:rsidR="00F478C3">
              <w:rPr>
                <w:noProof/>
                <w:webHidden/>
              </w:rPr>
              <w:fldChar w:fldCharType="end"/>
            </w:r>
          </w:hyperlink>
        </w:p>
        <w:p w14:paraId="5B8AA2C9" w14:textId="4FF6EF0C" w:rsidR="00F478C3" w:rsidRDefault="00A33A52">
          <w:pPr>
            <w:pStyle w:val="Inhopg1"/>
            <w:rPr>
              <w:rFonts w:asciiTheme="minorHAnsi" w:eastAsiaTheme="minorEastAsia" w:hAnsiTheme="minorHAnsi"/>
              <w:noProof/>
              <w:sz w:val="22"/>
              <w:lang w:val="fr-BE" w:eastAsia="fr-BE"/>
            </w:rPr>
          </w:pPr>
          <w:hyperlink w:anchor="_Toc96614952" w:history="1">
            <w:r w:rsidR="00F478C3" w:rsidRPr="003C2261">
              <w:rPr>
                <w:rStyle w:val="Hyperlink"/>
                <w:noProof/>
              </w:rPr>
              <w:t xml:space="preserve">Amendement </w:t>
            </w:r>
            <w:r w:rsidR="00F478C3" w:rsidRPr="003C2261">
              <w:rPr>
                <w:rStyle w:val="Hyperlink"/>
                <w:rFonts w:eastAsia="Times New Roman"/>
                <w:noProof/>
                <w:lang w:eastAsia="fr-FR"/>
              </w:rPr>
              <w:t>n° 3</w:t>
            </w:r>
            <w:r w:rsidR="00F478C3">
              <w:rPr>
                <w:noProof/>
                <w:webHidden/>
              </w:rPr>
              <w:tab/>
            </w:r>
            <w:r w:rsidR="00F478C3">
              <w:rPr>
                <w:noProof/>
                <w:webHidden/>
              </w:rPr>
              <w:fldChar w:fldCharType="begin"/>
            </w:r>
            <w:r w:rsidR="00F478C3">
              <w:rPr>
                <w:noProof/>
                <w:webHidden/>
              </w:rPr>
              <w:instrText xml:space="preserve"> PAGEREF _Toc96614952 \h </w:instrText>
            </w:r>
            <w:r w:rsidR="00F478C3">
              <w:rPr>
                <w:noProof/>
                <w:webHidden/>
              </w:rPr>
            </w:r>
            <w:r w:rsidR="00F478C3">
              <w:rPr>
                <w:noProof/>
                <w:webHidden/>
              </w:rPr>
              <w:fldChar w:fldCharType="separate"/>
            </w:r>
            <w:r w:rsidR="00F478C3">
              <w:rPr>
                <w:noProof/>
                <w:webHidden/>
              </w:rPr>
              <w:t>23</w:t>
            </w:r>
            <w:r w:rsidR="00F478C3">
              <w:rPr>
                <w:noProof/>
                <w:webHidden/>
              </w:rPr>
              <w:fldChar w:fldCharType="end"/>
            </w:r>
          </w:hyperlink>
        </w:p>
        <w:p w14:paraId="7093E0DE" w14:textId="753215AA" w:rsidR="00F478C3" w:rsidRDefault="00A33A52">
          <w:pPr>
            <w:pStyle w:val="Inhopg1"/>
            <w:rPr>
              <w:rFonts w:asciiTheme="minorHAnsi" w:eastAsiaTheme="minorEastAsia" w:hAnsiTheme="minorHAnsi"/>
              <w:noProof/>
              <w:sz w:val="22"/>
              <w:lang w:val="fr-BE" w:eastAsia="fr-BE"/>
            </w:rPr>
          </w:pPr>
          <w:hyperlink w:anchor="_Toc96614953" w:history="1">
            <w:r w:rsidR="00F478C3" w:rsidRPr="003C2261">
              <w:rPr>
                <w:rStyle w:val="Hyperlink"/>
                <w:rFonts w:eastAsia="Times New Roman"/>
                <w:noProof/>
                <w:lang w:eastAsia="fr-FR"/>
              </w:rPr>
              <w:t>Amendement nr. 3</w:t>
            </w:r>
            <w:r w:rsidR="00F478C3">
              <w:rPr>
                <w:noProof/>
                <w:webHidden/>
              </w:rPr>
              <w:tab/>
            </w:r>
            <w:r w:rsidR="00F478C3">
              <w:rPr>
                <w:noProof/>
                <w:webHidden/>
              </w:rPr>
              <w:fldChar w:fldCharType="begin"/>
            </w:r>
            <w:r w:rsidR="00F478C3">
              <w:rPr>
                <w:noProof/>
                <w:webHidden/>
              </w:rPr>
              <w:instrText xml:space="preserve"> PAGEREF _Toc96614953 \h </w:instrText>
            </w:r>
            <w:r w:rsidR="00F478C3">
              <w:rPr>
                <w:noProof/>
                <w:webHidden/>
              </w:rPr>
            </w:r>
            <w:r w:rsidR="00F478C3">
              <w:rPr>
                <w:noProof/>
                <w:webHidden/>
              </w:rPr>
              <w:fldChar w:fldCharType="separate"/>
            </w:r>
            <w:r w:rsidR="00F478C3">
              <w:rPr>
                <w:noProof/>
                <w:webHidden/>
              </w:rPr>
              <w:t>23</w:t>
            </w:r>
            <w:r w:rsidR="00F478C3">
              <w:rPr>
                <w:noProof/>
                <w:webHidden/>
              </w:rPr>
              <w:fldChar w:fldCharType="end"/>
            </w:r>
          </w:hyperlink>
        </w:p>
        <w:p w14:paraId="74269B68" w14:textId="43BB6B60" w:rsidR="00F478C3" w:rsidRDefault="00A33A52">
          <w:pPr>
            <w:pStyle w:val="Inhopg1"/>
            <w:rPr>
              <w:rFonts w:asciiTheme="minorHAnsi" w:eastAsiaTheme="minorEastAsia" w:hAnsiTheme="minorHAnsi"/>
              <w:noProof/>
              <w:sz w:val="22"/>
              <w:lang w:val="fr-BE" w:eastAsia="fr-BE"/>
            </w:rPr>
          </w:pPr>
          <w:hyperlink w:anchor="_Toc96614954" w:history="1">
            <w:r w:rsidR="00F478C3" w:rsidRPr="003C2261">
              <w:rPr>
                <w:rStyle w:val="Hyperlink"/>
                <w:rFonts w:eastAsia="Times New Roman"/>
                <w:noProof/>
                <w:lang w:val="fr-BE" w:eastAsia="fr-FR"/>
              </w:rPr>
              <w:t>Amendement n° 4</w:t>
            </w:r>
            <w:r w:rsidR="00F478C3">
              <w:rPr>
                <w:noProof/>
                <w:webHidden/>
              </w:rPr>
              <w:tab/>
            </w:r>
            <w:r w:rsidR="00F478C3">
              <w:rPr>
                <w:noProof/>
                <w:webHidden/>
              </w:rPr>
              <w:fldChar w:fldCharType="begin"/>
            </w:r>
            <w:r w:rsidR="00F478C3">
              <w:rPr>
                <w:noProof/>
                <w:webHidden/>
              </w:rPr>
              <w:instrText xml:space="preserve"> PAGEREF _Toc96614954 \h </w:instrText>
            </w:r>
            <w:r w:rsidR="00F478C3">
              <w:rPr>
                <w:noProof/>
                <w:webHidden/>
              </w:rPr>
            </w:r>
            <w:r w:rsidR="00F478C3">
              <w:rPr>
                <w:noProof/>
                <w:webHidden/>
              </w:rPr>
              <w:fldChar w:fldCharType="separate"/>
            </w:r>
            <w:r w:rsidR="00F478C3">
              <w:rPr>
                <w:noProof/>
                <w:webHidden/>
              </w:rPr>
              <w:t>35</w:t>
            </w:r>
            <w:r w:rsidR="00F478C3">
              <w:rPr>
                <w:noProof/>
                <w:webHidden/>
              </w:rPr>
              <w:fldChar w:fldCharType="end"/>
            </w:r>
          </w:hyperlink>
        </w:p>
        <w:p w14:paraId="0824E13E" w14:textId="39CDED3C" w:rsidR="00F478C3" w:rsidRDefault="00A33A52">
          <w:pPr>
            <w:pStyle w:val="Inhopg1"/>
            <w:rPr>
              <w:rFonts w:asciiTheme="minorHAnsi" w:eastAsiaTheme="minorEastAsia" w:hAnsiTheme="minorHAnsi"/>
              <w:noProof/>
              <w:sz w:val="22"/>
              <w:lang w:val="fr-BE" w:eastAsia="fr-BE"/>
            </w:rPr>
          </w:pPr>
          <w:hyperlink w:anchor="_Toc96614955" w:history="1">
            <w:r w:rsidR="00F478C3" w:rsidRPr="003C2261">
              <w:rPr>
                <w:rStyle w:val="Hyperlink"/>
                <w:rFonts w:eastAsia="Times New Roman"/>
                <w:noProof/>
                <w:lang w:eastAsia="fr-FR"/>
              </w:rPr>
              <w:t>Amendement nr. 4</w:t>
            </w:r>
            <w:r w:rsidR="00F478C3">
              <w:rPr>
                <w:noProof/>
                <w:webHidden/>
              </w:rPr>
              <w:tab/>
            </w:r>
            <w:r w:rsidR="00F478C3">
              <w:rPr>
                <w:noProof/>
                <w:webHidden/>
              </w:rPr>
              <w:fldChar w:fldCharType="begin"/>
            </w:r>
            <w:r w:rsidR="00F478C3">
              <w:rPr>
                <w:noProof/>
                <w:webHidden/>
              </w:rPr>
              <w:instrText xml:space="preserve"> PAGEREF _Toc96614955 \h </w:instrText>
            </w:r>
            <w:r w:rsidR="00F478C3">
              <w:rPr>
                <w:noProof/>
                <w:webHidden/>
              </w:rPr>
            </w:r>
            <w:r w:rsidR="00F478C3">
              <w:rPr>
                <w:noProof/>
                <w:webHidden/>
              </w:rPr>
              <w:fldChar w:fldCharType="separate"/>
            </w:r>
            <w:r w:rsidR="00F478C3">
              <w:rPr>
                <w:noProof/>
                <w:webHidden/>
              </w:rPr>
              <w:t>35</w:t>
            </w:r>
            <w:r w:rsidR="00F478C3">
              <w:rPr>
                <w:noProof/>
                <w:webHidden/>
              </w:rPr>
              <w:fldChar w:fldCharType="end"/>
            </w:r>
          </w:hyperlink>
        </w:p>
        <w:p w14:paraId="09E1AFC3" w14:textId="2B1198D8" w:rsidR="00F478C3" w:rsidRDefault="00A33A52">
          <w:pPr>
            <w:pStyle w:val="Inhopg1"/>
            <w:rPr>
              <w:rFonts w:asciiTheme="minorHAnsi" w:eastAsiaTheme="minorEastAsia" w:hAnsiTheme="minorHAnsi"/>
              <w:noProof/>
              <w:sz w:val="22"/>
              <w:lang w:val="fr-BE" w:eastAsia="fr-BE"/>
            </w:rPr>
          </w:pPr>
          <w:hyperlink w:anchor="_Toc96614956" w:history="1">
            <w:r w:rsidR="00F478C3" w:rsidRPr="003C2261">
              <w:rPr>
                <w:rStyle w:val="Hyperlink"/>
                <w:rFonts w:eastAsia="Times New Roman"/>
                <w:noProof/>
                <w:lang w:val="fr-BE" w:eastAsia="fr-FR"/>
              </w:rPr>
              <w:t>Amendement n° 5</w:t>
            </w:r>
            <w:r w:rsidR="00F478C3">
              <w:rPr>
                <w:noProof/>
                <w:webHidden/>
              </w:rPr>
              <w:tab/>
            </w:r>
            <w:r w:rsidR="00F478C3">
              <w:rPr>
                <w:noProof/>
                <w:webHidden/>
              </w:rPr>
              <w:fldChar w:fldCharType="begin"/>
            </w:r>
            <w:r w:rsidR="00F478C3">
              <w:rPr>
                <w:noProof/>
                <w:webHidden/>
              </w:rPr>
              <w:instrText xml:space="preserve"> PAGEREF _Toc96614956 \h </w:instrText>
            </w:r>
            <w:r w:rsidR="00F478C3">
              <w:rPr>
                <w:noProof/>
                <w:webHidden/>
              </w:rPr>
            </w:r>
            <w:r w:rsidR="00F478C3">
              <w:rPr>
                <w:noProof/>
                <w:webHidden/>
              </w:rPr>
              <w:fldChar w:fldCharType="separate"/>
            </w:r>
            <w:r w:rsidR="00F478C3">
              <w:rPr>
                <w:noProof/>
                <w:webHidden/>
              </w:rPr>
              <w:t>35</w:t>
            </w:r>
            <w:r w:rsidR="00F478C3">
              <w:rPr>
                <w:noProof/>
                <w:webHidden/>
              </w:rPr>
              <w:fldChar w:fldCharType="end"/>
            </w:r>
          </w:hyperlink>
        </w:p>
        <w:p w14:paraId="32209412" w14:textId="4C941DB1" w:rsidR="00F478C3" w:rsidRDefault="00A33A52">
          <w:pPr>
            <w:pStyle w:val="Inhopg1"/>
            <w:rPr>
              <w:rFonts w:asciiTheme="minorHAnsi" w:eastAsiaTheme="minorEastAsia" w:hAnsiTheme="minorHAnsi"/>
              <w:noProof/>
              <w:sz w:val="22"/>
              <w:lang w:val="fr-BE" w:eastAsia="fr-BE"/>
            </w:rPr>
          </w:pPr>
          <w:hyperlink w:anchor="_Toc96614957" w:history="1">
            <w:r w:rsidR="00F478C3" w:rsidRPr="003C2261">
              <w:rPr>
                <w:rStyle w:val="Hyperlink"/>
                <w:rFonts w:eastAsia="Times New Roman"/>
                <w:noProof/>
                <w:lang w:eastAsia="fr-FR"/>
              </w:rPr>
              <w:t>Amendement nr. 5</w:t>
            </w:r>
            <w:r w:rsidR="00F478C3">
              <w:rPr>
                <w:noProof/>
                <w:webHidden/>
              </w:rPr>
              <w:tab/>
            </w:r>
            <w:r w:rsidR="00F478C3">
              <w:rPr>
                <w:noProof/>
                <w:webHidden/>
              </w:rPr>
              <w:fldChar w:fldCharType="begin"/>
            </w:r>
            <w:r w:rsidR="00F478C3">
              <w:rPr>
                <w:noProof/>
                <w:webHidden/>
              </w:rPr>
              <w:instrText xml:space="preserve"> PAGEREF _Toc96614957 \h </w:instrText>
            </w:r>
            <w:r w:rsidR="00F478C3">
              <w:rPr>
                <w:noProof/>
                <w:webHidden/>
              </w:rPr>
            </w:r>
            <w:r w:rsidR="00F478C3">
              <w:rPr>
                <w:noProof/>
                <w:webHidden/>
              </w:rPr>
              <w:fldChar w:fldCharType="separate"/>
            </w:r>
            <w:r w:rsidR="00F478C3">
              <w:rPr>
                <w:noProof/>
                <w:webHidden/>
              </w:rPr>
              <w:t>35</w:t>
            </w:r>
            <w:r w:rsidR="00F478C3">
              <w:rPr>
                <w:noProof/>
                <w:webHidden/>
              </w:rPr>
              <w:fldChar w:fldCharType="end"/>
            </w:r>
          </w:hyperlink>
        </w:p>
        <w:p w14:paraId="403D0431" w14:textId="26DD5447" w:rsidR="009B40C8" w:rsidRDefault="009B40C8">
          <w:r>
            <w:rPr>
              <w:b/>
              <w:bCs/>
              <w:lang w:val="fr-FR"/>
            </w:rPr>
            <w:fldChar w:fldCharType="end"/>
          </w:r>
        </w:p>
      </w:sdtContent>
    </w:sdt>
    <w:p w14:paraId="1A19BC43" w14:textId="0F167E0F" w:rsidR="009B40C8" w:rsidRDefault="009B40C8">
      <w:r>
        <w:br w:type="page"/>
      </w:r>
    </w:p>
    <w:p w14:paraId="6CEEC283" w14:textId="77777777" w:rsidR="009B40C8" w:rsidRDefault="009B40C8"/>
    <w:tbl>
      <w:tblPr>
        <w:tblStyle w:val="Tabelraster"/>
        <w:tblW w:w="0" w:type="auto"/>
        <w:tblLook w:val="04A0" w:firstRow="1" w:lastRow="0" w:firstColumn="1" w:lastColumn="0" w:noHBand="0" w:noVBand="1"/>
      </w:tblPr>
      <w:tblGrid>
        <w:gridCol w:w="4508"/>
        <w:gridCol w:w="4508"/>
      </w:tblGrid>
      <w:tr w:rsidR="00705040" w:rsidRPr="002F7AA5" w14:paraId="49AE0F60" w14:textId="77777777" w:rsidTr="00705040">
        <w:tc>
          <w:tcPr>
            <w:tcW w:w="4508" w:type="dxa"/>
          </w:tcPr>
          <w:p w14:paraId="37E3C96C" w14:textId="4B0F31BF" w:rsidR="00705040" w:rsidRPr="00EB6D2B" w:rsidRDefault="00705040" w:rsidP="002F7AA5">
            <w:pPr>
              <w:jc w:val="center"/>
              <w:rPr>
                <w:rFonts w:asciiTheme="minorHAnsi" w:hAnsiTheme="minorHAnsi" w:cstheme="minorHAnsi"/>
                <w:b/>
                <w:bCs/>
                <w:sz w:val="22"/>
                <w:lang w:val="fr-BE"/>
              </w:rPr>
            </w:pPr>
            <w:r w:rsidRPr="00EB6D2B">
              <w:rPr>
                <w:rFonts w:asciiTheme="minorHAnsi" w:hAnsiTheme="minorHAnsi" w:cstheme="minorHAnsi"/>
                <w:b/>
                <w:bCs/>
                <w:sz w:val="22"/>
                <w:lang w:val="fr-BE"/>
              </w:rPr>
              <w:t>Projet de loi relatif à la collecte et à la conservation des données d’identification et des métadonnées dans le secteur des communications électroniques et à la fourniture de ces données aux autorités</w:t>
            </w:r>
          </w:p>
        </w:tc>
        <w:tc>
          <w:tcPr>
            <w:tcW w:w="4508" w:type="dxa"/>
          </w:tcPr>
          <w:p w14:paraId="38B3180A" w14:textId="70074FC8" w:rsidR="00705040" w:rsidRPr="002F7AA5" w:rsidRDefault="00705040" w:rsidP="002F7AA5">
            <w:pPr>
              <w:jc w:val="center"/>
              <w:rPr>
                <w:rFonts w:asciiTheme="minorHAnsi" w:hAnsiTheme="minorHAnsi" w:cstheme="minorHAnsi"/>
                <w:b/>
                <w:bCs/>
                <w:sz w:val="22"/>
              </w:rPr>
            </w:pPr>
            <w:r w:rsidRPr="002F7AA5">
              <w:rPr>
                <w:rFonts w:asciiTheme="minorHAnsi" w:hAnsiTheme="minorHAnsi" w:cstheme="minorHAnsi"/>
                <w:b/>
                <w:bCs/>
                <w:sz w:val="22"/>
              </w:rPr>
              <w:t>Wetsontwerp betreffende het verzamelen en het bewaren van de identificatiegegevens en van metagegevens in de sector van de elektronische communicatie en de verstrekking ervan aan de autoriteiten</w:t>
            </w:r>
          </w:p>
        </w:tc>
      </w:tr>
      <w:tr w:rsidR="00705040" w:rsidRPr="002F7AA5" w14:paraId="7A9C5548" w14:textId="77777777" w:rsidTr="00705040">
        <w:tc>
          <w:tcPr>
            <w:tcW w:w="4508" w:type="dxa"/>
          </w:tcPr>
          <w:p w14:paraId="3590A440" w14:textId="77777777" w:rsidR="00705040" w:rsidRPr="002F7AA5" w:rsidRDefault="00705040" w:rsidP="00270C6B">
            <w:pPr>
              <w:rPr>
                <w:rFonts w:asciiTheme="minorHAnsi" w:hAnsiTheme="minorHAnsi" w:cstheme="minorHAnsi"/>
                <w:sz w:val="22"/>
              </w:rPr>
            </w:pPr>
          </w:p>
        </w:tc>
        <w:tc>
          <w:tcPr>
            <w:tcW w:w="4508" w:type="dxa"/>
          </w:tcPr>
          <w:p w14:paraId="08FA04F1" w14:textId="77777777" w:rsidR="00705040" w:rsidRPr="002F7AA5" w:rsidRDefault="00705040" w:rsidP="00270C6B">
            <w:pPr>
              <w:rPr>
                <w:rFonts w:asciiTheme="minorHAnsi" w:hAnsiTheme="minorHAnsi" w:cstheme="minorHAnsi"/>
                <w:sz w:val="22"/>
              </w:rPr>
            </w:pPr>
          </w:p>
        </w:tc>
      </w:tr>
      <w:tr w:rsidR="00F30795" w:rsidRPr="002F7AA5" w14:paraId="5155312E" w14:textId="77777777" w:rsidTr="00705040">
        <w:tc>
          <w:tcPr>
            <w:tcW w:w="4508" w:type="dxa"/>
          </w:tcPr>
          <w:p w14:paraId="2D3ED734" w14:textId="3585C57F" w:rsidR="00F30795" w:rsidRPr="00056D8A" w:rsidRDefault="00F30795" w:rsidP="00904A62">
            <w:pPr>
              <w:pStyle w:val="Kop1"/>
              <w:outlineLvl w:val="0"/>
            </w:pPr>
            <w:bookmarkStart w:id="0" w:name="_Toc96614948"/>
            <w:r w:rsidRPr="00056D8A">
              <w:t>Amendement n° 1</w:t>
            </w:r>
            <w:bookmarkEnd w:id="0"/>
          </w:p>
        </w:tc>
        <w:tc>
          <w:tcPr>
            <w:tcW w:w="4508" w:type="dxa"/>
          </w:tcPr>
          <w:p w14:paraId="5ED2A01C" w14:textId="2EC29B67" w:rsidR="00F30795" w:rsidRPr="00056D8A" w:rsidRDefault="00F30795" w:rsidP="00904A62">
            <w:pPr>
              <w:pStyle w:val="Kop1"/>
              <w:outlineLvl w:val="0"/>
            </w:pPr>
            <w:bookmarkStart w:id="1" w:name="_Toc96614949"/>
            <w:r w:rsidRPr="00056D8A">
              <w:t>Amendement nr. 1</w:t>
            </w:r>
            <w:bookmarkEnd w:id="1"/>
          </w:p>
        </w:tc>
      </w:tr>
      <w:tr w:rsidR="00F30795" w:rsidRPr="002F7AA5" w14:paraId="45440DA6" w14:textId="77777777" w:rsidTr="00705040">
        <w:tc>
          <w:tcPr>
            <w:tcW w:w="4508" w:type="dxa"/>
          </w:tcPr>
          <w:p w14:paraId="4C4C97D6" w14:textId="77777777" w:rsidR="00F30795" w:rsidRPr="00F30795" w:rsidRDefault="00F30795" w:rsidP="00F30795">
            <w:pPr>
              <w:jc w:val="center"/>
              <w:rPr>
                <w:rFonts w:asciiTheme="minorHAnsi" w:hAnsiTheme="minorHAnsi" w:cstheme="minorHAnsi"/>
                <w:sz w:val="22"/>
              </w:rPr>
            </w:pPr>
          </w:p>
        </w:tc>
        <w:tc>
          <w:tcPr>
            <w:tcW w:w="4508" w:type="dxa"/>
          </w:tcPr>
          <w:p w14:paraId="3169DCB0" w14:textId="77777777" w:rsidR="00F30795" w:rsidRPr="00F30795" w:rsidRDefault="00F30795" w:rsidP="00F30795">
            <w:pPr>
              <w:jc w:val="center"/>
              <w:rPr>
                <w:rFonts w:asciiTheme="minorHAnsi" w:hAnsiTheme="minorHAnsi" w:cstheme="minorHAnsi"/>
                <w:sz w:val="22"/>
              </w:rPr>
            </w:pPr>
          </w:p>
        </w:tc>
      </w:tr>
      <w:tr w:rsidR="00F30795" w:rsidRPr="002F7AA5" w14:paraId="0E72D5F5" w14:textId="77777777" w:rsidTr="00705040">
        <w:tc>
          <w:tcPr>
            <w:tcW w:w="4508" w:type="dxa"/>
          </w:tcPr>
          <w:p w14:paraId="2028BDC4" w14:textId="27A0B98E" w:rsidR="00F30795" w:rsidRPr="00F30795" w:rsidRDefault="00F30795" w:rsidP="00F30795">
            <w:pPr>
              <w:jc w:val="center"/>
              <w:rPr>
                <w:rFonts w:asciiTheme="minorHAnsi" w:hAnsiTheme="minorHAnsi" w:cstheme="minorHAnsi"/>
                <w:b/>
                <w:bCs/>
                <w:sz w:val="22"/>
              </w:rPr>
            </w:pPr>
            <w:proofErr w:type="spellStart"/>
            <w:r w:rsidRPr="00F30795">
              <w:rPr>
                <w:rFonts w:ascii="Calibri" w:eastAsia="Times New Roman" w:hAnsi="Calibri" w:cs="Calibri"/>
                <w:b/>
                <w:bCs/>
                <w:sz w:val="22"/>
                <w:lang w:eastAsia="fr-FR"/>
              </w:rPr>
              <w:t>Article</w:t>
            </w:r>
            <w:proofErr w:type="spellEnd"/>
            <w:r w:rsidRPr="00F30795">
              <w:rPr>
                <w:rFonts w:ascii="Calibri" w:eastAsia="Times New Roman" w:hAnsi="Calibri" w:cs="Calibri"/>
                <w:b/>
                <w:bCs/>
                <w:sz w:val="22"/>
                <w:lang w:eastAsia="fr-FR"/>
              </w:rPr>
              <w:t xml:space="preserve"> 8</w:t>
            </w:r>
          </w:p>
        </w:tc>
        <w:tc>
          <w:tcPr>
            <w:tcW w:w="4508" w:type="dxa"/>
          </w:tcPr>
          <w:p w14:paraId="5604BA7B" w14:textId="5BFB4E55" w:rsidR="00F30795" w:rsidRPr="00F30795" w:rsidRDefault="00F30795" w:rsidP="00F30795">
            <w:pPr>
              <w:jc w:val="center"/>
              <w:rPr>
                <w:rFonts w:asciiTheme="minorHAnsi" w:hAnsiTheme="minorHAnsi" w:cstheme="minorHAnsi"/>
                <w:sz w:val="22"/>
              </w:rPr>
            </w:pPr>
            <w:r w:rsidRPr="00F30795">
              <w:rPr>
                <w:rFonts w:ascii="Calibri" w:eastAsia="Times New Roman" w:hAnsi="Calibri" w:cs="Calibri"/>
                <w:b/>
                <w:sz w:val="22"/>
                <w:lang w:eastAsia="fr-FR"/>
              </w:rPr>
              <w:t>Artikel 8</w:t>
            </w:r>
          </w:p>
        </w:tc>
      </w:tr>
      <w:tr w:rsidR="00F30795" w:rsidRPr="002F7AA5" w14:paraId="746713D8" w14:textId="77777777" w:rsidTr="00705040">
        <w:tc>
          <w:tcPr>
            <w:tcW w:w="4508" w:type="dxa"/>
          </w:tcPr>
          <w:p w14:paraId="6686C03D" w14:textId="77777777" w:rsidR="00F30795" w:rsidRPr="00F30795" w:rsidRDefault="00F30795" w:rsidP="00F30795">
            <w:pPr>
              <w:jc w:val="center"/>
              <w:rPr>
                <w:rFonts w:asciiTheme="minorHAnsi" w:hAnsiTheme="minorHAnsi" w:cstheme="minorHAnsi"/>
                <w:sz w:val="22"/>
              </w:rPr>
            </w:pPr>
          </w:p>
        </w:tc>
        <w:tc>
          <w:tcPr>
            <w:tcW w:w="4508" w:type="dxa"/>
          </w:tcPr>
          <w:p w14:paraId="5A89D2C1" w14:textId="77777777" w:rsidR="00F30795" w:rsidRPr="00F30795" w:rsidRDefault="00F30795" w:rsidP="00F30795">
            <w:pPr>
              <w:jc w:val="center"/>
              <w:rPr>
                <w:rFonts w:asciiTheme="minorHAnsi" w:hAnsiTheme="minorHAnsi" w:cstheme="minorHAnsi"/>
                <w:sz w:val="22"/>
              </w:rPr>
            </w:pPr>
          </w:p>
        </w:tc>
      </w:tr>
      <w:tr w:rsidR="00F30795" w:rsidRPr="002F7AA5" w14:paraId="624935A6" w14:textId="77777777" w:rsidTr="00705040">
        <w:tc>
          <w:tcPr>
            <w:tcW w:w="4508" w:type="dxa"/>
          </w:tcPr>
          <w:p w14:paraId="31714E97" w14:textId="630AA7B4" w:rsidR="00F30795" w:rsidRPr="00EB6D2B" w:rsidRDefault="00F30795" w:rsidP="00D4569E">
            <w:pPr>
              <w:jc w:val="both"/>
              <w:rPr>
                <w:rFonts w:asciiTheme="minorHAnsi" w:hAnsiTheme="minorHAnsi" w:cstheme="minorHAnsi"/>
                <w:sz w:val="22"/>
                <w:lang w:val="fr-BE"/>
              </w:rPr>
            </w:pPr>
            <w:r w:rsidRPr="00F30795">
              <w:rPr>
                <w:rFonts w:ascii="Calibri" w:eastAsia="Times New Roman" w:hAnsi="Calibri" w:cs="Calibri"/>
                <w:sz w:val="22"/>
                <w:lang w:val="fr-BE" w:eastAsia="fr-FR"/>
              </w:rPr>
              <w:t>L’article 126 proposé est remplacé par ce qui suit :</w:t>
            </w:r>
          </w:p>
        </w:tc>
        <w:tc>
          <w:tcPr>
            <w:tcW w:w="4508" w:type="dxa"/>
          </w:tcPr>
          <w:p w14:paraId="62E0B9EA" w14:textId="2AD08B32" w:rsidR="00F30795" w:rsidRPr="00F30795" w:rsidRDefault="00F30795" w:rsidP="00D4569E">
            <w:pPr>
              <w:jc w:val="both"/>
              <w:rPr>
                <w:rFonts w:asciiTheme="minorHAnsi" w:hAnsiTheme="minorHAnsi" w:cstheme="minorHAnsi"/>
                <w:sz w:val="22"/>
              </w:rPr>
            </w:pPr>
            <w:r w:rsidRPr="00F30795">
              <w:rPr>
                <w:rFonts w:ascii="Calibri" w:hAnsi="Calibri"/>
                <w:sz w:val="22"/>
              </w:rPr>
              <w:t>Het voorgestelde artikel 126 wordt vervangen als volgt:</w:t>
            </w:r>
          </w:p>
        </w:tc>
      </w:tr>
      <w:tr w:rsidR="00F30795" w:rsidRPr="002F7AA5" w14:paraId="0E168DD9" w14:textId="77777777" w:rsidTr="00705040">
        <w:tc>
          <w:tcPr>
            <w:tcW w:w="4508" w:type="dxa"/>
          </w:tcPr>
          <w:p w14:paraId="2D9C13DF" w14:textId="77777777" w:rsidR="00F30795" w:rsidRPr="002F7AA5" w:rsidRDefault="00F30795" w:rsidP="00F30795">
            <w:pPr>
              <w:rPr>
                <w:rFonts w:asciiTheme="minorHAnsi" w:hAnsiTheme="minorHAnsi" w:cstheme="minorHAnsi"/>
                <w:sz w:val="22"/>
              </w:rPr>
            </w:pPr>
          </w:p>
        </w:tc>
        <w:tc>
          <w:tcPr>
            <w:tcW w:w="4508" w:type="dxa"/>
          </w:tcPr>
          <w:p w14:paraId="57B3216F" w14:textId="77777777" w:rsidR="00F30795" w:rsidRPr="002F7AA5" w:rsidRDefault="00F30795" w:rsidP="00F30795">
            <w:pPr>
              <w:rPr>
                <w:rFonts w:asciiTheme="minorHAnsi" w:hAnsiTheme="minorHAnsi" w:cstheme="minorHAnsi"/>
                <w:sz w:val="22"/>
              </w:rPr>
            </w:pPr>
          </w:p>
        </w:tc>
      </w:tr>
      <w:tr w:rsidR="00EE1575" w:rsidRPr="002F7AA5" w14:paraId="0F2AE163" w14:textId="77777777" w:rsidTr="00705040">
        <w:tc>
          <w:tcPr>
            <w:tcW w:w="4508" w:type="dxa"/>
          </w:tcPr>
          <w:p w14:paraId="124C6E3D" w14:textId="074C2889"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 1.</w:t>
            </w:r>
            <w:r w:rsidRPr="00C462D9">
              <w:rPr>
                <w:rFonts w:asciiTheme="minorHAnsi" w:hAnsiTheme="minorHAnsi" w:cstheme="minorHAnsi"/>
                <w:sz w:val="22"/>
                <w:vertAlign w:val="superscript"/>
                <w:lang w:val="fr-BE"/>
              </w:rPr>
              <w:t xml:space="preserve"> </w:t>
            </w:r>
            <w:r w:rsidRPr="00C462D9">
              <w:rPr>
                <w:rFonts w:asciiTheme="minorHAnsi" w:hAnsiTheme="minorHAnsi" w:cstheme="minorHAnsi"/>
                <w:color w:val="000000" w:themeColor="text1"/>
                <w:sz w:val="22"/>
                <w:lang w:val="fr-FR"/>
              </w:rPr>
              <w:t>Sans préjudice du RGPD et de la loi du 30 juillet 2018, les opérateurs qui offrent aux utilisateurs finaux des services de communications électroniques</w:t>
            </w:r>
            <w:r w:rsidRPr="00C462D9">
              <w:rPr>
                <w:rFonts w:asciiTheme="minorHAnsi" w:hAnsiTheme="minorHAnsi" w:cstheme="minorHAnsi"/>
                <w:sz w:val="22"/>
                <w:lang w:val="fr-BE"/>
              </w:rPr>
              <w:t>,</w:t>
            </w:r>
            <w:r w:rsidRPr="00C462D9">
              <w:rPr>
                <w:rFonts w:asciiTheme="minorHAnsi" w:hAnsiTheme="minorHAnsi" w:cstheme="minorHAnsi"/>
                <w:color w:val="000000" w:themeColor="text1"/>
                <w:sz w:val="22"/>
                <w:lang w:val="fr-FR"/>
              </w:rPr>
              <w:t xml:space="preserve"> ainsi que les opérateurs fournissant les réseaux de communications électroniques qui permettent la fourniture de ces services, conservent les données suivantes</w:t>
            </w:r>
            <w:r w:rsidRPr="00C462D9">
              <w:rPr>
                <w:rFonts w:asciiTheme="minorHAnsi" w:hAnsiTheme="minorHAnsi" w:cstheme="minorHAnsi"/>
                <w:color w:val="000000"/>
                <w:sz w:val="22"/>
                <w:lang w:val="fr-BE"/>
              </w:rPr>
              <w:t xml:space="preserve">, </w:t>
            </w:r>
            <w:r w:rsidRPr="00C462D9">
              <w:rPr>
                <w:rFonts w:asciiTheme="minorHAnsi" w:hAnsiTheme="minorHAnsi" w:cstheme="minorHAnsi"/>
                <w:color w:val="000000" w:themeColor="text1"/>
                <w:sz w:val="22"/>
                <w:lang w:val="fr-FR"/>
              </w:rPr>
              <w:t xml:space="preserve">pour autant qu’ils les traitent ou les génèrent dans le cadre de la fourniture de ces réseaux ou services </w:t>
            </w:r>
            <w:r w:rsidRPr="00C462D9">
              <w:rPr>
                <w:rFonts w:asciiTheme="minorHAnsi" w:hAnsiTheme="minorHAnsi" w:cstheme="minorHAnsi"/>
                <w:color w:val="000000"/>
                <w:sz w:val="22"/>
                <w:lang w:val="fr-BE"/>
              </w:rPr>
              <w:t xml:space="preserve">:  </w:t>
            </w:r>
          </w:p>
        </w:tc>
        <w:tc>
          <w:tcPr>
            <w:tcW w:w="4508" w:type="dxa"/>
          </w:tcPr>
          <w:p w14:paraId="192DDAAD" w14:textId="7C300B96"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 1. </w:t>
            </w:r>
            <w:r w:rsidRPr="00C462D9">
              <w:rPr>
                <w:rFonts w:asciiTheme="minorHAnsi" w:hAnsiTheme="minorHAnsi" w:cstheme="minorHAnsi"/>
                <w:color w:val="000000" w:themeColor="text1"/>
                <w:sz w:val="22"/>
              </w:rPr>
              <w:t xml:space="preserve">Onverminderd de AVG en de wet van 30 juli 2018, bewaren de operatoren die aan de eindgebruikers elektronische-communicatiediensten bieden, alsook de operatoren die de elektronische-communicatienetwerken </w:t>
            </w:r>
            <w:r w:rsidRPr="00C462D9">
              <w:rPr>
                <w:rFonts w:asciiTheme="minorHAnsi" w:hAnsiTheme="minorHAnsi" w:cstheme="minorHAnsi"/>
                <w:sz w:val="22"/>
              </w:rPr>
              <w:t xml:space="preserve">aanbieden waarmee deze diensten verstrekt kunnen worden, de </w:t>
            </w:r>
            <w:r w:rsidR="00876B45" w:rsidRPr="00D169DD">
              <w:rPr>
                <w:rFonts w:asciiTheme="minorHAnsi" w:hAnsiTheme="minorHAnsi" w:cstheme="minorHAnsi"/>
                <w:sz w:val="22"/>
              </w:rPr>
              <w:t>volgende gegevens voor zover ze die verwerken of genereren in het kader van de verstrekking van die netwerken of diensten:</w:t>
            </w:r>
          </w:p>
        </w:tc>
      </w:tr>
      <w:tr w:rsidR="00EE1575" w:rsidRPr="002F7AA5" w14:paraId="6BA82820" w14:textId="77777777" w:rsidTr="00705040">
        <w:tc>
          <w:tcPr>
            <w:tcW w:w="4508" w:type="dxa"/>
          </w:tcPr>
          <w:p w14:paraId="7B1551D4" w14:textId="77777777" w:rsidR="00EE1575" w:rsidRPr="00C462D9" w:rsidRDefault="00EE1575" w:rsidP="00EE1575">
            <w:pPr>
              <w:jc w:val="both"/>
              <w:rPr>
                <w:rFonts w:asciiTheme="minorHAnsi" w:hAnsiTheme="minorHAnsi" w:cstheme="minorHAnsi"/>
                <w:sz w:val="22"/>
              </w:rPr>
            </w:pPr>
          </w:p>
        </w:tc>
        <w:tc>
          <w:tcPr>
            <w:tcW w:w="4508" w:type="dxa"/>
          </w:tcPr>
          <w:p w14:paraId="7BF11B10" w14:textId="77777777" w:rsidR="00EE1575" w:rsidRPr="00C462D9" w:rsidRDefault="00EE1575" w:rsidP="00EE1575">
            <w:pPr>
              <w:jc w:val="both"/>
              <w:rPr>
                <w:rFonts w:asciiTheme="minorHAnsi" w:hAnsiTheme="minorHAnsi" w:cstheme="minorHAnsi"/>
                <w:sz w:val="22"/>
              </w:rPr>
            </w:pPr>
          </w:p>
        </w:tc>
      </w:tr>
      <w:tr w:rsidR="00EE1575" w:rsidRPr="002F7AA5" w14:paraId="7330CB90" w14:textId="77777777" w:rsidTr="00705040">
        <w:tc>
          <w:tcPr>
            <w:tcW w:w="4508" w:type="dxa"/>
          </w:tcPr>
          <w:p w14:paraId="2D184272" w14:textId="23A89E46"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1° le numéro de Registre national ou un numéro équivalent, le nom et le prénom de l’utilisateur final qui est une personne physique ou la dénomination de l’abonné qui est une personne morale</w:t>
            </w:r>
            <w:r w:rsidR="00A26693" w:rsidRPr="00C462D9">
              <w:rPr>
                <w:rFonts w:asciiTheme="minorHAnsi" w:hAnsiTheme="minorHAnsi" w:cstheme="minorHAnsi"/>
                <w:sz w:val="22"/>
                <w:lang w:val="fr-BE"/>
              </w:rPr>
              <w:t xml:space="preserve"> </w:t>
            </w:r>
            <w:r w:rsidRPr="00C462D9">
              <w:rPr>
                <w:rFonts w:asciiTheme="minorHAnsi" w:hAnsiTheme="minorHAnsi" w:cstheme="minorHAnsi"/>
                <w:sz w:val="22"/>
                <w:lang w:val="fr-BE"/>
              </w:rPr>
              <w:t xml:space="preserve">; </w:t>
            </w:r>
          </w:p>
        </w:tc>
        <w:tc>
          <w:tcPr>
            <w:tcW w:w="4508" w:type="dxa"/>
          </w:tcPr>
          <w:p w14:paraId="16B9DBC5" w14:textId="1BF84047"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1° het Rijksregisternummer of een  equivalent nummer, de naam en voornaam van de eindgebruiker die een natuurlijke persoon is of de naam van de abonnee die een rechtspersoon is;</w:t>
            </w:r>
          </w:p>
        </w:tc>
      </w:tr>
      <w:tr w:rsidR="00EE1575" w:rsidRPr="002F7AA5" w14:paraId="32805538" w14:textId="77777777" w:rsidTr="00705040">
        <w:tc>
          <w:tcPr>
            <w:tcW w:w="4508" w:type="dxa"/>
          </w:tcPr>
          <w:p w14:paraId="31FE3997" w14:textId="77777777" w:rsidR="00EE1575" w:rsidRPr="00C462D9" w:rsidRDefault="00EE1575" w:rsidP="00EE1575">
            <w:pPr>
              <w:jc w:val="both"/>
              <w:rPr>
                <w:rFonts w:asciiTheme="minorHAnsi" w:hAnsiTheme="minorHAnsi" w:cstheme="minorHAnsi"/>
                <w:sz w:val="22"/>
              </w:rPr>
            </w:pPr>
          </w:p>
        </w:tc>
        <w:tc>
          <w:tcPr>
            <w:tcW w:w="4508" w:type="dxa"/>
          </w:tcPr>
          <w:p w14:paraId="00F42D73" w14:textId="77777777" w:rsidR="00EE1575" w:rsidRPr="00C462D9" w:rsidRDefault="00EE1575" w:rsidP="00EE1575">
            <w:pPr>
              <w:jc w:val="both"/>
              <w:rPr>
                <w:rFonts w:asciiTheme="minorHAnsi" w:hAnsiTheme="minorHAnsi" w:cstheme="minorHAnsi"/>
                <w:sz w:val="22"/>
              </w:rPr>
            </w:pPr>
          </w:p>
        </w:tc>
      </w:tr>
      <w:tr w:rsidR="00EE1575" w:rsidRPr="002F7AA5" w14:paraId="19E05A5B" w14:textId="77777777" w:rsidTr="00705040">
        <w:tc>
          <w:tcPr>
            <w:tcW w:w="4508" w:type="dxa"/>
          </w:tcPr>
          <w:p w14:paraId="60FFDC19" w14:textId="1DC6AA14"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 xml:space="preserve">2° l’alias éventuel choisi par l’utilisateur final lors de la souscription au service ou de l’activation du service ; </w:t>
            </w:r>
          </w:p>
        </w:tc>
        <w:tc>
          <w:tcPr>
            <w:tcW w:w="4508" w:type="dxa"/>
          </w:tcPr>
          <w:p w14:paraId="52AB8A2A" w14:textId="61406AFC" w:rsidR="00EE1575" w:rsidRPr="00C462D9" w:rsidRDefault="00EE1575" w:rsidP="00EE1575">
            <w:pPr>
              <w:jc w:val="both"/>
              <w:rPr>
                <w:rFonts w:asciiTheme="minorHAnsi" w:hAnsiTheme="minorHAnsi" w:cstheme="minorHAnsi"/>
                <w:sz w:val="22"/>
              </w:rPr>
            </w:pPr>
            <w:r w:rsidRPr="00EF5D0F">
              <w:rPr>
                <w:rFonts w:asciiTheme="minorHAnsi" w:hAnsiTheme="minorHAnsi" w:cstheme="minorHAnsi"/>
                <w:sz w:val="22"/>
                <w:lang w:val="fr-BE"/>
              </w:rPr>
              <w:t xml:space="preserve"> </w:t>
            </w:r>
            <w:r w:rsidRPr="00C462D9">
              <w:rPr>
                <w:rFonts w:asciiTheme="minorHAnsi" w:hAnsiTheme="minorHAnsi" w:cstheme="minorHAnsi"/>
                <w:sz w:val="22"/>
              </w:rPr>
              <w:t>2° de eventuele alias gekozen door de eindgebruiker bij de inschrijving op of de activering van de dienst;</w:t>
            </w:r>
          </w:p>
        </w:tc>
      </w:tr>
      <w:tr w:rsidR="00EE1575" w:rsidRPr="002F7AA5" w14:paraId="2451AB34" w14:textId="77777777" w:rsidTr="00705040">
        <w:tc>
          <w:tcPr>
            <w:tcW w:w="4508" w:type="dxa"/>
          </w:tcPr>
          <w:p w14:paraId="4EF71A84" w14:textId="77777777" w:rsidR="00EE1575" w:rsidRPr="00C462D9" w:rsidRDefault="00EE1575" w:rsidP="00EE1575">
            <w:pPr>
              <w:jc w:val="both"/>
              <w:rPr>
                <w:rFonts w:asciiTheme="minorHAnsi" w:hAnsiTheme="minorHAnsi" w:cstheme="minorHAnsi"/>
                <w:sz w:val="22"/>
              </w:rPr>
            </w:pPr>
          </w:p>
        </w:tc>
        <w:tc>
          <w:tcPr>
            <w:tcW w:w="4508" w:type="dxa"/>
          </w:tcPr>
          <w:p w14:paraId="78C12266" w14:textId="77777777" w:rsidR="00EE1575" w:rsidRPr="00C462D9" w:rsidRDefault="00EE1575" w:rsidP="00EE1575">
            <w:pPr>
              <w:jc w:val="both"/>
              <w:rPr>
                <w:rFonts w:asciiTheme="minorHAnsi" w:hAnsiTheme="minorHAnsi" w:cstheme="minorHAnsi"/>
                <w:sz w:val="22"/>
              </w:rPr>
            </w:pPr>
          </w:p>
        </w:tc>
      </w:tr>
      <w:tr w:rsidR="00EE1575" w:rsidRPr="002F7AA5" w14:paraId="46969B46" w14:textId="77777777" w:rsidTr="00705040">
        <w:tc>
          <w:tcPr>
            <w:tcW w:w="4508" w:type="dxa"/>
          </w:tcPr>
          <w:p w14:paraId="6C219F03" w14:textId="6F027A10"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3° les coordonnées de contact de l’abonné, notamment son numéro de téléphone, son adresse e</w:t>
            </w:r>
            <w:r w:rsidR="00A26693" w:rsidRPr="00C462D9">
              <w:rPr>
                <w:rFonts w:asciiTheme="minorHAnsi" w:hAnsiTheme="minorHAnsi" w:cstheme="minorHAnsi"/>
                <w:sz w:val="22"/>
                <w:lang w:val="fr-BE"/>
              </w:rPr>
              <w:t>-</w:t>
            </w:r>
            <w:r w:rsidRPr="00C462D9">
              <w:rPr>
                <w:rFonts w:asciiTheme="minorHAnsi" w:hAnsiTheme="minorHAnsi" w:cstheme="minorHAnsi"/>
                <w:sz w:val="22"/>
                <w:lang w:val="fr-BE"/>
              </w:rPr>
              <w:t xml:space="preserve">mail et son adresse postale; </w:t>
            </w:r>
          </w:p>
        </w:tc>
        <w:tc>
          <w:tcPr>
            <w:tcW w:w="4508" w:type="dxa"/>
          </w:tcPr>
          <w:p w14:paraId="60DE2DF9" w14:textId="36EDBAD8"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3° de contactgegevens van de abonnee, met name zijn telefoonnummer, zijn e-mailadres en zijn postadres;</w:t>
            </w:r>
          </w:p>
        </w:tc>
      </w:tr>
      <w:tr w:rsidR="00EE1575" w:rsidRPr="002F7AA5" w14:paraId="34B96CF9" w14:textId="77777777" w:rsidTr="00705040">
        <w:tc>
          <w:tcPr>
            <w:tcW w:w="4508" w:type="dxa"/>
          </w:tcPr>
          <w:p w14:paraId="1ACFA2E6" w14:textId="77777777" w:rsidR="00EE1575" w:rsidRPr="00C462D9" w:rsidRDefault="00EE1575" w:rsidP="00EE1575">
            <w:pPr>
              <w:jc w:val="both"/>
              <w:rPr>
                <w:rFonts w:asciiTheme="minorHAnsi" w:hAnsiTheme="minorHAnsi" w:cstheme="minorHAnsi"/>
                <w:sz w:val="22"/>
              </w:rPr>
            </w:pPr>
          </w:p>
        </w:tc>
        <w:tc>
          <w:tcPr>
            <w:tcW w:w="4508" w:type="dxa"/>
          </w:tcPr>
          <w:p w14:paraId="2AA91C8F" w14:textId="77777777" w:rsidR="00EE1575" w:rsidRPr="00C462D9" w:rsidRDefault="00EE1575" w:rsidP="00EE1575">
            <w:pPr>
              <w:jc w:val="both"/>
              <w:rPr>
                <w:rFonts w:asciiTheme="minorHAnsi" w:hAnsiTheme="minorHAnsi" w:cstheme="minorHAnsi"/>
                <w:sz w:val="22"/>
              </w:rPr>
            </w:pPr>
          </w:p>
        </w:tc>
      </w:tr>
      <w:tr w:rsidR="00EE1575" w:rsidRPr="002F7AA5" w14:paraId="7B9FCC17" w14:textId="77777777" w:rsidTr="00705040">
        <w:tc>
          <w:tcPr>
            <w:tcW w:w="4508" w:type="dxa"/>
          </w:tcPr>
          <w:p w14:paraId="489649D3" w14:textId="5925BAA6"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 xml:space="preserve">4° </w:t>
            </w:r>
            <w:bookmarkStart w:id="2" w:name="_Hlk89848729"/>
            <w:r w:rsidRPr="00C462D9">
              <w:rPr>
                <w:rFonts w:asciiTheme="minorHAnsi" w:hAnsiTheme="minorHAnsi" w:cstheme="minorHAnsi"/>
                <w:sz w:val="22"/>
                <w:lang w:val="fr-BE"/>
              </w:rPr>
              <w:t>la date et l'heure de la souscription au service et de l’activation du service et les éléments permettant de déterminer le lieu à partir duquel cette souscription et cette activation ont été effectuées</w:t>
            </w:r>
            <w:bookmarkEnd w:id="2"/>
            <w:r w:rsidRPr="00C462D9">
              <w:rPr>
                <w:rFonts w:asciiTheme="minorHAnsi" w:hAnsiTheme="minorHAnsi" w:cstheme="minorHAnsi"/>
                <w:sz w:val="22"/>
                <w:lang w:val="fr-BE"/>
              </w:rPr>
              <w:t xml:space="preserve">, à savoir notamment :   </w:t>
            </w:r>
          </w:p>
        </w:tc>
        <w:tc>
          <w:tcPr>
            <w:tcW w:w="4508" w:type="dxa"/>
          </w:tcPr>
          <w:p w14:paraId="489AF46D" w14:textId="7CACC2CF"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4° de datum en het tijdstip van inschrijving op de dienst en van de activering van de dienst en de elementen aan de hand waarvan de plaats kan bepaald worden waarvandaan die inschrijving en die activering zijn uitgevoerd, met name: </w:t>
            </w:r>
          </w:p>
        </w:tc>
      </w:tr>
      <w:tr w:rsidR="00EE1575" w:rsidRPr="002F7AA5" w14:paraId="5F9528EA" w14:textId="77777777" w:rsidTr="00705040">
        <w:tc>
          <w:tcPr>
            <w:tcW w:w="4508" w:type="dxa"/>
          </w:tcPr>
          <w:p w14:paraId="3C658E09" w14:textId="77777777" w:rsidR="00EE1575" w:rsidRPr="00C462D9" w:rsidRDefault="00EE1575" w:rsidP="00EE1575">
            <w:pPr>
              <w:jc w:val="both"/>
              <w:rPr>
                <w:rFonts w:asciiTheme="minorHAnsi" w:hAnsiTheme="minorHAnsi" w:cstheme="minorHAnsi"/>
                <w:sz w:val="22"/>
              </w:rPr>
            </w:pPr>
          </w:p>
        </w:tc>
        <w:tc>
          <w:tcPr>
            <w:tcW w:w="4508" w:type="dxa"/>
          </w:tcPr>
          <w:p w14:paraId="1F06B687" w14:textId="77777777" w:rsidR="00EE1575" w:rsidRPr="00C462D9" w:rsidRDefault="00EE1575" w:rsidP="00EE1575">
            <w:pPr>
              <w:jc w:val="both"/>
              <w:rPr>
                <w:rFonts w:asciiTheme="minorHAnsi" w:hAnsiTheme="minorHAnsi" w:cstheme="minorHAnsi"/>
                <w:sz w:val="22"/>
              </w:rPr>
            </w:pPr>
          </w:p>
        </w:tc>
      </w:tr>
      <w:tr w:rsidR="00EE1575" w:rsidRPr="002F7AA5" w14:paraId="15781F0D" w14:textId="77777777" w:rsidTr="00705040">
        <w:tc>
          <w:tcPr>
            <w:tcW w:w="4508" w:type="dxa"/>
          </w:tcPr>
          <w:p w14:paraId="784F8AF8" w14:textId="13CD4511" w:rsidR="00EE1575" w:rsidRPr="00C462D9" w:rsidRDefault="00EE1575" w:rsidP="00493CB4">
            <w:pPr>
              <w:pStyle w:val="Lijstalinea"/>
              <w:numPr>
                <w:ilvl w:val="0"/>
                <w:numId w:val="1"/>
              </w:numPr>
              <w:jc w:val="both"/>
              <w:rPr>
                <w:rFonts w:asciiTheme="minorHAnsi" w:hAnsiTheme="minorHAnsi" w:cstheme="minorHAnsi"/>
                <w:sz w:val="22"/>
                <w:lang w:val="fr-BE"/>
              </w:rPr>
            </w:pPr>
            <w:r w:rsidRPr="00C462D9">
              <w:rPr>
                <w:rFonts w:asciiTheme="minorHAnsi" w:hAnsiTheme="minorHAnsi" w:cstheme="minorHAnsi"/>
                <w:sz w:val="22"/>
                <w:lang w:val="fr-BE"/>
              </w:rPr>
              <w:t xml:space="preserve">l’adresse physique du point de vente où la  souscription ou  l’activation ont eu lieu, ou ; </w:t>
            </w:r>
          </w:p>
        </w:tc>
        <w:tc>
          <w:tcPr>
            <w:tcW w:w="4508" w:type="dxa"/>
          </w:tcPr>
          <w:p w14:paraId="1E9356DD" w14:textId="1D17A7E0" w:rsidR="00EE1575" w:rsidRPr="00C462D9" w:rsidRDefault="00EE1575" w:rsidP="00493CB4">
            <w:pPr>
              <w:pStyle w:val="Lijstalinea"/>
              <w:numPr>
                <w:ilvl w:val="0"/>
                <w:numId w:val="1"/>
              </w:numPr>
              <w:jc w:val="both"/>
              <w:rPr>
                <w:rFonts w:asciiTheme="minorHAnsi" w:hAnsiTheme="minorHAnsi" w:cstheme="minorHAnsi"/>
                <w:sz w:val="22"/>
              </w:rPr>
            </w:pPr>
            <w:r w:rsidRPr="00C462D9">
              <w:rPr>
                <w:rFonts w:asciiTheme="minorHAnsi" w:hAnsiTheme="minorHAnsi" w:cstheme="minorHAnsi"/>
                <w:sz w:val="22"/>
              </w:rPr>
              <w:t>het fysieke adres van het verkooppunt waar de inschrijving of activering heeft plaatsgevonden, of;</w:t>
            </w:r>
          </w:p>
        </w:tc>
      </w:tr>
      <w:tr w:rsidR="00EE1575" w:rsidRPr="002F7AA5" w14:paraId="505ECBC6" w14:textId="77777777" w:rsidTr="00705040">
        <w:tc>
          <w:tcPr>
            <w:tcW w:w="4508" w:type="dxa"/>
          </w:tcPr>
          <w:p w14:paraId="3C4BE321" w14:textId="77777777" w:rsidR="00EE1575" w:rsidRPr="00C462D9" w:rsidRDefault="00EE1575" w:rsidP="00493CB4">
            <w:pPr>
              <w:jc w:val="both"/>
              <w:rPr>
                <w:rFonts w:asciiTheme="minorHAnsi" w:hAnsiTheme="minorHAnsi" w:cstheme="minorHAnsi"/>
                <w:sz w:val="22"/>
              </w:rPr>
            </w:pPr>
          </w:p>
        </w:tc>
        <w:tc>
          <w:tcPr>
            <w:tcW w:w="4508" w:type="dxa"/>
          </w:tcPr>
          <w:p w14:paraId="465545AD" w14:textId="77777777" w:rsidR="00EE1575" w:rsidRPr="00C462D9" w:rsidRDefault="00EE1575" w:rsidP="00493CB4">
            <w:pPr>
              <w:jc w:val="both"/>
              <w:rPr>
                <w:rFonts w:asciiTheme="minorHAnsi" w:hAnsiTheme="minorHAnsi" w:cstheme="minorHAnsi"/>
                <w:sz w:val="22"/>
              </w:rPr>
            </w:pPr>
          </w:p>
        </w:tc>
      </w:tr>
      <w:tr w:rsidR="00EE1575" w:rsidRPr="002F7AA5" w14:paraId="3DAB54D2" w14:textId="77777777" w:rsidTr="00705040">
        <w:tc>
          <w:tcPr>
            <w:tcW w:w="4508" w:type="dxa"/>
          </w:tcPr>
          <w:p w14:paraId="7A3321CB" w14:textId="4F543881" w:rsidR="00EE1575" w:rsidRPr="00C462D9" w:rsidRDefault="00EE1575" w:rsidP="00493CB4">
            <w:pPr>
              <w:pStyle w:val="Lijstalinea"/>
              <w:numPr>
                <w:ilvl w:val="0"/>
                <w:numId w:val="1"/>
              </w:numPr>
              <w:jc w:val="both"/>
              <w:rPr>
                <w:rFonts w:asciiTheme="minorHAnsi" w:hAnsiTheme="minorHAnsi" w:cstheme="minorHAnsi"/>
                <w:sz w:val="22"/>
                <w:lang w:val="fr-BE"/>
              </w:rPr>
            </w:pPr>
            <w:r w:rsidRPr="00C462D9">
              <w:rPr>
                <w:rFonts w:asciiTheme="minorHAnsi" w:hAnsiTheme="minorHAnsi" w:cstheme="minorHAnsi"/>
                <w:sz w:val="22"/>
                <w:lang w:val="fr-BE"/>
              </w:rPr>
              <w:lastRenderedPageBreak/>
              <w:t xml:space="preserve">l’adresse physique du point de terminaison du réseau ayant servi à la souscription ou à l’activation, ou ;  </w:t>
            </w:r>
          </w:p>
        </w:tc>
        <w:tc>
          <w:tcPr>
            <w:tcW w:w="4508" w:type="dxa"/>
          </w:tcPr>
          <w:p w14:paraId="16A471B8" w14:textId="7DB3E795" w:rsidR="00EE1575" w:rsidRPr="00C462D9" w:rsidRDefault="00EE1575" w:rsidP="00493CB4">
            <w:pPr>
              <w:pStyle w:val="Lijstalinea"/>
              <w:numPr>
                <w:ilvl w:val="0"/>
                <w:numId w:val="1"/>
              </w:numPr>
              <w:jc w:val="both"/>
              <w:rPr>
                <w:rFonts w:asciiTheme="minorHAnsi" w:hAnsiTheme="minorHAnsi" w:cstheme="minorHAnsi"/>
                <w:sz w:val="22"/>
              </w:rPr>
            </w:pPr>
            <w:r w:rsidRPr="00C462D9">
              <w:rPr>
                <w:rFonts w:asciiTheme="minorHAnsi" w:hAnsiTheme="minorHAnsi" w:cstheme="minorHAnsi"/>
                <w:sz w:val="22"/>
              </w:rPr>
              <w:t xml:space="preserve">het fysieke adres van het netwerkaansluitpunt dat gediend heeft voor de inschrijving of de activering, of;  </w:t>
            </w:r>
          </w:p>
        </w:tc>
      </w:tr>
      <w:tr w:rsidR="00EE1575" w:rsidRPr="002F7AA5" w14:paraId="2A2A3055" w14:textId="77777777" w:rsidTr="00705040">
        <w:tc>
          <w:tcPr>
            <w:tcW w:w="4508" w:type="dxa"/>
          </w:tcPr>
          <w:p w14:paraId="70E1BFDF" w14:textId="77777777" w:rsidR="00EE1575" w:rsidRPr="00C462D9" w:rsidRDefault="00EE1575" w:rsidP="00493CB4">
            <w:pPr>
              <w:jc w:val="both"/>
              <w:rPr>
                <w:rFonts w:asciiTheme="minorHAnsi" w:hAnsiTheme="minorHAnsi" w:cstheme="minorHAnsi"/>
                <w:sz w:val="22"/>
              </w:rPr>
            </w:pPr>
          </w:p>
        </w:tc>
        <w:tc>
          <w:tcPr>
            <w:tcW w:w="4508" w:type="dxa"/>
          </w:tcPr>
          <w:p w14:paraId="1F8AC812" w14:textId="77777777" w:rsidR="00EE1575" w:rsidRPr="00C462D9" w:rsidRDefault="00EE1575" w:rsidP="00493CB4">
            <w:pPr>
              <w:jc w:val="both"/>
              <w:rPr>
                <w:rFonts w:asciiTheme="minorHAnsi" w:hAnsiTheme="minorHAnsi" w:cstheme="minorHAnsi"/>
                <w:sz w:val="22"/>
              </w:rPr>
            </w:pPr>
          </w:p>
        </w:tc>
      </w:tr>
      <w:tr w:rsidR="00EE1575" w:rsidRPr="002F7AA5" w14:paraId="27C61E8C" w14:textId="77777777" w:rsidTr="00705040">
        <w:tc>
          <w:tcPr>
            <w:tcW w:w="4508" w:type="dxa"/>
          </w:tcPr>
          <w:p w14:paraId="2F8D05E5" w14:textId="0CBEDFE7" w:rsidR="00EE1575" w:rsidRPr="00C462D9" w:rsidRDefault="00EE1575" w:rsidP="00493CB4">
            <w:pPr>
              <w:pStyle w:val="Lijstalinea"/>
              <w:numPr>
                <w:ilvl w:val="0"/>
                <w:numId w:val="1"/>
              </w:numPr>
              <w:jc w:val="both"/>
              <w:rPr>
                <w:rFonts w:asciiTheme="minorHAnsi" w:hAnsiTheme="minorHAnsi" w:cstheme="minorHAnsi"/>
                <w:sz w:val="22"/>
                <w:lang w:val="fr-BE"/>
              </w:rPr>
            </w:pPr>
            <w:r w:rsidRPr="00C462D9">
              <w:rPr>
                <w:rFonts w:asciiTheme="minorHAnsi" w:hAnsiTheme="minorHAnsi" w:cstheme="minorHAnsi"/>
                <w:sz w:val="22"/>
                <w:lang w:val="fr-BE"/>
              </w:rPr>
              <w:t xml:space="preserve">l'adresse IP ayant servi  à la souscription ou à l’activation ainsi que le port source de la connexion et l’horodatage, ou ; </w:t>
            </w:r>
          </w:p>
        </w:tc>
        <w:tc>
          <w:tcPr>
            <w:tcW w:w="4508" w:type="dxa"/>
          </w:tcPr>
          <w:p w14:paraId="5027F3F0" w14:textId="5A3976D9" w:rsidR="00EE1575" w:rsidRPr="00C462D9" w:rsidRDefault="00EE1575" w:rsidP="00493CB4">
            <w:pPr>
              <w:pStyle w:val="Lijstalinea"/>
              <w:numPr>
                <w:ilvl w:val="0"/>
                <w:numId w:val="1"/>
              </w:numPr>
              <w:jc w:val="both"/>
              <w:rPr>
                <w:rFonts w:asciiTheme="minorHAnsi" w:hAnsiTheme="minorHAnsi" w:cstheme="minorHAnsi"/>
                <w:sz w:val="22"/>
              </w:rPr>
            </w:pPr>
            <w:r w:rsidRPr="00C462D9">
              <w:rPr>
                <w:rFonts w:asciiTheme="minorHAnsi" w:hAnsiTheme="minorHAnsi" w:cstheme="minorHAnsi"/>
                <w:sz w:val="22"/>
              </w:rPr>
              <w:t>het IP-adres dat gediend heeft voor de inschrijving of de activering</w:t>
            </w:r>
            <w:r w:rsidR="00776E0A">
              <w:rPr>
                <w:rFonts w:asciiTheme="minorHAnsi" w:hAnsiTheme="minorHAnsi" w:cstheme="minorHAnsi"/>
                <w:sz w:val="22"/>
              </w:rPr>
              <w:t>,</w:t>
            </w:r>
            <w:r w:rsidRPr="00C462D9">
              <w:rPr>
                <w:rFonts w:asciiTheme="minorHAnsi" w:hAnsiTheme="minorHAnsi" w:cstheme="minorHAnsi"/>
                <w:sz w:val="22"/>
              </w:rPr>
              <w:t xml:space="preserve"> alsook de bronpoort van de verbinding en het tijdstempel, of;</w:t>
            </w:r>
          </w:p>
        </w:tc>
      </w:tr>
      <w:tr w:rsidR="00EE1575" w:rsidRPr="002F7AA5" w14:paraId="20856D61" w14:textId="77777777" w:rsidTr="00705040">
        <w:tc>
          <w:tcPr>
            <w:tcW w:w="4508" w:type="dxa"/>
          </w:tcPr>
          <w:p w14:paraId="768EAAF6" w14:textId="77777777" w:rsidR="00EE1575" w:rsidRPr="00C462D9" w:rsidRDefault="00EE1575" w:rsidP="00493CB4">
            <w:pPr>
              <w:jc w:val="both"/>
              <w:rPr>
                <w:rFonts w:asciiTheme="minorHAnsi" w:hAnsiTheme="minorHAnsi" w:cstheme="minorHAnsi"/>
                <w:sz w:val="22"/>
              </w:rPr>
            </w:pPr>
          </w:p>
        </w:tc>
        <w:tc>
          <w:tcPr>
            <w:tcW w:w="4508" w:type="dxa"/>
          </w:tcPr>
          <w:p w14:paraId="5A4191DB" w14:textId="77777777" w:rsidR="00EE1575" w:rsidRPr="00C462D9" w:rsidRDefault="00EE1575" w:rsidP="00493CB4">
            <w:pPr>
              <w:jc w:val="both"/>
              <w:rPr>
                <w:rFonts w:asciiTheme="minorHAnsi" w:hAnsiTheme="minorHAnsi" w:cstheme="minorHAnsi"/>
                <w:sz w:val="22"/>
              </w:rPr>
            </w:pPr>
          </w:p>
        </w:tc>
      </w:tr>
      <w:tr w:rsidR="00EE1575" w:rsidRPr="002F7AA5" w14:paraId="65615E5D" w14:textId="77777777" w:rsidTr="00705040">
        <w:tc>
          <w:tcPr>
            <w:tcW w:w="4508" w:type="dxa"/>
          </w:tcPr>
          <w:p w14:paraId="39C1EE84" w14:textId="3E7E8014" w:rsidR="00EE1575" w:rsidRPr="00C462D9" w:rsidRDefault="00EE1575" w:rsidP="00493CB4">
            <w:pPr>
              <w:pStyle w:val="Lijstalinea"/>
              <w:numPr>
                <w:ilvl w:val="0"/>
                <w:numId w:val="1"/>
              </w:numPr>
              <w:jc w:val="both"/>
              <w:rPr>
                <w:rFonts w:asciiTheme="minorHAnsi" w:hAnsiTheme="minorHAnsi" w:cstheme="minorHAnsi"/>
                <w:sz w:val="22"/>
                <w:lang w:val="fr-BE"/>
              </w:rPr>
            </w:pPr>
            <w:r w:rsidRPr="00C462D9">
              <w:rPr>
                <w:rFonts w:asciiTheme="minorHAnsi" w:hAnsiTheme="minorHAnsi" w:cstheme="minorHAnsi"/>
                <w:sz w:val="22"/>
                <w:lang w:val="fr-BE"/>
              </w:rPr>
              <w:t xml:space="preserve">dans le cadre d’un réseau téléphonique mobile, la localisation géographique de l’équipement terminal qui a permis la souscription ou l’activation au moyen d’un numéro de téléphone ; </w:t>
            </w:r>
          </w:p>
        </w:tc>
        <w:tc>
          <w:tcPr>
            <w:tcW w:w="4508" w:type="dxa"/>
          </w:tcPr>
          <w:p w14:paraId="5FE81458" w14:textId="79ADAB75" w:rsidR="00EE1575" w:rsidRPr="00C462D9" w:rsidRDefault="00EE1575" w:rsidP="00493CB4">
            <w:pPr>
              <w:pStyle w:val="Lijstalinea"/>
              <w:numPr>
                <w:ilvl w:val="0"/>
                <w:numId w:val="1"/>
              </w:numPr>
              <w:jc w:val="both"/>
              <w:rPr>
                <w:rFonts w:asciiTheme="minorHAnsi" w:hAnsiTheme="minorHAnsi" w:cstheme="minorHAnsi"/>
                <w:sz w:val="22"/>
              </w:rPr>
            </w:pPr>
            <w:r w:rsidRPr="00C462D9">
              <w:rPr>
                <w:rFonts w:asciiTheme="minorHAnsi" w:hAnsiTheme="minorHAnsi" w:cstheme="minorHAnsi"/>
                <w:sz w:val="22"/>
              </w:rPr>
              <w:t>in het kader van een mobiel telefoonnetwerk, de geografische locatie van de eindapparatuur die de inschrijving of de activering aan de hand van een telefoonnummer mogelijk heeft gemaakt;</w:t>
            </w:r>
          </w:p>
        </w:tc>
      </w:tr>
      <w:tr w:rsidR="00EE1575" w:rsidRPr="002F7AA5" w14:paraId="045BB575" w14:textId="77777777" w:rsidTr="00705040">
        <w:tc>
          <w:tcPr>
            <w:tcW w:w="4508" w:type="dxa"/>
          </w:tcPr>
          <w:p w14:paraId="636E134A" w14:textId="77777777" w:rsidR="00EE1575" w:rsidRPr="00C462D9" w:rsidRDefault="00EE1575" w:rsidP="00EE1575">
            <w:pPr>
              <w:jc w:val="both"/>
              <w:rPr>
                <w:rFonts w:asciiTheme="minorHAnsi" w:hAnsiTheme="minorHAnsi" w:cstheme="minorHAnsi"/>
                <w:sz w:val="22"/>
              </w:rPr>
            </w:pPr>
          </w:p>
        </w:tc>
        <w:tc>
          <w:tcPr>
            <w:tcW w:w="4508" w:type="dxa"/>
          </w:tcPr>
          <w:p w14:paraId="10E6E13E" w14:textId="77777777" w:rsidR="00EE1575" w:rsidRPr="00C462D9" w:rsidRDefault="00EE1575" w:rsidP="00EE1575">
            <w:pPr>
              <w:jc w:val="both"/>
              <w:rPr>
                <w:rFonts w:asciiTheme="minorHAnsi" w:hAnsiTheme="minorHAnsi" w:cstheme="minorHAnsi"/>
                <w:sz w:val="22"/>
              </w:rPr>
            </w:pPr>
          </w:p>
        </w:tc>
      </w:tr>
      <w:tr w:rsidR="00EE1575" w:rsidRPr="002F7AA5" w14:paraId="4300B398" w14:textId="77777777" w:rsidTr="00705040">
        <w:tc>
          <w:tcPr>
            <w:tcW w:w="4508" w:type="dxa"/>
          </w:tcPr>
          <w:p w14:paraId="4D4D0A3E" w14:textId="3493FC7E"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 xml:space="preserve">5° l’adresse physique de livraison du service ; </w:t>
            </w:r>
          </w:p>
        </w:tc>
        <w:tc>
          <w:tcPr>
            <w:tcW w:w="4508" w:type="dxa"/>
          </w:tcPr>
          <w:p w14:paraId="1F8EC3F8" w14:textId="2C4A40A5"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5° het fysieke leveringsadres van de dienst;</w:t>
            </w:r>
          </w:p>
        </w:tc>
      </w:tr>
      <w:tr w:rsidR="00EE1575" w:rsidRPr="002F7AA5" w14:paraId="33B8BFD1" w14:textId="77777777" w:rsidTr="00705040">
        <w:tc>
          <w:tcPr>
            <w:tcW w:w="4508" w:type="dxa"/>
          </w:tcPr>
          <w:p w14:paraId="0CF6B865" w14:textId="77777777" w:rsidR="00EE1575" w:rsidRPr="00C462D9" w:rsidRDefault="00EE1575" w:rsidP="00EE1575">
            <w:pPr>
              <w:jc w:val="both"/>
              <w:rPr>
                <w:rFonts w:asciiTheme="minorHAnsi" w:hAnsiTheme="minorHAnsi" w:cstheme="minorHAnsi"/>
                <w:sz w:val="22"/>
              </w:rPr>
            </w:pPr>
          </w:p>
        </w:tc>
        <w:tc>
          <w:tcPr>
            <w:tcW w:w="4508" w:type="dxa"/>
          </w:tcPr>
          <w:p w14:paraId="700CBCED" w14:textId="77777777" w:rsidR="00EE1575" w:rsidRPr="00C462D9" w:rsidRDefault="00EE1575" w:rsidP="00EE1575">
            <w:pPr>
              <w:jc w:val="both"/>
              <w:rPr>
                <w:rFonts w:asciiTheme="minorHAnsi" w:hAnsiTheme="minorHAnsi" w:cstheme="minorHAnsi"/>
                <w:sz w:val="22"/>
              </w:rPr>
            </w:pPr>
          </w:p>
        </w:tc>
      </w:tr>
      <w:tr w:rsidR="00EE1575" w:rsidRPr="002F7AA5" w14:paraId="6882B03D" w14:textId="77777777" w:rsidTr="00705040">
        <w:tc>
          <w:tcPr>
            <w:tcW w:w="4508" w:type="dxa"/>
          </w:tcPr>
          <w:p w14:paraId="1FADF263" w14:textId="0A812AC4"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6° l’adresse de facturation du service et les données relatives au type et au moyen de paiement,  à la date des paiements, et la référence de l'opération de paiement en cas de paiement en ligne</w:t>
            </w:r>
            <w:r w:rsidR="00A26693" w:rsidRPr="00C462D9">
              <w:rPr>
                <w:rFonts w:asciiTheme="minorHAnsi" w:hAnsiTheme="minorHAnsi" w:cstheme="minorHAnsi"/>
                <w:sz w:val="22"/>
                <w:lang w:val="fr-BE"/>
              </w:rPr>
              <w:t xml:space="preserve"> </w:t>
            </w:r>
            <w:r w:rsidRPr="00C462D9">
              <w:rPr>
                <w:rFonts w:asciiTheme="minorHAnsi" w:hAnsiTheme="minorHAnsi" w:cstheme="minorHAnsi"/>
                <w:sz w:val="22"/>
                <w:lang w:val="fr-BE"/>
              </w:rPr>
              <w:t>;</w:t>
            </w:r>
          </w:p>
        </w:tc>
        <w:tc>
          <w:tcPr>
            <w:tcW w:w="4508" w:type="dxa"/>
          </w:tcPr>
          <w:p w14:paraId="6F389395" w14:textId="10DA4F59"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6° het facturatieadres van de dienst en de gegevens betreffende </w:t>
            </w:r>
            <w:r w:rsidR="00776E0A">
              <w:rPr>
                <w:rFonts w:asciiTheme="minorHAnsi" w:hAnsiTheme="minorHAnsi" w:cstheme="minorHAnsi"/>
                <w:sz w:val="22"/>
              </w:rPr>
              <w:t xml:space="preserve">de </w:t>
            </w:r>
            <w:r w:rsidRPr="00C462D9">
              <w:rPr>
                <w:rFonts w:asciiTheme="minorHAnsi" w:hAnsiTheme="minorHAnsi" w:cstheme="minorHAnsi"/>
                <w:sz w:val="22"/>
              </w:rPr>
              <w:t>betalingswijze en het betalingsmiddel, het tijdstip van de betalingen en de referentie van de betalingstransactie in geval van onlinebetaling;</w:t>
            </w:r>
          </w:p>
        </w:tc>
      </w:tr>
      <w:tr w:rsidR="00EE1575" w:rsidRPr="002F7AA5" w14:paraId="6C4C584A" w14:textId="77777777" w:rsidTr="00705040">
        <w:tc>
          <w:tcPr>
            <w:tcW w:w="4508" w:type="dxa"/>
          </w:tcPr>
          <w:p w14:paraId="78B010C3" w14:textId="77777777" w:rsidR="00EE1575" w:rsidRPr="00C462D9" w:rsidRDefault="00EE1575" w:rsidP="00EE1575">
            <w:pPr>
              <w:jc w:val="both"/>
              <w:rPr>
                <w:rFonts w:asciiTheme="minorHAnsi" w:hAnsiTheme="minorHAnsi" w:cstheme="minorHAnsi"/>
                <w:sz w:val="22"/>
              </w:rPr>
            </w:pPr>
          </w:p>
        </w:tc>
        <w:tc>
          <w:tcPr>
            <w:tcW w:w="4508" w:type="dxa"/>
          </w:tcPr>
          <w:p w14:paraId="15800BAB" w14:textId="77777777" w:rsidR="00EE1575" w:rsidRPr="00C462D9" w:rsidRDefault="00EE1575" w:rsidP="00EE1575">
            <w:pPr>
              <w:jc w:val="both"/>
              <w:rPr>
                <w:rFonts w:asciiTheme="minorHAnsi" w:hAnsiTheme="minorHAnsi" w:cstheme="minorHAnsi"/>
                <w:sz w:val="22"/>
              </w:rPr>
            </w:pPr>
          </w:p>
        </w:tc>
      </w:tr>
      <w:tr w:rsidR="00EE1575" w:rsidRPr="002F7AA5" w14:paraId="4EFAEFBD" w14:textId="77777777" w:rsidTr="00705040">
        <w:tc>
          <w:tcPr>
            <w:tcW w:w="4508" w:type="dxa"/>
          </w:tcPr>
          <w:p w14:paraId="47E3FF6D" w14:textId="3CC40B4A"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7° le service principal et les services annexes que l’abonné peut utiliser</w:t>
            </w:r>
            <w:r w:rsidR="00A26693" w:rsidRPr="00C462D9">
              <w:rPr>
                <w:rFonts w:asciiTheme="minorHAnsi" w:hAnsiTheme="minorHAnsi" w:cstheme="minorHAnsi"/>
                <w:sz w:val="22"/>
                <w:lang w:val="fr-BE"/>
              </w:rPr>
              <w:t xml:space="preserve"> </w:t>
            </w:r>
            <w:r w:rsidRPr="00C462D9">
              <w:rPr>
                <w:rFonts w:asciiTheme="minorHAnsi" w:hAnsiTheme="minorHAnsi" w:cstheme="minorHAnsi"/>
                <w:sz w:val="22"/>
                <w:lang w:val="fr-BE"/>
              </w:rPr>
              <w:t>;</w:t>
            </w:r>
          </w:p>
        </w:tc>
        <w:tc>
          <w:tcPr>
            <w:tcW w:w="4508" w:type="dxa"/>
          </w:tcPr>
          <w:p w14:paraId="10CACBD9" w14:textId="49EA0DF3"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7° de hoofddienst en de aanvullende diensten die de abonnee kan gebruiken;</w:t>
            </w:r>
          </w:p>
        </w:tc>
      </w:tr>
      <w:tr w:rsidR="00EE1575" w:rsidRPr="002F7AA5" w14:paraId="2F4B23AA" w14:textId="77777777" w:rsidTr="00705040">
        <w:tc>
          <w:tcPr>
            <w:tcW w:w="4508" w:type="dxa"/>
          </w:tcPr>
          <w:p w14:paraId="0BCC1070" w14:textId="77777777" w:rsidR="00EE1575" w:rsidRPr="00C462D9" w:rsidRDefault="00EE1575" w:rsidP="00EE1575">
            <w:pPr>
              <w:jc w:val="both"/>
              <w:rPr>
                <w:rFonts w:asciiTheme="minorHAnsi" w:hAnsiTheme="minorHAnsi" w:cstheme="minorHAnsi"/>
                <w:sz w:val="22"/>
              </w:rPr>
            </w:pPr>
          </w:p>
        </w:tc>
        <w:tc>
          <w:tcPr>
            <w:tcW w:w="4508" w:type="dxa"/>
          </w:tcPr>
          <w:p w14:paraId="2E9F45F2" w14:textId="77777777" w:rsidR="00EE1575" w:rsidRPr="00C462D9" w:rsidRDefault="00EE1575" w:rsidP="00EE1575">
            <w:pPr>
              <w:jc w:val="both"/>
              <w:rPr>
                <w:rFonts w:asciiTheme="minorHAnsi" w:hAnsiTheme="minorHAnsi" w:cstheme="minorHAnsi"/>
                <w:sz w:val="22"/>
              </w:rPr>
            </w:pPr>
          </w:p>
        </w:tc>
      </w:tr>
      <w:tr w:rsidR="00EE1575" w:rsidRPr="002F7AA5" w14:paraId="2C208F70" w14:textId="77777777" w:rsidTr="00705040">
        <w:tc>
          <w:tcPr>
            <w:tcW w:w="4508" w:type="dxa"/>
          </w:tcPr>
          <w:p w14:paraId="70A406EC" w14:textId="3DCA72DD"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8° la date à partir de laquelle ces services peuvent être utilisés, la date de la première utilisation de ces services et la date de fin de ces services</w:t>
            </w:r>
            <w:r w:rsidR="00A26693" w:rsidRPr="00C462D9">
              <w:rPr>
                <w:rFonts w:asciiTheme="minorHAnsi" w:hAnsiTheme="minorHAnsi" w:cstheme="minorHAnsi"/>
                <w:sz w:val="22"/>
                <w:lang w:val="fr-BE"/>
              </w:rPr>
              <w:t xml:space="preserve"> </w:t>
            </w:r>
            <w:r w:rsidRPr="00C462D9">
              <w:rPr>
                <w:rFonts w:asciiTheme="minorHAnsi" w:hAnsiTheme="minorHAnsi" w:cstheme="minorHAnsi"/>
                <w:sz w:val="22"/>
                <w:lang w:val="fr-BE"/>
              </w:rPr>
              <w:t xml:space="preserve">; </w:t>
            </w:r>
          </w:p>
        </w:tc>
        <w:tc>
          <w:tcPr>
            <w:tcW w:w="4508" w:type="dxa"/>
          </w:tcPr>
          <w:p w14:paraId="5FAA8797" w14:textId="5227682F"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8° de datum vanaf waarop die diensten gebruikt kunnen worden, de datum van het eerste gebruik van die diensten en de datum van beëindiging van die diensten;</w:t>
            </w:r>
          </w:p>
        </w:tc>
      </w:tr>
      <w:tr w:rsidR="00EE1575" w:rsidRPr="002F7AA5" w14:paraId="51B9A283" w14:textId="77777777" w:rsidTr="00705040">
        <w:tc>
          <w:tcPr>
            <w:tcW w:w="4508" w:type="dxa"/>
          </w:tcPr>
          <w:p w14:paraId="782B7E85" w14:textId="77777777" w:rsidR="00EE1575" w:rsidRPr="00C462D9" w:rsidRDefault="00EE1575" w:rsidP="00EE1575">
            <w:pPr>
              <w:jc w:val="both"/>
              <w:rPr>
                <w:rFonts w:asciiTheme="minorHAnsi" w:hAnsiTheme="minorHAnsi" w:cstheme="minorHAnsi"/>
                <w:sz w:val="22"/>
              </w:rPr>
            </w:pPr>
          </w:p>
        </w:tc>
        <w:tc>
          <w:tcPr>
            <w:tcW w:w="4508" w:type="dxa"/>
          </w:tcPr>
          <w:p w14:paraId="37A1B56B" w14:textId="77777777" w:rsidR="00EE1575" w:rsidRPr="00C462D9" w:rsidRDefault="00EE1575" w:rsidP="00EE1575">
            <w:pPr>
              <w:jc w:val="both"/>
              <w:rPr>
                <w:rFonts w:asciiTheme="minorHAnsi" w:hAnsiTheme="minorHAnsi" w:cstheme="minorHAnsi"/>
                <w:sz w:val="22"/>
              </w:rPr>
            </w:pPr>
          </w:p>
        </w:tc>
      </w:tr>
      <w:tr w:rsidR="00EE1575" w:rsidRPr="002F7AA5" w14:paraId="38F09AE9" w14:textId="77777777" w:rsidTr="00705040">
        <w:tc>
          <w:tcPr>
            <w:tcW w:w="4508" w:type="dxa"/>
          </w:tcPr>
          <w:p w14:paraId="599C50DB" w14:textId="56CBE332"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9° en cas de transfert de l’identifiant de l'abonné, tel son numéro de téléphone,  l'identité de l’opérateur qui transfère l’identifiant et l'identité de l’opérateur auquel l’identifiant est transféré et la date à laquelle le transfert est effectué</w:t>
            </w:r>
            <w:r w:rsidR="00A26693" w:rsidRPr="00C462D9">
              <w:rPr>
                <w:rFonts w:asciiTheme="minorHAnsi" w:hAnsiTheme="minorHAnsi" w:cstheme="minorHAnsi"/>
                <w:sz w:val="22"/>
                <w:lang w:val="fr-BE"/>
              </w:rPr>
              <w:t xml:space="preserve"> </w:t>
            </w:r>
            <w:r w:rsidRPr="00C462D9">
              <w:rPr>
                <w:rFonts w:asciiTheme="minorHAnsi" w:hAnsiTheme="minorHAnsi" w:cstheme="minorHAnsi"/>
                <w:sz w:val="22"/>
                <w:lang w:val="fr-BE"/>
              </w:rPr>
              <w:t>;</w:t>
            </w:r>
          </w:p>
        </w:tc>
        <w:tc>
          <w:tcPr>
            <w:tcW w:w="4508" w:type="dxa"/>
          </w:tcPr>
          <w:p w14:paraId="5CD6D685" w14:textId="2FE39F34"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9° in geval van overdracht van de </w:t>
            </w:r>
            <w:proofErr w:type="spellStart"/>
            <w:r w:rsidR="0005635B">
              <w:rPr>
                <w:rFonts w:asciiTheme="minorHAnsi" w:hAnsiTheme="minorHAnsi" w:cstheme="minorHAnsi"/>
                <w:sz w:val="22"/>
              </w:rPr>
              <w:t>identifier</w:t>
            </w:r>
            <w:proofErr w:type="spellEnd"/>
            <w:r w:rsidRPr="00C462D9">
              <w:rPr>
                <w:rFonts w:asciiTheme="minorHAnsi" w:hAnsiTheme="minorHAnsi" w:cstheme="minorHAnsi"/>
                <w:sz w:val="22"/>
              </w:rPr>
              <w:t xml:space="preserve"> van de abonnee, zoals zijn telefoonnummer, de identiteit van de operator die de </w:t>
            </w:r>
            <w:proofErr w:type="spellStart"/>
            <w:r w:rsidR="0005635B">
              <w:rPr>
                <w:rFonts w:asciiTheme="minorHAnsi" w:hAnsiTheme="minorHAnsi" w:cstheme="minorHAnsi"/>
                <w:sz w:val="22"/>
              </w:rPr>
              <w:t>identifier</w:t>
            </w:r>
            <w:proofErr w:type="spellEnd"/>
            <w:r w:rsidR="00872E37" w:rsidRPr="00C462D9">
              <w:rPr>
                <w:rFonts w:asciiTheme="minorHAnsi" w:hAnsiTheme="minorHAnsi" w:cstheme="minorHAnsi"/>
                <w:sz w:val="22"/>
              </w:rPr>
              <w:t xml:space="preserve"> </w:t>
            </w:r>
            <w:r w:rsidRPr="00C462D9">
              <w:rPr>
                <w:rFonts w:asciiTheme="minorHAnsi" w:hAnsiTheme="minorHAnsi" w:cstheme="minorHAnsi"/>
                <w:sz w:val="22"/>
              </w:rPr>
              <w:t xml:space="preserve">overdraagt en de identiteit van de operator naar wie de </w:t>
            </w:r>
            <w:proofErr w:type="spellStart"/>
            <w:r w:rsidR="00D169DD">
              <w:rPr>
                <w:rFonts w:asciiTheme="minorHAnsi" w:hAnsiTheme="minorHAnsi" w:cstheme="minorHAnsi"/>
                <w:sz w:val="22"/>
              </w:rPr>
              <w:t>identifi</w:t>
            </w:r>
            <w:r w:rsidR="0005635B">
              <w:rPr>
                <w:rFonts w:asciiTheme="minorHAnsi" w:hAnsiTheme="minorHAnsi" w:cstheme="minorHAnsi"/>
                <w:sz w:val="22"/>
              </w:rPr>
              <w:t>er</w:t>
            </w:r>
            <w:proofErr w:type="spellEnd"/>
            <w:r w:rsidR="00872E37" w:rsidRPr="00C462D9">
              <w:rPr>
                <w:rFonts w:asciiTheme="minorHAnsi" w:hAnsiTheme="minorHAnsi" w:cstheme="minorHAnsi"/>
                <w:sz w:val="22"/>
              </w:rPr>
              <w:t xml:space="preserve"> </w:t>
            </w:r>
            <w:r w:rsidRPr="00C462D9">
              <w:rPr>
                <w:rFonts w:asciiTheme="minorHAnsi" w:hAnsiTheme="minorHAnsi" w:cstheme="minorHAnsi"/>
                <w:sz w:val="22"/>
              </w:rPr>
              <w:t>wordt overgedragen en de datum waarop de overdracht wordt uitgevoerd;</w:t>
            </w:r>
          </w:p>
        </w:tc>
      </w:tr>
      <w:tr w:rsidR="00EE1575" w:rsidRPr="002F7AA5" w14:paraId="6039E28C" w14:textId="77777777" w:rsidTr="00705040">
        <w:tc>
          <w:tcPr>
            <w:tcW w:w="4508" w:type="dxa"/>
          </w:tcPr>
          <w:p w14:paraId="0173BA62" w14:textId="77777777" w:rsidR="00EE1575" w:rsidRPr="00C462D9" w:rsidRDefault="00EE1575" w:rsidP="00EE1575">
            <w:pPr>
              <w:jc w:val="both"/>
              <w:rPr>
                <w:rFonts w:asciiTheme="minorHAnsi" w:hAnsiTheme="minorHAnsi" w:cstheme="minorHAnsi"/>
                <w:sz w:val="22"/>
              </w:rPr>
            </w:pPr>
          </w:p>
        </w:tc>
        <w:tc>
          <w:tcPr>
            <w:tcW w:w="4508" w:type="dxa"/>
          </w:tcPr>
          <w:p w14:paraId="4FC1FDFE" w14:textId="77777777" w:rsidR="00EE1575" w:rsidRPr="00C462D9" w:rsidRDefault="00EE1575" w:rsidP="00EE1575">
            <w:pPr>
              <w:jc w:val="both"/>
              <w:rPr>
                <w:rFonts w:asciiTheme="minorHAnsi" w:hAnsiTheme="minorHAnsi" w:cstheme="minorHAnsi"/>
                <w:sz w:val="22"/>
              </w:rPr>
            </w:pPr>
          </w:p>
        </w:tc>
      </w:tr>
      <w:tr w:rsidR="00EE1575" w:rsidRPr="002F7AA5" w14:paraId="7D0E4108" w14:textId="77777777" w:rsidTr="00705040">
        <w:tc>
          <w:tcPr>
            <w:tcW w:w="4508" w:type="dxa"/>
          </w:tcPr>
          <w:p w14:paraId="50A1D635" w14:textId="0F774655"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10° le numéro de téléphone attribué</w:t>
            </w:r>
            <w:r w:rsidR="00A26693" w:rsidRPr="00C462D9">
              <w:rPr>
                <w:rFonts w:asciiTheme="minorHAnsi" w:hAnsiTheme="minorHAnsi" w:cstheme="minorHAnsi"/>
                <w:sz w:val="22"/>
                <w:lang w:val="fr-BE"/>
              </w:rPr>
              <w:t xml:space="preserve"> </w:t>
            </w:r>
            <w:r w:rsidRPr="00C462D9">
              <w:rPr>
                <w:rFonts w:asciiTheme="minorHAnsi" w:hAnsiTheme="minorHAnsi" w:cstheme="minorHAnsi"/>
                <w:sz w:val="22"/>
                <w:lang w:val="fr-BE"/>
              </w:rPr>
              <w:t xml:space="preserve">; </w:t>
            </w:r>
          </w:p>
        </w:tc>
        <w:tc>
          <w:tcPr>
            <w:tcW w:w="4508" w:type="dxa"/>
          </w:tcPr>
          <w:p w14:paraId="6BA39168" w14:textId="50A9C959"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10° het toegewezen telefoonnummer; </w:t>
            </w:r>
          </w:p>
        </w:tc>
      </w:tr>
      <w:tr w:rsidR="00EE1575" w:rsidRPr="002F7AA5" w14:paraId="0A068F04" w14:textId="77777777" w:rsidTr="00705040">
        <w:tc>
          <w:tcPr>
            <w:tcW w:w="4508" w:type="dxa"/>
          </w:tcPr>
          <w:p w14:paraId="26E1D2A8" w14:textId="77777777" w:rsidR="00EE1575" w:rsidRPr="00C462D9" w:rsidRDefault="00EE1575" w:rsidP="00EE1575">
            <w:pPr>
              <w:jc w:val="both"/>
              <w:rPr>
                <w:rFonts w:asciiTheme="minorHAnsi" w:hAnsiTheme="minorHAnsi" w:cstheme="minorHAnsi"/>
                <w:sz w:val="22"/>
              </w:rPr>
            </w:pPr>
          </w:p>
        </w:tc>
        <w:tc>
          <w:tcPr>
            <w:tcW w:w="4508" w:type="dxa"/>
          </w:tcPr>
          <w:p w14:paraId="405B4F86" w14:textId="77777777" w:rsidR="00EE1575" w:rsidRPr="00C462D9" w:rsidRDefault="00EE1575" w:rsidP="00EE1575">
            <w:pPr>
              <w:jc w:val="both"/>
              <w:rPr>
                <w:rFonts w:asciiTheme="minorHAnsi" w:hAnsiTheme="minorHAnsi" w:cstheme="minorHAnsi"/>
                <w:sz w:val="22"/>
              </w:rPr>
            </w:pPr>
          </w:p>
        </w:tc>
      </w:tr>
      <w:tr w:rsidR="00EE1575" w:rsidRPr="002F7AA5" w14:paraId="647BE91D" w14:textId="77777777" w:rsidTr="00705040">
        <w:tc>
          <w:tcPr>
            <w:tcW w:w="4508" w:type="dxa"/>
          </w:tcPr>
          <w:p w14:paraId="38A93CEF" w14:textId="1C9E4EB9"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 xml:space="preserve">11° l’adresse de messagerie principale et les adresses de messagerie employées comme alias ; </w:t>
            </w:r>
          </w:p>
        </w:tc>
        <w:tc>
          <w:tcPr>
            <w:tcW w:w="4508" w:type="dxa"/>
          </w:tcPr>
          <w:p w14:paraId="4F93644E" w14:textId="0F624983"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11° het voornaamste e-mailadres en de e-mailadressen die als alias gebruikt worden;</w:t>
            </w:r>
          </w:p>
        </w:tc>
      </w:tr>
      <w:tr w:rsidR="00EE1575" w:rsidRPr="002F7AA5" w14:paraId="2EC87816" w14:textId="77777777" w:rsidTr="00705040">
        <w:tc>
          <w:tcPr>
            <w:tcW w:w="4508" w:type="dxa"/>
          </w:tcPr>
          <w:p w14:paraId="00AAE324" w14:textId="77777777" w:rsidR="00EE1575" w:rsidRPr="00C462D9" w:rsidRDefault="00EE1575" w:rsidP="00EE1575">
            <w:pPr>
              <w:jc w:val="both"/>
              <w:rPr>
                <w:rFonts w:asciiTheme="minorHAnsi" w:hAnsiTheme="minorHAnsi" w:cstheme="minorHAnsi"/>
                <w:sz w:val="22"/>
              </w:rPr>
            </w:pPr>
          </w:p>
        </w:tc>
        <w:tc>
          <w:tcPr>
            <w:tcW w:w="4508" w:type="dxa"/>
          </w:tcPr>
          <w:p w14:paraId="36D89B3E" w14:textId="77777777" w:rsidR="00EE1575" w:rsidRPr="00C462D9" w:rsidRDefault="00EE1575" w:rsidP="00EE1575">
            <w:pPr>
              <w:jc w:val="both"/>
              <w:rPr>
                <w:rFonts w:asciiTheme="minorHAnsi" w:hAnsiTheme="minorHAnsi" w:cstheme="minorHAnsi"/>
                <w:sz w:val="22"/>
              </w:rPr>
            </w:pPr>
          </w:p>
        </w:tc>
      </w:tr>
      <w:tr w:rsidR="00EE1575" w:rsidRPr="002F7AA5" w14:paraId="03BC2A77" w14:textId="77777777" w:rsidTr="00705040">
        <w:tc>
          <w:tcPr>
            <w:tcW w:w="4508" w:type="dxa"/>
          </w:tcPr>
          <w:p w14:paraId="5BB3ABC6" w14:textId="434E04AB"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12° l'identité internationale d'abonné mobile (</w:t>
            </w:r>
            <w:r w:rsidRPr="00C462D9">
              <w:rPr>
                <w:rFonts w:asciiTheme="minorHAnsi" w:hAnsiTheme="minorHAnsi" w:cstheme="minorHAnsi"/>
                <w:color w:val="000000"/>
                <w:sz w:val="22"/>
                <w:lang w:val="fr-BE"/>
              </w:rPr>
              <w:t>"</w:t>
            </w:r>
            <w:r w:rsidRPr="00C462D9">
              <w:rPr>
                <w:rFonts w:asciiTheme="minorHAnsi" w:hAnsiTheme="minorHAnsi" w:cstheme="minorHAnsi"/>
                <w:sz w:val="22"/>
                <w:lang w:val="fr-BE"/>
              </w:rPr>
              <w:t xml:space="preserve">International Mobile </w:t>
            </w:r>
            <w:proofErr w:type="spellStart"/>
            <w:r w:rsidRPr="00C462D9">
              <w:rPr>
                <w:rFonts w:asciiTheme="minorHAnsi" w:hAnsiTheme="minorHAnsi" w:cstheme="minorHAnsi"/>
                <w:sz w:val="22"/>
                <w:lang w:val="fr-BE"/>
              </w:rPr>
              <w:t>Subscriber</w:t>
            </w:r>
            <w:proofErr w:type="spellEnd"/>
            <w:r w:rsidRPr="00C462D9">
              <w:rPr>
                <w:rFonts w:asciiTheme="minorHAnsi" w:hAnsiTheme="minorHAnsi" w:cstheme="minorHAnsi"/>
                <w:sz w:val="22"/>
                <w:lang w:val="fr-BE"/>
              </w:rPr>
              <w:t xml:space="preserve"> Identity</w:t>
            </w:r>
            <w:r w:rsidRPr="00C462D9">
              <w:rPr>
                <w:rFonts w:asciiTheme="minorHAnsi" w:hAnsiTheme="minorHAnsi" w:cstheme="minorHAnsi"/>
                <w:color w:val="000000"/>
                <w:sz w:val="22"/>
                <w:lang w:val="fr-BE"/>
              </w:rPr>
              <w:t>"</w:t>
            </w:r>
            <w:r w:rsidRPr="00C462D9">
              <w:rPr>
                <w:rFonts w:asciiTheme="minorHAnsi" w:hAnsiTheme="minorHAnsi" w:cstheme="minorHAnsi"/>
                <w:sz w:val="22"/>
                <w:lang w:val="fr-BE"/>
              </w:rPr>
              <w:t xml:space="preserve">, </w:t>
            </w:r>
            <w:r w:rsidRPr="00C462D9">
              <w:rPr>
                <w:rFonts w:asciiTheme="minorHAnsi" w:hAnsiTheme="minorHAnsi" w:cstheme="minorHAnsi"/>
                <w:color w:val="000000"/>
                <w:sz w:val="22"/>
                <w:lang w:val="fr-BE"/>
              </w:rPr>
              <w:t>"</w:t>
            </w:r>
            <w:r w:rsidRPr="00C462D9">
              <w:rPr>
                <w:rFonts w:asciiTheme="minorHAnsi" w:hAnsiTheme="minorHAnsi" w:cstheme="minorHAnsi"/>
                <w:sz w:val="22"/>
                <w:lang w:val="fr-BE"/>
              </w:rPr>
              <w:t>IMSI</w:t>
            </w:r>
            <w:r w:rsidRPr="00C462D9">
              <w:rPr>
                <w:rFonts w:asciiTheme="minorHAnsi" w:hAnsiTheme="minorHAnsi" w:cstheme="minorHAnsi"/>
                <w:color w:val="000000"/>
                <w:sz w:val="22"/>
                <w:lang w:val="fr-BE"/>
              </w:rPr>
              <w:t>"</w:t>
            </w:r>
            <w:r w:rsidRPr="00C462D9">
              <w:rPr>
                <w:rFonts w:asciiTheme="minorHAnsi" w:hAnsiTheme="minorHAnsi" w:cstheme="minorHAnsi"/>
                <w:sz w:val="22"/>
                <w:lang w:val="fr-BE"/>
              </w:rPr>
              <w:t xml:space="preserve">) ; </w:t>
            </w:r>
          </w:p>
        </w:tc>
        <w:tc>
          <w:tcPr>
            <w:tcW w:w="4508" w:type="dxa"/>
          </w:tcPr>
          <w:p w14:paraId="16D1A539" w14:textId="2315E50C"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12° de internationale identiteit van de mobiele abonnee (“International Mobile </w:t>
            </w:r>
            <w:proofErr w:type="spellStart"/>
            <w:r w:rsidRPr="00C462D9">
              <w:rPr>
                <w:rFonts w:asciiTheme="minorHAnsi" w:hAnsiTheme="minorHAnsi" w:cstheme="minorHAnsi"/>
                <w:sz w:val="22"/>
              </w:rPr>
              <w:t>Subscriber</w:t>
            </w:r>
            <w:proofErr w:type="spellEnd"/>
            <w:r w:rsidRPr="00C462D9">
              <w:rPr>
                <w:rFonts w:asciiTheme="minorHAnsi" w:hAnsiTheme="minorHAnsi" w:cstheme="minorHAnsi"/>
                <w:sz w:val="22"/>
              </w:rPr>
              <w:t xml:space="preserve"> Identity”, “IMSI”); </w:t>
            </w:r>
          </w:p>
        </w:tc>
      </w:tr>
      <w:tr w:rsidR="00EE1575" w:rsidRPr="002F7AA5" w14:paraId="35AC22BF" w14:textId="77777777" w:rsidTr="00705040">
        <w:tc>
          <w:tcPr>
            <w:tcW w:w="4508" w:type="dxa"/>
          </w:tcPr>
          <w:p w14:paraId="64B5D7E4" w14:textId="77777777" w:rsidR="00EE1575" w:rsidRPr="00C462D9" w:rsidRDefault="00EE1575" w:rsidP="00EE1575">
            <w:pPr>
              <w:jc w:val="both"/>
              <w:rPr>
                <w:rFonts w:asciiTheme="minorHAnsi" w:hAnsiTheme="minorHAnsi" w:cstheme="minorHAnsi"/>
                <w:sz w:val="22"/>
              </w:rPr>
            </w:pPr>
          </w:p>
        </w:tc>
        <w:tc>
          <w:tcPr>
            <w:tcW w:w="4508" w:type="dxa"/>
          </w:tcPr>
          <w:p w14:paraId="2F283CAA" w14:textId="77777777" w:rsidR="00EE1575" w:rsidRPr="00C462D9" w:rsidRDefault="00EE1575" w:rsidP="00EE1575">
            <w:pPr>
              <w:jc w:val="both"/>
              <w:rPr>
                <w:rFonts w:asciiTheme="minorHAnsi" w:hAnsiTheme="minorHAnsi" w:cstheme="minorHAnsi"/>
                <w:sz w:val="22"/>
              </w:rPr>
            </w:pPr>
          </w:p>
        </w:tc>
      </w:tr>
      <w:tr w:rsidR="00EE1575" w:rsidRPr="00A33A52" w14:paraId="1CD98A1B" w14:textId="77777777" w:rsidTr="00705040">
        <w:tc>
          <w:tcPr>
            <w:tcW w:w="4508" w:type="dxa"/>
          </w:tcPr>
          <w:p w14:paraId="27BDBCD3" w14:textId="1A00B76E"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color w:val="000000"/>
                <w:sz w:val="22"/>
                <w:lang w:val="fr-BE"/>
              </w:rPr>
              <w:lastRenderedPageBreak/>
              <w:t>13° l'identifiant permanent d’abonnement</w:t>
            </w:r>
            <w:r w:rsidRPr="00C462D9">
              <w:rPr>
                <w:rFonts w:asciiTheme="minorHAnsi" w:hAnsiTheme="minorHAnsi" w:cstheme="minorHAnsi"/>
                <w:sz w:val="22"/>
                <w:lang w:val="fr-BE"/>
              </w:rPr>
              <w:t xml:space="preserve"> </w:t>
            </w:r>
            <w:r w:rsidRPr="00C462D9">
              <w:rPr>
                <w:rFonts w:asciiTheme="minorHAnsi" w:hAnsiTheme="minorHAnsi" w:cstheme="minorHAnsi"/>
                <w:color w:val="000000"/>
                <w:sz w:val="22"/>
                <w:lang w:val="fr-BE"/>
              </w:rPr>
              <w:t>("</w:t>
            </w:r>
            <w:proofErr w:type="spellStart"/>
            <w:r w:rsidRPr="00C462D9">
              <w:rPr>
                <w:rFonts w:asciiTheme="minorHAnsi" w:hAnsiTheme="minorHAnsi" w:cstheme="minorHAnsi"/>
                <w:color w:val="000000"/>
                <w:sz w:val="22"/>
                <w:lang w:val="fr-BE"/>
              </w:rPr>
              <w:t>Subscription</w:t>
            </w:r>
            <w:proofErr w:type="spellEnd"/>
            <w:r w:rsidRPr="00C462D9">
              <w:rPr>
                <w:rFonts w:asciiTheme="minorHAnsi" w:hAnsiTheme="minorHAnsi" w:cstheme="minorHAnsi"/>
                <w:color w:val="000000"/>
                <w:sz w:val="22"/>
                <w:lang w:val="fr-BE"/>
              </w:rPr>
              <w:t xml:space="preserve"> Permanent Identifier", "SUPI") ; </w:t>
            </w:r>
          </w:p>
        </w:tc>
        <w:tc>
          <w:tcPr>
            <w:tcW w:w="4508" w:type="dxa"/>
          </w:tcPr>
          <w:p w14:paraId="3501B069" w14:textId="468EBFF6"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 xml:space="preserve">13° de permanente </w:t>
            </w:r>
            <w:r w:rsidR="00D169DD">
              <w:rPr>
                <w:rFonts w:asciiTheme="minorHAnsi" w:hAnsiTheme="minorHAnsi" w:cstheme="minorHAnsi"/>
                <w:sz w:val="22"/>
                <w:lang w:val="fr-BE"/>
              </w:rPr>
              <w:t>identifi</w:t>
            </w:r>
            <w:r w:rsidR="0005635B">
              <w:rPr>
                <w:rFonts w:asciiTheme="minorHAnsi" w:hAnsiTheme="minorHAnsi" w:cstheme="minorHAnsi"/>
                <w:sz w:val="22"/>
                <w:lang w:val="fr-BE"/>
              </w:rPr>
              <w:t>er</w:t>
            </w:r>
            <w:r w:rsidRPr="00C462D9">
              <w:rPr>
                <w:rFonts w:asciiTheme="minorHAnsi" w:hAnsiTheme="minorHAnsi" w:cstheme="minorHAnsi"/>
                <w:sz w:val="22"/>
                <w:lang w:val="fr-BE"/>
              </w:rPr>
              <w:t xml:space="preserve"> van het abonnement </w:t>
            </w:r>
            <w:r w:rsidRPr="00C462D9">
              <w:rPr>
                <w:rFonts w:asciiTheme="minorHAnsi" w:hAnsiTheme="minorHAnsi" w:cstheme="minorHAnsi"/>
                <w:color w:val="000000"/>
                <w:sz w:val="22"/>
                <w:lang w:val="fr-BE"/>
              </w:rPr>
              <w:t>(“</w:t>
            </w:r>
            <w:proofErr w:type="spellStart"/>
            <w:r w:rsidRPr="00C462D9">
              <w:rPr>
                <w:rFonts w:asciiTheme="minorHAnsi" w:hAnsiTheme="minorHAnsi" w:cstheme="minorHAnsi"/>
                <w:color w:val="000000"/>
                <w:sz w:val="22"/>
                <w:lang w:val="fr-BE"/>
              </w:rPr>
              <w:t>Subscription</w:t>
            </w:r>
            <w:proofErr w:type="spellEnd"/>
            <w:r w:rsidRPr="00C462D9">
              <w:rPr>
                <w:rFonts w:asciiTheme="minorHAnsi" w:hAnsiTheme="minorHAnsi" w:cstheme="minorHAnsi"/>
                <w:color w:val="000000"/>
                <w:sz w:val="22"/>
                <w:lang w:val="fr-BE"/>
              </w:rPr>
              <w:t xml:space="preserve"> Permanent Identifier”, “SUPI”);</w:t>
            </w:r>
          </w:p>
        </w:tc>
      </w:tr>
      <w:tr w:rsidR="00EE1575" w:rsidRPr="00A33A52" w14:paraId="4B32F4AC" w14:textId="77777777" w:rsidTr="00705040">
        <w:tc>
          <w:tcPr>
            <w:tcW w:w="4508" w:type="dxa"/>
          </w:tcPr>
          <w:p w14:paraId="6093FF1B" w14:textId="77777777" w:rsidR="00EE1575" w:rsidRPr="00C462D9" w:rsidRDefault="00EE1575" w:rsidP="00EE1575">
            <w:pPr>
              <w:jc w:val="both"/>
              <w:rPr>
                <w:rFonts w:asciiTheme="minorHAnsi" w:hAnsiTheme="minorHAnsi" w:cstheme="minorHAnsi"/>
                <w:sz w:val="22"/>
                <w:lang w:val="fr-BE"/>
              </w:rPr>
            </w:pPr>
          </w:p>
        </w:tc>
        <w:tc>
          <w:tcPr>
            <w:tcW w:w="4508" w:type="dxa"/>
          </w:tcPr>
          <w:p w14:paraId="28AE8BB9" w14:textId="77777777" w:rsidR="00EE1575" w:rsidRPr="00C462D9" w:rsidRDefault="00EE1575" w:rsidP="00EE1575">
            <w:pPr>
              <w:jc w:val="both"/>
              <w:rPr>
                <w:rFonts w:asciiTheme="minorHAnsi" w:hAnsiTheme="minorHAnsi" w:cstheme="minorHAnsi"/>
                <w:sz w:val="22"/>
                <w:lang w:val="fr-BE"/>
              </w:rPr>
            </w:pPr>
          </w:p>
        </w:tc>
      </w:tr>
      <w:tr w:rsidR="00EE1575" w:rsidRPr="0005635B" w14:paraId="5EBF508D" w14:textId="77777777" w:rsidTr="00705040">
        <w:tc>
          <w:tcPr>
            <w:tcW w:w="4508" w:type="dxa"/>
          </w:tcPr>
          <w:p w14:paraId="174F266E" w14:textId="48CBC947"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color w:val="000000"/>
                <w:sz w:val="22"/>
                <w:lang w:val="fr-BE"/>
              </w:rPr>
              <w:t>14° l’identifiant caché d’abonnement  ("</w:t>
            </w:r>
            <w:proofErr w:type="spellStart"/>
            <w:r w:rsidRPr="00C462D9">
              <w:rPr>
                <w:rFonts w:asciiTheme="minorHAnsi" w:hAnsiTheme="minorHAnsi" w:cstheme="minorHAnsi"/>
                <w:color w:val="000000"/>
                <w:sz w:val="22"/>
                <w:lang w:val="fr-BE"/>
              </w:rPr>
              <w:t>Subscription</w:t>
            </w:r>
            <w:proofErr w:type="spellEnd"/>
            <w:r w:rsidRPr="00C462D9">
              <w:rPr>
                <w:rFonts w:asciiTheme="minorHAnsi" w:hAnsiTheme="minorHAnsi" w:cstheme="minorHAnsi"/>
                <w:color w:val="000000"/>
                <w:sz w:val="22"/>
                <w:lang w:val="fr-BE"/>
              </w:rPr>
              <w:t xml:space="preserve"> </w:t>
            </w:r>
            <w:proofErr w:type="spellStart"/>
            <w:r w:rsidRPr="00C462D9">
              <w:rPr>
                <w:rFonts w:asciiTheme="minorHAnsi" w:hAnsiTheme="minorHAnsi" w:cstheme="minorHAnsi"/>
                <w:color w:val="000000"/>
                <w:sz w:val="22"/>
                <w:lang w:val="fr-BE"/>
              </w:rPr>
              <w:t>Concealed</w:t>
            </w:r>
            <w:proofErr w:type="spellEnd"/>
            <w:r w:rsidRPr="00C462D9">
              <w:rPr>
                <w:rFonts w:asciiTheme="minorHAnsi" w:hAnsiTheme="minorHAnsi" w:cstheme="minorHAnsi"/>
                <w:color w:val="000000"/>
                <w:sz w:val="22"/>
                <w:lang w:val="fr-BE"/>
              </w:rPr>
              <w:t xml:space="preserve"> Identifier" "SUCI") ; </w:t>
            </w:r>
            <w:r w:rsidRPr="00C462D9">
              <w:rPr>
                <w:rFonts w:asciiTheme="minorHAnsi" w:hAnsiTheme="minorHAnsi" w:cstheme="minorHAnsi"/>
                <w:sz w:val="22"/>
                <w:lang w:val="fr-BE"/>
              </w:rPr>
              <w:t xml:space="preserve">  </w:t>
            </w:r>
          </w:p>
        </w:tc>
        <w:tc>
          <w:tcPr>
            <w:tcW w:w="4508" w:type="dxa"/>
          </w:tcPr>
          <w:p w14:paraId="5281F5CB" w14:textId="6D672884" w:rsidR="00EE1575" w:rsidRPr="0005635B" w:rsidRDefault="00EE1575" w:rsidP="00EE1575">
            <w:pPr>
              <w:jc w:val="both"/>
              <w:rPr>
                <w:rFonts w:asciiTheme="minorHAnsi" w:hAnsiTheme="minorHAnsi" w:cstheme="minorHAnsi"/>
                <w:sz w:val="22"/>
                <w:lang w:val="fr-FR"/>
              </w:rPr>
            </w:pPr>
            <w:r w:rsidRPr="0005635B">
              <w:rPr>
                <w:rFonts w:asciiTheme="minorHAnsi" w:hAnsiTheme="minorHAnsi" w:cstheme="minorHAnsi"/>
                <w:color w:val="000000"/>
                <w:sz w:val="22"/>
                <w:lang w:val="fr-FR"/>
              </w:rPr>
              <w:t xml:space="preserve">14° de </w:t>
            </w:r>
            <w:proofErr w:type="spellStart"/>
            <w:r w:rsidRPr="0005635B">
              <w:rPr>
                <w:rFonts w:asciiTheme="minorHAnsi" w:hAnsiTheme="minorHAnsi" w:cstheme="minorHAnsi"/>
                <w:color w:val="000000"/>
                <w:sz w:val="22"/>
                <w:lang w:val="fr-FR"/>
              </w:rPr>
              <w:t>verdoken</w:t>
            </w:r>
            <w:proofErr w:type="spellEnd"/>
            <w:r w:rsidRPr="0005635B">
              <w:rPr>
                <w:rFonts w:asciiTheme="minorHAnsi" w:hAnsiTheme="minorHAnsi" w:cstheme="minorHAnsi"/>
                <w:color w:val="000000"/>
                <w:sz w:val="22"/>
                <w:lang w:val="fr-FR"/>
              </w:rPr>
              <w:t xml:space="preserve"> </w:t>
            </w:r>
            <w:r w:rsidR="00D169DD" w:rsidRPr="0005635B">
              <w:rPr>
                <w:rFonts w:asciiTheme="minorHAnsi" w:hAnsiTheme="minorHAnsi" w:cstheme="minorHAnsi"/>
                <w:color w:val="000000"/>
                <w:sz w:val="22"/>
                <w:lang w:val="fr-FR"/>
              </w:rPr>
              <w:t>identifi</w:t>
            </w:r>
            <w:r w:rsidR="0005635B">
              <w:rPr>
                <w:rFonts w:asciiTheme="minorHAnsi" w:hAnsiTheme="minorHAnsi" w:cstheme="minorHAnsi"/>
                <w:color w:val="000000"/>
                <w:sz w:val="22"/>
                <w:lang w:val="fr-FR"/>
              </w:rPr>
              <w:t>er</w:t>
            </w:r>
            <w:r w:rsidRPr="0005635B">
              <w:rPr>
                <w:rFonts w:asciiTheme="minorHAnsi" w:hAnsiTheme="minorHAnsi" w:cstheme="minorHAnsi"/>
                <w:color w:val="000000"/>
                <w:sz w:val="22"/>
                <w:lang w:val="fr-FR"/>
              </w:rPr>
              <w:t xml:space="preserve"> van het abonnement (“</w:t>
            </w:r>
            <w:proofErr w:type="spellStart"/>
            <w:r w:rsidRPr="0005635B">
              <w:rPr>
                <w:rFonts w:asciiTheme="minorHAnsi" w:hAnsiTheme="minorHAnsi" w:cstheme="minorHAnsi"/>
                <w:color w:val="000000"/>
                <w:sz w:val="22"/>
                <w:lang w:val="fr-FR"/>
              </w:rPr>
              <w:t>Subscription</w:t>
            </w:r>
            <w:proofErr w:type="spellEnd"/>
            <w:r w:rsidRPr="0005635B">
              <w:rPr>
                <w:rFonts w:asciiTheme="minorHAnsi" w:hAnsiTheme="minorHAnsi" w:cstheme="minorHAnsi"/>
                <w:color w:val="000000"/>
                <w:sz w:val="22"/>
                <w:lang w:val="fr-FR"/>
              </w:rPr>
              <w:t xml:space="preserve"> </w:t>
            </w:r>
            <w:proofErr w:type="spellStart"/>
            <w:r w:rsidRPr="0005635B">
              <w:rPr>
                <w:rFonts w:asciiTheme="minorHAnsi" w:hAnsiTheme="minorHAnsi" w:cstheme="minorHAnsi"/>
                <w:color w:val="000000"/>
                <w:sz w:val="22"/>
                <w:lang w:val="fr-FR"/>
              </w:rPr>
              <w:t>Concealed</w:t>
            </w:r>
            <w:proofErr w:type="spellEnd"/>
            <w:r w:rsidRPr="0005635B">
              <w:rPr>
                <w:rFonts w:asciiTheme="minorHAnsi" w:hAnsiTheme="minorHAnsi" w:cstheme="minorHAnsi"/>
                <w:color w:val="000000"/>
                <w:sz w:val="22"/>
                <w:lang w:val="fr-FR"/>
              </w:rPr>
              <w:t xml:space="preserve"> Identifier” “SUCI”); </w:t>
            </w:r>
            <w:r w:rsidRPr="0005635B">
              <w:rPr>
                <w:rFonts w:asciiTheme="minorHAnsi" w:hAnsiTheme="minorHAnsi" w:cstheme="minorHAnsi"/>
                <w:sz w:val="22"/>
                <w:lang w:val="fr-FR"/>
              </w:rPr>
              <w:t xml:space="preserve">  </w:t>
            </w:r>
          </w:p>
        </w:tc>
      </w:tr>
      <w:tr w:rsidR="00EE1575" w:rsidRPr="0005635B" w14:paraId="0B5677A7" w14:textId="77777777" w:rsidTr="00705040">
        <w:tc>
          <w:tcPr>
            <w:tcW w:w="4508" w:type="dxa"/>
          </w:tcPr>
          <w:p w14:paraId="6C8208F6" w14:textId="77777777" w:rsidR="00EE1575" w:rsidRPr="0005635B" w:rsidRDefault="00EE1575" w:rsidP="00EE1575">
            <w:pPr>
              <w:jc w:val="both"/>
              <w:rPr>
                <w:rFonts w:asciiTheme="minorHAnsi" w:hAnsiTheme="minorHAnsi" w:cstheme="minorHAnsi"/>
                <w:sz w:val="22"/>
                <w:lang w:val="fr-FR"/>
              </w:rPr>
            </w:pPr>
          </w:p>
        </w:tc>
        <w:tc>
          <w:tcPr>
            <w:tcW w:w="4508" w:type="dxa"/>
          </w:tcPr>
          <w:p w14:paraId="539EBA1B" w14:textId="77777777" w:rsidR="00EE1575" w:rsidRPr="0005635B" w:rsidRDefault="00EE1575" w:rsidP="00EE1575">
            <w:pPr>
              <w:jc w:val="both"/>
              <w:rPr>
                <w:rFonts w:asciiTheme="minorHAnsi" w:hAnsiTheme="minorHAnsi" w:cstheme="minorHAnsi"/>
                <w:sz w:val="22"/>
                <w:lang w:val="fr-FR"/>
              </w:rPr>
            </w:pPr>
          </w:p>
        </w:tc>
      </w:tr>
      <w:tr w:rsidR="00EE1575" w:rsidRPr="002F7AA5" w14:paraId="022941D9" w14:textId="77777777" w:rsidTr="00705040">
        <w:tc>
          <w:tcPr>
            <w:tcW w:w="4508" w:type="dxa"/>
          </w:tcPr>
          <w:p w14:paraId="0F38ECFB" w14:textId="7BF0AE9A"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15° l'adresse IP à la source de la connexion, l’horodatage de l'attribution ainsi que, en cas d'utilisation partagée d'une adresse IP de l’utilisateur final, les ports qui lui ont été attribués</w:t>
            </w:r>
            <w:r w:rsidR="00A26693" w:rsidRPr="00C462D9">
              <w:rPr>
                <w:rFonts w:asciiTheme="minorHAnsi" w:hAnsiTheme="minorHAnsi" w:cstheme="minorHAnsi"/>
                <w:sz w:val="22"/>
                <w:lang w:val="fr-BE"/>
              </w:rPr>
              <w:t xml:space="preserve"> </w:t>
            </w:r>
            <w:r w:rsidRPr="00C462D9">
              <w:rPr>
                <w:rFonts w:asciiTheme="minorHAnsi" w:hAnsiTheme="minorHAnsi" w:cstheme="minorHAnsi"/>
                <w:sz w:val="22"/>
                <w:lang w:val="fr-BE"/>
              </w:rPr>
              <w:t>;</w:t>
            </w:r>
          </w:p>
        </w:tc>
        <w:tc>
          <w:tcPr>
            <w:tcW w:w="4508" w:type="dxa"/>
          </w:tcPr>
          <w:p w14:paraId="15E80C36" w14:textId="5DD2CBF7"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15° het IP-adres aan de bron van de verbinding, het tijdstempel van de toewijzing alsook, in geval van gedeeld gebruik van een IP-adres van de eindgebruiker, de poorten die daaraan zijn toegewezen;</w:t>
            </w:r>
          </w:p>
        </w:tc>
      </w:tr>
      <w:tr w:rsidR="00EE1575" w:rsidRPr="002F7AA5" w14:paraId="79B9AE72" w14:textId="77777777" w:rsidTr="00705040">
        <w:tc>
          <w:tcPr>
            <w:tcW w:w="4508" w:type="dxa"/>
          </w:tcPr>
          <w:p w14:paraId="03CFC73A" w14:textId="77777777" w:rsidR="00EE1575" w:rsidRPr="00C462D9" w:rsidRDefault="00EE1575" w:rsidP="00EE1575">
            <w:pPr>
              <w:jc w:val="both"/>
              <w:rPr>
                <w:rFonts w:asciiTheme="minorHAnsi" w:hAnsiTheme="minorHAnsi" w:cstheme="minorHAnsi"/>
                <w:sz w:val="22"/>
              </w:rPr>
            </w:pPr>
          </w:p>
        </w:tc>
        <w:tc>
          <w:tcPr>
            <w:tcW w:w="4508" w:type="dxa"/>
          </w:tcPr>
          <w:p w14:paraId="551AA1B0" w14:textId="77777777" w:rsidR="00EE1575" w:rsidRPr="00C462D9" w:rsidRDefault="00EE1575" w:rsidP="00EE1575">
            <w:pPr>
              <w:jc w:val="both"/>
              <w:rPr>
                <w:rFonts w:asciiTheme="minorHAnsi" w:hAnsiTheme="minorHAnsi" w:cstheme="minorHAnsi"/>
                <w:sz w:val="22"/>
              </w:rPr>
            </w:pPr>
          </w:p>
        </w:tc>
      </w:tr>
      <w:tr w:rsidR="00EE1575" w:rsidRPr="002F7AA5" w14:paraId="5FC66D1D" w14:textId="77777777" w:rsidTr="00705040">
        <w:tc>
          <w:tcPr>
            <w:tcW w:w="4508" w:type="dxa"/>
          </w:tcPr>
          <w:p w14:paraId="6366544E" w14:textId="599ACF0C" w:rsidR="00EE1575" w:rsidRPr="00C462D9" w:rsidRDefault="00EE1575" w:rsidP="00EE1575">
            <w:pPr>
              <w:jc w:val="both"/>
              <w:rPr>
                <w:rFonts w:asciiTheme="minorHAnsi" w:hAnsiTheme="minorHAnsi" w:cstheme="minorHAnsi"/>
                <w:sz w:val="22"/>
                <w:lang w:val="fr-BE"/>
              </w:rPr>
            </w:pPr>
            <w:bookmarkStart w:id="3" w:name="_Hlk90302880"/>
            <w:bookmarkStart w:id="4" w:name="_Hlk90988144"/>
            <w:r w:rsidRPr="00C462D9">
              <w:rPr>
                <w:rFonts w:asciiTheme="minorHAnsi" w:hAnsiTheme="minorHAnsi" w:cstheme="minorHAnsi"/>
                <w:sz w:val="22"/>
                <w:lang w:val="fr-BE"/>
              </w:rPr>
              <w:t>16° l’identifiant de l’équipement terminal de l’utilisateur final</w:t>
            </w:r>
            <w:bookmarkEnd w:id="3"/>
            <w:r w:rsidRPr="00C462D9">
              <w:rPr>
                <w:rFonts w:asciiTheme="minorHAnsi" w:hAnsiTheme="minorHAnsi" w:cstheme="minorHAnsi"/>
                <w:sz w:val="22"/>
                <w:lang w:val="fr-BE"/>
              </w:rPr>
              <w:t>, ou lorsque l’opérateur ne le traite pas  ou ne le génère pas, l’identifiant de l’équipement qui est le plus proche de cet équipement terminal, à savoir notamment</w:t>
            </w:r>
            <w:r w:rsidR="00A26693" w:rsidRPr="00C462D9">
              <w:rPr>
                <w:rFonts w:asciiTheme="minorHAnsi" w:hAnsiTheme="minorHAnsi" w:cstheme="minorHAnsi"/>
                <w:sz w:val="22"/>
                <w:lang w:val="fr-BE"/>
              </w:rPr>
              <w:t> </w:t>
            </w:r>
            <w:bookmarkEnd w:id="4"/>
            <w:r w:rsidR="00A26693" w:rsidRPr="00C462D9">
              <w:rPr>
                <w:rFonts w:asciiTheme="minorHAnsi" w:hAnsiTheme="minorHAnsi" w:cstheme="minorHAnsi"/>
                <w:sz w:val="22"/>
                <w:lang w:val="fr-BE"/>
              </w:rPr>
              <w:t xml:space="preserve">:  </w:t>
            </w:r>
          </w:p>
        </w:tc>
        <w:tc>
          <w:tcPr>
            <w:tcW w:w="4508" w:type="dxa"/>
          </w:tcPr>
          <w:p w14:paraId="67BD2F24" w14:textId="26732057"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16° de </w:t>
            </w:r>
            <w:proofErr w:type="spellStart"/>
            <w:r w:rsidR="0005635B" w:rsidRPr="008D3B9B">
              <w:rPr>
                <w:rFonts w:asciiTheme="minorHAnsi" w:hAnsiTheme="minorHAnsi" w:cstheme="minorHAnsi"/>
                <w:sz w:val="22"/>
              </w:rPr>
              <w:t>i</w:t>
            </w:r>
            <w:r w:rsidR="0005635B">
              <w:rPr>
                <w:rFonts w:asciiTheme="minorHAnsi" w:hAnsiTheme="minorHAnsi" w:cstheme="minorHAnsi"/>
                <w:sz w:val="22"/>
              </w:rPr>
              <w:t>dentifier</w:t>
            </w:r>
            <w:proofErr w:type="spellEnd"/>
            <w:r w:rsidRPr="00C462D9">
              <w:rPr>
                <w:rFonts w:asciiTheme="minorHAnsi" w:hAnsiTheme="minorHAnsi" w:cstheme="minorHAnsi"/>
                <w:sz w:val="22"/>
              </w:rPr>
              <w:t xml:space="preserve"> van de eindapparatuur van de eindgebruiker, of indien de operator dit niet verwerkt of genereert, de </w:t>
            </w:r>
            <w:proofErr w:type="spellStart"/>
            <w:r w:rsidR="0005635B">
              <w:rPr>
                <w:rFonts w:asciiTheme="minorHAnsi" w:hAnsiTheme="minorHAnsi" w:cstheme="minorHAnsi"/>
                <w:sz w:val="22"/>
              </w:rPr>
              <w:t>identifier</w:t>
            </w:r>
            <w:proofErr w:type="spellEnd"/>
            <w:r w:rsidRPr="00C462D9">
              <w:rPr>
                <w:rFonts w:asciiTheme="minorHAnsi" w:hAnsiTheme="minorHAnsi" w:cstheme="minorHAnsi"/>
                <w:sz w:val="22"/>
              </w:rPr>
              <w:t xml:space="preserve"> van de apparatuur die zich het dichtste bij die eindapparatuur bevindt, met name</w:t>
            </w:r>
            <w:r w:rsidR="00A26693" w:rsidRPr="00C462D9">
              <w:rPr>
                <w:rFonts w:asciiTheme="minorHAnsi" w:hAnsiTheme="minorHAnsi" w:cstheme="minorHAnsi"/>
                <w:sz w:val="22"/>
              </w:rPr>
              <w:t xml:space="preserve">:  </w:t>
            </w:r>
          </w:p>
        </w:tc>
      </w:tr>
      <w:tr w:rsidR="00EE1575" w:rsidRPr="002F7AA5" w14:paraId="4BFF7808" w14:textId="77777777" w:rsidTr="00705040">
        <w:tc>
          <w:tcPr>
            <w:tcW w:w="4508" w:type="dxa"/>
          </w:tcPr>
          <w:p w14:paraId="54A15AD3" w14:textId="77777777" w:rsidR="00EE1575" w:rsidRPr="00C462D9" w:rsidRDefault="00EE1575" w:rsidP="00EE1575">
            <w:pPr>
              <w:jc w:val="both"/>
              <w:rPr>
                <w:rFonts w:asciiTheme="minorHAnsi" w:hAnsiTheme="minorHAnsi" w:cstheme="minorHAnsi"/>
                <w:sz w:val="22"/>
              </w:rPr>
            </w:pPr>
          </w:p>
        </w:tc>
        <w:tc>
          <w:tcPr>
            <w:tcW w:w="4508" w:type="dxa"/>
          </w:tcPr>
          <w:p w14:paraId="4D2628FE" w14:textId="77777777" w:rsidR="00EE1575" w:rsidRPr="00C462D9" w:rsidRDefault="00EE1575" w:rsidP="00EE1575">
            <w:pPr>
              <w:jc w:val="both"/>
              <w:rPr>
                <w:rFonts w:asciiTheme="minorHAnsi" w:hAnsiTheme="minorHAnsi" w:cstheme="minorHAnsi"/>
                <w:sz w:val="22"/>
              </w:rPr>
            </w:pPr>
          </w:p>
        </w:tc>
      </w:tr>
      <w:tr w:rsidR="00EE1575" w:rsidRPr="002F7AA5" w14:paraId="51C4DE2F" w14:textId="77777777" w:rsidTr="00705040">
        <w:tc>
          <w:tcPr>
            <w:tcW w:w="4508" w:type="dxa"/>
          </w:tcPr>
          <w:p w14:paraId="22ACA9FE" w14:textId="568E734E" w:rsidR="00EE1575" w:rsidRPr="00C462D9" w:rsidRDefault="00EE1575" w:rsidP="005D290D">
            <w:pPr>
              <w:pStyle w:val="Lijstalinea"/>
              <w:numPr>
                <w:ilvl w:val="0"/>
                <w:numId w:val="1"/>
              </w:numPr>
              <w:jc w:val="both"/>
              <w:rPr>
                <w:rFonts w:asciiTheme="minorHAnsi" w:hAnsiTheme="minorHAnsi" w:cstheme="minorHAnsi"/>
                <w:sz w:val="22"/>
                <w:lang w:val="fr-BE"/>
              </w:rPr>
            </w:pPr>
            <w:r w:rsidRPr="00C462D9">
              <w:rPr>
                <w:rFonts w:asciiTheme="minorHAnsi" w:hAnsiTheme="minorHAnsi" w:cstheme="minorHAnsi"/>
                <w:sz w:val="22"/>
                <w:lang w:val="fr-BE"/>
              </w:rPr>
              <w:t>l’identité internationale d'équipement mobile ("International Mobile Equipment Identity", "IMEI") ;</w:t>
            </w:r>
            <w:r w:rsidRPr="00C462D9">
              <w:rPr>
                <w:rFonts w:asciiTheme="minorHAnsi" w:hAnsiTheme="minorHAnsi" w:cstheme="minorHAnsi"/>
                <w:color w:val="000000"/>
                <w:sz w:val="22"/>
                <w:lang w:val="fr-BE"/>
              </w:rPr>
              <w:t xml:space="preserve"> </w:t>
            </w:r>
            <w:r w:rsidRPr="00C462D9">
              <w:rPr>
                <w:rFonts w:asciiTheme="minorHAnsi" w:hAnsiTheme="minorHAnsi" w:cstheme="minorHAnsi"/>
                <w:sz w:val="22"/>
                <w:lang w:val="fr-BE"/>
              </w:rPr>
              <w:t xml:space="preserve"> </w:t>
            </w:r>
          </w:p>
        </w:tc>
        <w:tc>
          <w:tcPr>
            <w:tcW w:w="4508" w:type="dxa"/>
          </w:tcPr>
          <w:p w14:paraId="55023C01" w14:textId="7872E494" w:rsidR="00EE1575" w:rsidRPr="00C462D9" w:rsidRDefault="00EE1575" w:rsidP="005D290D">
            <w:pPr>
              <w:pStyle w:val="Lijstalinea"/>
              <w:numPr>
                <w:ilvl w:val="0"/>
                <w:numId w:val="1"/>
              </w:numPr>
              <w:jc w:val="both"/>
              <w:rPr>
                <w:rFonts w:asciiTheme="minorHAnsi" w:hAnsiTheme="minorHAnsi" w:cstheme="minorHAnsi"/>
                <w:sz w:val="22"/>
              </w:rPr>
            </w:pPr>
            <w:r w:rsidRPr="00C462D9">
              <w:rPr>
                <w:rFonts w:asciiTheme="minorHAnsi" w:hAnsiTheme="minorHAnsi" w:cstheme="minorHAnsi"/>
                <w:sz w:val="22"/>
              </w:rPr>
              <w:t>de internationale identiteit van de mobiele apparatuur  ("International Mobile Equipment Identity", "IMEI”)</w:t>
            </w:r>
          </w:p>
        </w:tc>
      </w:tr>
      <w:tr w:rsidR="00EE1575" w:rsidRPr="002F7AA5" w14:paraId="04F50949" w14:textId="77777777" w:rsidTr="00705040">
        <w:tc>
          <w:tcPr>
            <w:tcW w:w="4508" w:type="dxa"/>
          </w:tcPr>
          <w:p w14:paraId="088C9987" w14:textId="77777777" w:rsidR="00EE1575" w:rsidRPr="00C462D9" w:rsidRDefault="00EE1575" w:rsidP="00EE1575">
            <w:pPr>
              <w:jc w:val="both"/>
              <w:rPr>
                <w:rFonts w:asciiTheme="minorHAnsi" w:hAnsiTheme="minorHAnsi" w:cstheme="minorHAnsi"/>
                <w:sz w:val="22"/>
              </w:rPr>
            </w:pPr>
          </w:p>
        </w:tc>
        <w:tc>
          <w:tcPr>
            <w:tcW w:w="4508" w:type="dxa"/>
          </w:tcPr>
          <w:p w14:paraId="14EA8B77" w14:textId="77777777" w:rsidR="00EE1575" w:rsidRPr="00C462D9" w:rsidRDefault="00EE1575" w:rsidP="00EE1575">
            <w:pPr>
              <w:jc w:val="both"/>
              <w:rPr>
                <w:rFonts w:asciiTheme="minorHAnsi" w:hAnsiTheme="minorHAnsi" w:cstheme="minorHAnsi"/>
                <w:sz w:val="22"/>
              </w:rPr>
            </w:pPr>
          </w:p>
        </w:tc>
      </w:tr>
      <w:tr w:rsidR="00EE1575" w:rsidRPr="0005635B" w14:paraId="786D5E64" w14:textId="77777777" w:rsidTr="00705040">
        <w:tc>
          <w:tcPr>
            <w:tcW w:w="4508" w:type="dxa"/>
          </w:tcPr>
          <w:p w14:paraId="4771D9B6" w14:textId="3438768F" w:rsidR="00EE1575" w:rsidRPr="00C462D9" w:rsidRDefault="00EE1575" w:rsidP="005D290D">
            <w:pPr>
              <w:pStyle w:val="Lijstalinea"/>
              <w:numPr>
                <w:ilvl w:val="0"/>
                <w:numId w:val="1"/>
              </w:numPr>
              <w:jc w:val="both"/>
              <w:rPr>
                <w:rFonts w:asciiTheme="minorHAnsi" w:hAnsiTheme="minorHAnsi" w:cstheme="minorHAnsi"/>
                <w:sz w:val="22"/>
                <w:lang w:val="fr-BE"/>
              </w:rPr>
            </w:pPr>
            <w:r w:rsidRPr="00C462D9">
              <w:rPr>
                <w:rFonts w:asciiTheme="minorHAnsi" w:hAnsiTheme="minorHAnsi" w:cstheme="minorHAnsi"/>
                <w:sz w:val="22"/>
                <w:lang w:val="fr-BE"/>
              </w:rPr>
              <w:t xml:space="preserve">l’identifiant permanent de l’équipement ("Permanent Equipment Identifier", "PEI"); </w:t>
            </w:r>
          </w:p>
        </w:tc>
        <w:tc>
          <w:tcPr>
            <w:tcW w:w="4508" w:type="dxa"/>
          </w:tcPr>
          <w:p w14:paraId="75B9EAB0" w14:textId="29AC5F68" w:rsidR="00EE1575" w:rsidRPr="00EF5D0F" w:rsidRDefault="00EE1575" w:rsidP="005D290D">
            <w:pPr>
              <w:pStyle w:val="Lijstalinea"/>
              <w:numPr>
                <w:ilvl w:val="0"/>
                <w:numId w:val="1"/>
              </w:numPr>
              <w:jc w:val="both"/>
              <w:rPr>
                <w:rFonts w:asciiTheme="minorHAnsi" w:hAnsiTheme="minorHAnsi" w:cstheme="minorHAnsi"/>
                <w:sz w:val="22"/>
                <w:lang w:val="fr-FR"/>
              </w:rPr>
            </w:pPr>
            <w:r w:rsidRPr="00EF5D0F">
              <w:rPr>
                <w:rFonts w:asciiTheme="minorHAnsi" w:hAnsiTheme="minorHAnsi" w:cstheme="minorHAnsi"/>
                <w:sz w:val="22"/>
                <w:lang w:val="fr-FR"/>
              </w:rPr>
              <w:t xml:space="preserve">de permanente </w:t>
            </w:r>
            <w:r w:rsidR="00D169DD" w:rsidRPr="00EF5D0F">
              <w:rPr>
                <w:rFonts w:asciiTheme="minorHAnsi" w:hAnsiTheme="minorHAnsi" w:cstheme="minorHAnsi"/>
                <w:sz w:val="22"/>
                <w:lang w:val="fr-FR"/>
              </w:rPr>
              <w:t>identifi</w:t>
            </w:r>
            <w:r w:rsidR="0005635B">
              <w:rPr>
                <w:rFonts w:asciiTheme="minorHAnsi" w:hAnsiTheme="minorHAnsi" w:cstheme="minorHAnsi"/>
                <w:sz w:val="22"/>
                <w:lang w:val="fr-FR"/>
              </w:rPr>
              <w:t>er</w:t>
            </w:r>
            <w:r w:rsidRPr="00EF5D0F">
              <w:rPr>
                <w:rFonts w:asciiTheme="minorHAnsi" w:hAnsiTheme="minorHAnsi" w:cstheme="minorHAnsi"/>
                <w:sz w:val="22"/>
                <w:lang w:val="fr-FR"/>
              </w:rPr>
              <w:t xml:space="preserve"> van de </w:t>
            </w:r>
            <w:proofErr w:type="spellStart"/>
            <w:r w:rsidRPr="00EF5D0F">
              <w:rPr>
                <w:rFonts w:asciiTheme="minorHAnsi" w:hAnsiTheme="minorHAnsi" w:cstheme="minorHAnsi"/>
                <w:sz w:val="22"/>
                <w:lang w:val="fr-FR"/>
              </w:rPr>
              <w:t>apparatuur</w:t>
            </w:r>
            <w:proofErr w:type="spellEnd"/>
            <w:r w:rsidRPr="00EF5D0F">
              <w:rPr>
                <w:rFonts w:asciiTheme="minorHAnsi" w:hAnsiTheme="minorHAnsi" w:cstheme="minorHAnsi"/>
                <w:sz w:val="22"/>
                <w:lang w:val="fr-FR"/>
              </w:rPr>
              <w:t xml:space="preserve"> (“Permanent Equipment </w:t>
            </w:r>
            <w:proofErr w:type="spellStart"/>
            <w:r w:rsidRPr="00EF5D0F">
              <w:rPr>
                <w:rFonts w:asciiTheme="minorHAnsi" w:hAnsiTheme="minorHAnsi" w:cstheme="minorHAnsi"/>
                <w:sz w:val="22"/>
                <w:lang w:val="fr-FR"/>
              </w:rPr>
              <w:t>Identifier”,”PEI</w:t>
            </w:r>
            <w:proofErr w:type="spellEnd"/>
            <w:r w:rsidRPr="00EF5D0F">
              <w:rPr>
                <w:rFonts w:asciiTheme="minorHAnsi" w:hAnsiTheme="minorHAnsi" w:cstheme="minorHAnsi"/>
                <w:sz w:val="22"/>
                <w:lang w:val="fr-FR"/>
              </w:rPr>
              <w:t>”);</w:t>
            </w:r>
          </w:p>
        </w:tc>
      </w:tr>
      <w:tr w:rsidR="00EE1575" w:rsidRPr="0005635B" w14:paraId="0209E5EE" w14:textId="77777777" w:rsidTr="00705040">
        <w:tc>
          <w:tcPr>
            <w:tcW w:w="4508" w:type="dxa"/>
          </w:tcPr>
          <w:p w14:paraId="16CB174B" w14:textId="77777777" w:rsidR="00EE1575" w:rsidRPr="00EF5D0F" w:rsidRDefault="00EE1575" w:rsidP="00EE1575">
            <w:pPr>
              <w:jc w:val="both"/>
              <w:rPr>
                <w:rFonts w:asciiTheme="minorHAnsi" w:hAnsiTheme="minorHAnsi" w:cstheme="minorHAnsi"/>
                <w:sz w:val="22"/>
                <w:lang w:val="fr-FR"/>
              </w:rPr>
            </w:pPr>
          </w:p>
        </w:tc>
        <w:tc>
          <w:tcPr>
            <w:tcW w:w="4508" w:type="dxa"/>
          </w:tcPr>
          <w:p w14:paraId="0849608E" w14:textId="77777777" w:rsidR="00EE1575" w:rsidRPr="00EF5D0F" w:rsidRDefault="00EE1575" w:rsidP="00EE1575">
            <w:pPr>
              <w:jc w:val="both"/>
              <w:rPr>
                <w:rFonts w:asciiTheme="minorHAnsi" w:hAnsiTheme="minorHAnsi" w:cstheme="minorHAnsi"/>
                <w:sz w:val="22"/>
                <w:lang w:val="fr-FR"/>
              </w:rPr>
            </w:pPr>
          </w:p>
        </w:tc>
      </w:tr>
      <w:tr w:rsidR="00EE1575" w:rsidRPr="002F7AA5" w14:paraId="3FEC8751" w14:textId="77777777" w:rsidTr="00705040">
        <w:tc>
          <w:tcPr>
            <w:tcW w:w="4508" w:type="dxa"/>
          </w:tcPr>
          <w:p w14:paraId="50C693BB" w14:textId="33F92F4B" w:rsidR="00EE1575" w:rsidRPr="00C462D9" w:rsidRDefault="00EE1575" w:rsidP="005D290D">
            <w:pPr>
              <w:pStyle w:val="Lijstalinea"/>
              <w:numPr>
                <w:ilvl w:val="0"/>
                <w:numId w:val="1"/>
              </w:numPr>
              <w:jc w:val="both"/>
              <w:rPr>
                <w:rFonts w:asciiTheme="minorHAnsi" w:hAnsiTheme="minorHAnsi" w:cstheme="minorHAnsi"/>
                <w:sz w:val="22"/>
                <w:lang w:val="fr-BE"/>
              </w:rPr>
            </w:pPr>
            <w:r w:rsidRPr="00C462D9">
              <w:rPr>
                <w:rFonts w:asciiTheme="minorHAnsi" w:hAnsiTheme="minorHAnsi" w:cstheme="minorHAnsi"/>
                <w:sz w:val="22"/>
                <w:lang w:val="fr-BE"/>
              </w:rPr>
              <w:t xml:space="preserve">l'adresse du contrôleur d'accès au réseau ("Media Access Control </w:t>
            </w:r>
            <w:proofErr w:type="spellStart"/>
            <w:r w:rsidRPr="00C462D9">
              <w:rPr>
                <w:rFonts w:asciiTheme="minorHAnsi" w:hAnsiTheme="minorHAnsi" w:cstheme="minorHAnsi"/>
                <w:sz w:val="22"/>
                <w:lang w:val="fr-BE"/>
              </w:rPr>
              <w:t>address</w:t>
            </w:r>
            <w:proofErr w:type="spellEnd"/>
            <w:r w:rsidRPr="00C462D9">
              <w:rPr>
                <w:rFonts w:asciiTheme="minorHAnsi" w:hAnsiTheme="minorHAnsi" w:cstheme="minorHAnsi"/>
                <w:sz w:val="22"/>
                <w:lang w:val="fr-BE"/>
              </w:rPr>
              <w:t>", "</w:t>
            </w:r>
            <w:r w:rsidRPr="00C462D9">
              <w:rPr>
                <w:rFonts w:asciiTheme="minorHAnsi" w:hAnsiTheme="minorHAnsi" w:cstheme="minorHAnsi"/>
                <w:color w:val="000000"/>
                <w:sz w:val="22"/>
                <w:lang w:val="fr-BE"/>
              </w:rPr>
              <w:t>MAC")</w:t>
            </w:r>
            <w:r w:rsidRPr="00C462D9">
              <w:rPr>
                <w:rFonts w:asciiTheme="minorHAnsi" w:hAnsiTheme="minorHAnsi" w:cstheme="minorHAnsi"/>
                <w:sz w:val="22"/>
                <w:lang w:val="fr-BE"/>
              </w:rPr>
              <w:t xml:space="preserve">; </w:t>
            </w:r>
          </w:p>
        </w:tc>
        <w:tc>
          <w:tcPr>
            <w:tcW w:w="4508" w:type="dxa"/>
          </w:tcPr>
          <w:p w14:paraId="6D1E5695" w14:textId="2F0F0247" w:rsidR="00EE1575" w:rsidRPr="00C462D9" w:rsidRDefault="00EE1575" w:rsidP="005D290D">
            <w:pPr>
              <w:pStyle w:val="Lijstalinea"/>
              <w:numPr>
                <w:ilvl w:val="0"/>
                <w:numId w:val="1"/>
              </w:numPr>
              <w:jc w:val="both"/>
              <w:rPr>
                <w:rFonts w:asciiTheme="minorHAnsi" w:hAnsiTheme="minorHAnsi" w:cstheme="minorHAnsi"/>
                <w:sz w:val="22"/>
              </w:rPr>
            </w:pPr>
            <w:r w:rsidRPr="00C462D9">
              <w:rPr>
                <w:rFonts w:asciiTheme="minorHAnsi" w:hAnsiTheme="minorHAnsi" w:cstheme="minorHAnsi"/>
                <w:sz w:val="22"/>
              </w:rPr>
              <w:t xml:space="preserve">het adres van de controller van de toegang tot het netwerk (“Media Access Control </w:t>
            </w:r>
            <w:proofErr w:type="spellStart"/>
            <w:r w:rsidRPr="00C462D9">
              <w:rPr>
                <w:rFonts w:asciiTheme="minorHAnsi" w:hAnsiTheme="minorHAnsi" w:cstheme="minorHAnsi"/>
                <w:sz w:val="22"/>
              </w:rPr>
              <w:t>address</w:t>
            </w:r>
            <w:proofErr w:type="spellEnd"/>
            <w:r w:rsidRPr="00C462D9">
              <w:rPr>
                <w:rFonts w:asciiTheme="minorHAnsi" w:hAnsiTheme="minorHAnsi" w:cstheme="minorHAnsi"/>
                <w:sz w:val="22"/>
              </w:rPr>
              <w:t>”, “</w:t>
            </w:r>
            <w:r w:rsidRPr="00C462D9">
              <w:rPr>
                <w:rFonts w:asciiTheme="minorHAnsi" w:hAnsiTheme="minorHAnsi" w:cstheme="minorHAnsi"/>
                <w:color w:val="000000"/>
                <w:sz w:val="22"/>
              </w:rPr>
              <w:t>MAC”)</w:t>
            </w:r>
            <w:r w:rsidRPr="00C462D9">
              <w:rPr>
                <w:rFonts w:asciiTheme="minorHAnsi" w:hAnsiTheme="minorHAnsi" w:cstheme="minorHAnsi"/>
                <w:sz w:val="22"/>
              </w:rPr>
              <w:t>;</w:t>
            </w:r>
          </w:p>
        </w:tc>
      </w:tr>
      <w:tr w:rsidR="00EE1575" w:rsidRPr="002F7AA5" w14:paraId="1B5B719B" w14:textId="77777777" w:rsidTr="00705040">
        <w:tc>
          <w:tcPr>
            <w:tcW w:w="4508" w:type="dxa"/>
          </w:tcPr>
          <w:p w14:paraId="70100B8F" w14:textId="77777777" w:rsidR="00EE1575" w:rsidRPr="00C462D9" w:rsidRDefault="00EE1575" w:rsidP="00EE1575">
            <w:pPr>
              <w:jc w:val="both"/>
              <w:rPr>
                <w:rFonts w:asciiTheme="minorHAnsi" w:hAnsiTheme="minorHAnsi" w:cstheme="minorHAnsi"/>
                <w:sz w:val="22"/>
              </w:rPr>
            </w:pPr>
          </w:p>
        </w:tc>
        <w:tc>
          <w:tcPr>
            <w:tcW w:w="4508" w:type="dxa"/>
          </w:tcPr>
          <w:p w14:paraId="329864B0" w14:textId="77777777" w:rsidR="00EE1575" w:rsidRPr="00C462D9" w:rsidRDefault="00EE1575" w:rsidP="00EE1575">
            <w:pPr>
              <w:jc w:val="both"/>
              <w:rPr>
                <w:rFonts w:asciiTheme="minorHAnsi" w:hAnsiTheme="minorHAnsi" w:cstheme="minorHAnsi"/>
                <w:sz w:val="22"/>
              </w:rPr>
            </w:pPr>
          </w:p>
        </w:tc>
      </w:tr>
      <w:tr w:rsidR="00EE1575" w:rsidRPr="002F7AA5" w14:paraId="3CA9AC3F" w14:textId="77777777" w:rsidTr="00705040">
        <w:tc>
          <w:tcPr>
            <w:tcW w:w="4508" w:type="dxa"/>
          </w:tcPr>
          <w:p w14:paraId="1E220D98" w14:textId="159CD9D6"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 xml:space="preserve">17° les autres identifiants relatifs à l’utilisateur final, à l’équipement terminal ou à l’équipement le plus proche de cet équipement terminal, qui résultent de l’évolution technologique et qui sont déterminés  par le Roi, </w:t>
            </w:r>
            <w:r w:rsidRPr="00C462D9">
              <w:rPr>
                <w:rFonts w:asciiTheme="minorHAnsi" w:hAnsiTheme="minorHAnsi" w:cstheme="minorHAnsi"/>
                <w:sz w:val="22"/>
                <w:lang w:val="fr-FR"/>
              </w:rPr>
              <w:t xml:space="preserve">pour autant que cet arrêté soit confirmé par la loi dans les douze mois suivant  la publication de cet arrêté. </w:t>
            </w:r>
          </w:p>
        </w:tc>
        <w:tc>
          <w:tcPr>
            <w:tcW w:w="4508" w:type="dxa"/>
          </w:tcPr>
          <w:p w14:paraId="1B70423C" w14:textId="69D02B4B"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17° de andere </w:t>
            </w:r>
            <w:proofErr w:type="spellStart"/>
            <w:r w:rsidR="0005635B">
              <w:rPr>
                <w:rFonts w:asciiTheme="minorHAnsi" w:hAnsiTheme="minorHAnsi" w:cstheme="minorHAnsi"/>
                <w:sz w:val="22"/>
              </w:rPr>
              <w:t>identifier</w:t>
            </w:r>
            <w:proofErr w:type="spellEnd"/>
            <w:r w:rsidRPr="00C462D9">
              <w:rPr>
                <w:rFonts w:asciiTheme="minorHAnsi" w:hAnsiTheme="minorHAnsi" w:cstheme="minorHAnsi"/>
                <w:sz w:val="22"/>
              </w:rPr>
              <w:t xml:space="preserve"> met betrekking tot de eindgebruiker, </w:t>
            </w:r>
            <w:r w:rsidR="00560ABB">
              <w:rPr>
                <w:rFonts w:asciiTheme="minorHAnsi" w:hAnsiTheme="minorHAnsi" w:cstheme="minorHAnsi"/>
                <w:sz w:val="22"/>
              </w:rPr>
              <w:t xml:space="preserve">tot </w:t>
            </w:r>
            <w:r w:rsidRPr="00C462D9">
              <w:rPr>
                <w:rFonts w:asciiTheme="minorHAnsi" w:hAnsiTheme="minorHAnsi" w:cstheme="minorHAnsi"/>
                <w:sz w:val="22"/>
              </w:rPr>
              <w:t xml:space="preserve">de eindapparatuur of </w:t>
            </w:r>
            <w:r w:rsidR="00560ABB">
              <w:rPr>
                <w:rFonts w:asciiTheme="minorHAnsi" w:hAnsiTheme="minorHAnsi" w:cstheme="minorHAnsi"/>
                <w:sz w:val="22"/>
              </w:rPr>
              <w:t xml:space="preserve">tot </w:t>
            </w:r>
            <w:r w:rsidRPr="00C462D9">
              <w:rPr>
                <w:rFonts w:asciiTheme="minorHAnsi" w:hAnsiTheme="minorHAnsi" w:cstheme="minorHAnsi"/>
                <w:sz w:val="22"/>
              </w:rPr>
              <w:t>de apparatuur het dichtst bij die eindapparatuur die uit de technologische evolutie resulteren en die door de Koning bepaald worden, op voorwaarde dat dit besluit door de wet wordt bekrachtigd binnen twaalf maanden na de bekendmaking van dit besluit.</w:t>
            </w:r>
          </w:p>
        </w:tc>
      </w:tr>
      <w:tr w:rsidR="00EE1575" w:rsidRPr="002F7AA5" w14:paraId="30DE569B" w14:textId="77777777" w:rsidTr="00705040">
        <w:tc>
          <w:tcPr>
            <w:tcW w:w="4508" w:type="dxa"/>
          </w:tcPr>
          <w:p w14:paraId="5441CC6B" w14:textId="77777777" w:rsidR="00EE1575" w:rsidRPr="00C462D9" w:rsidRDefault="00EE1575" w:rsidP="00EE1575">
            <w:pPr>
              <w:jc w:val="both"/>
              <w:rPr>
                <w:rFonts w:asciiTheme="minorHAnsi" w:hAnsiTheme="minorHAnsi" w:cstheme="minorHAnsi"/>
                <w:sz w:val="22"/>
              </w:rPr>
            </w:pPr>
          </w:p>
        </w:tc>
        <w:tc>
          <w:tcPr>
            <w:tcW w:w="4508" w:type="dxa"/>
          </w:tcPr>
          <w:p w14:paraId="7B4C1569" w14:textId="77777777" w:rsidR="00EE1575" w:rsidRPr="00C462D9" w:rsidRDefault="00EE1575" w:rsidP="00EE1575">
            <w:pPr>
              <w:jc w:val="both"/>
              <w:rPr>
                <w:rFonts w:asciiTheme="minorHAnsi" w:hAnsiTheme="minorHAnsi" w:cstheme="minorHAnsi"/>
                <w:sz w:val="22"/>
              </w:rPr>
            </w:pPr>
          </w:p>
        </w:tc>
      </w:tr>
      <w:tr w:rsidR="00EE1575" w:rsidRPr="002F7AA5" w14:paraId="653FCDFA" w14:textId="77777777" w:rsidTr="00705040">
        <w:tc>
          <w:tcPr>
            <w:tcW w:w="4508" w:type="dxa"/>
          </w:tcPr>
          <w:p w14:paraId="5CAD3CB7" w14:textId="0F6E52D6"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color w:val="000000" w:themeColor="text1"/>
                <w:sz w:val="22"/>
                <w:lang w:val="fr-FR"/>
              </w:rPr>
              <w:t>L’arrêté royal visé à l’alinéa 1</w:t>
            </w:r>
            <w:r w:rsidRPr="00C462D9">
              <w:rPr>
                <w:rFonts w:asciiTheme="minorHAnsi" w:hAnsiTheme="minorHAnsi" w:cstheme="minorHAnsi"/>
                <w:color w:val="000000" w:themeColor="text1"/>
                <w:sz w:val="22"/>
                <w:vertAlign w:val="superscript"/>
                <w:lang w:val="fr-FR"/>
              </w:rPr>
              <w:t>er</w:t>
            </w:r>
            <w:r w:rsidRPr="00C462D9">
              <w:rPr>
                <w:rFonts w:asciiTheme="minorHAnsi" w:hAnsiTheme="minorHAnsi" w:cstheme="minorHAnsi"/>
                <w:color w:val="000000" w:themeColor="text1"/>
                <w:sz w:val="22"/>
                <w:lang w:val="fr-FR"/>
              </w:rPr>
              <w:t>, 17°, ne porte pas sur le contenu des communications électroniques, ni sur des métadonnées de communications électroniques qui donnent des informations sur le destinataire de la communication, comme  l’</w:t>
            </w:r>
            <w:r w:rsidRPr="00C462D9">
              <w:rPr>
                <w:rFonts w:asciiTheme="minorHAnsi" w:hAnsiTheme="minorHAnsi" w:cstheme="minorHAnsi"/>
                <w:spacing w:val="-1"/>
                <w:sz w:val="22"/>
                <w:lang w:val="fr-FR"/>
              </w:rPr>
              <w:t xml:space="preserve">adresse IP du destinataire </w:t>
            </w:r>
            <w:r w:rsidRPr="00C462D9">
              <w:rPr>
                <w:rFonts w:asciiTheme="minorHAnsi" w:hAnsiTheme="minorHAnsi" w:cstheme="minorHAnsi"/>
                <w:sz w:val="22"/>
                <w:lang w:val="fr-FR"/>
              </w:rPr>
              <w:t>de la communication</w:t>
            </w:r>
            <w:r w:rsidR="00D535F1">
              <w:rPr>
                <w:rFonts w:asciiTheme="minorHAnsi" w:hAnsiTheme="minorHAnsi" w:cstheme="minorHAnsi"/>
                <w:sz w:val="22"/>
                <w:lang w:val="fr-FR"/>
              </w:rPr>
              <w:t>,</w:t>
            </w:r>
            <w:r w:rsidRPr="00C462D9">
              <w:rPr>
                <w:rFonts w:asciiTheme="minorHAnsi" w:hAnsiTheme="minorHAnsi" w:cstheme="minorHAnsi"/>
                <w:sz w:val="22"/>
                <w:lang w:val="fr-FR"/>
              </w:rPr>
              <w:t xml:space="preserve"> ou sur la localisation de l’équipement terminal</w:t>
            </w:r>
            <w:r w:rsidRPr="00C462D9">
              <w:rPr>
                <w:rFonts w:asciiTheme="minorHAnsi" w:hAnsiTheme="minorHAnsi" w:cstheme="minorHAnsi"/>
                <w:color w:val="000000" w:themeColor="text1"/>
                <w:sz w:val="22"/>
                <w:lang w:val="fr-FR"/>
              </w:rPr>
              <w:t xml:space="preserve">.  </w:t>
            </w:r>
          </w:p>
        </w:tc>
        <w:tc>
          <w:tcPr>
            <w:tcW w:w="4508" w:type="dxa"/>
          </w:tcPr>
          <w:p w14:paraId="7CFF3276" w14:textId="6CCDDEAB"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Het koninklijk besluit bedoeld in het eerste lid, 17°, slaat niet op </w:t>
            </w:r>
            <w:r w:rsidRPr="00C462D9">
              <w:rPr>
                <w:rFonts w:asciiTheme="minorHAnsi" w:hAnsiTheme="minorHAnsi" w:cstheme="minorHAnsi"/>
                <w:color w:val="000000" w:themeColor="text1"/>
                <w:sz w:val="22"/>
              </w:rPr>
              <w:t>de inhoud van de elektronische communicatie, noch op de elektronische-</w:t>
            </w:r>
            <w:proofErr w:type="spellStart"/>
            <w:r w:rsidRPr="00C462D9">
              <w:rPr>
                <w:rFonts w:asciiTheme="minorHAnsi" w:hAnsiTheme="minorHAnsi" w:cstheme="minorHAnsi"/>
                <w:color w:val="000000" w:themeColor="text1"/>
                <w:sz w:val="22"/>
              </w:rPr>
              <w:t>communicatiemetagegevens</w:t>
            </w:r>
            <w:proofErr w:type="spellEnd"/>
            <w:r w:rsidRPr="00C462D9">
              <w:rPr>
                <w:rFonts w:asciiTheme="minorHAnsi" w:hAnsiTheme="minorHAnsi" w:cstheme="minorHAnsi"/>
                <w:color w:val="000000" w:themeColor="text1"/>
                <w:sz w:val="22"/>
              </w:rPr>
              <w:t xml:space="preserve"> die informatie geven over de geadresseerde van de communicatie,</w:t>
            </w:r>
            <w:r w:rsidRPr="00C462D9">
              <w:rPr>
                <w:rFonts w:asciiTheme="minorHAnsi" w:hAnsiTheme="minorHAnsi" w:cstheme="minorHAnsi"/>
                <w:sz w:val="22"/>
              </w:rPr>
              <w:t xml:space="preserve"> zoals het IP-adres van de geadresseerde van de communicatie, of over de locatie van de </w:t>
            </w:r>
            <w:r w:rsidRPr="00C462D9">
              <w:rPr>
                <w:rFonts w:asciiTheme="minorHAnsi" w:hAnsiTheme="minorHAnsi" w:cstheme="minorHAnsi"/>
                <w:color w:val="000000" w:themeColor="text1"/>
                <w:sz w:val="22"/>
              </w:rPr>
              <w:t xml:space="preserve">eindapparatuur.  </w:t>
            </w:r>
          </w:p>
        </w:tc>
      </w:tr>
      <w:tr w:rsidR="00EE1575" w:rsidRPr="002F7AA5" w14:paraId="449F4BE2" w14:textId="77777777" w:rsidTr="00705040">
        <w:tc>
          <w:tcPr>
            <w:tcW w:w="4508" w:type="dxa"/>
          </w:tcPr>
          <w:p w14:paraId="7A0094D4" w14:textId="77777777" w:rsidR="00EE1575" w:rsidRPr="00C462D9" w:rsidRDefault="00EE1575" w:rsidP="00EE1575">
            <w:pPr>
              <w:jc w:val="both"/>
              <w:rPr>
                <w:rFonts w:asciiTheme="minorHAnsi" w:hAnsiTheme="minorHAnsi" w:cstheme="minorHAnsi"/>
                <w:sz w:val="22"/>
              </w:rPr>
            </w:pPr>
          </w:p>
        </w:tc>
        <w:tc>
          <w:tcPr>
            <w:tcW w:w="4508" w:type="dxa"/>
          </w:tcPr>
          <w:p w14:paraId="035A91FD" w14:textId="77777777" w:rsidR="00EE1575" w:rsidRPr="00C462D9" w:rsidRDefault="00EE1575" w:rsidP="00EE1575">
            <w:pPr>
              <w:jc w:val="both"/>
              <w:rPr>
                <w:rFonts w:asciiTheme="minorHAnsi" w:hAnsiTheme="minorHAnsi" w:cstheme="minorHAnsi"/>
                <w:sz w:val="22"/>
              </w:rPr>
            </w:pPr>
          </w:p>
        </w:tc>
      </w:tr>
      <w:tr w:rsidR="00EE1575" w:rsidRPr="002F7AA5" w14:paraId="54F64B97" w14:textId="77777777" w:rsidTr="00705040">
        <w:tc>
          <w:tcPr>
            <w:tcW w:w="4508" w:type="dxa"/>
          </w:tcPr>
          <w:p w14:paraId="2E2F070D" w14:textId="38B4030D"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color w:val="000000" w:themeColor="text1"/>
                <w:sz w:val="22"/>
              </w:rPr>
              <w:t xml:space="preserve">Le </w:t>
            </w:r>
            <w:proofErr w:type="spellStart"/>
            <w:r w:rsidRPr="00C462D9">
              <w:rPr>
                <w:rFonts w:asciiTheme="minorHAnsi" w:hAnsiTheme="minorHAnsi" w:cstheme="minorHAnsi"/>
                <w:color w:val="000000" w:themeColor="text1"/>
                <w:sz w:val="22"/>
              </w:rPr>
              <w:t>Roi</w:t>
            </w:r>
            <w:proofErr w:type="spellEnd"/>
            <w:r w:rsidRPr="00C462D9">
              <w:rPr>
                <w:rFonts w:asciiTheme="minorHAnsi" w:hAnsiTheme="minorHAnsi" w:cstheme="minorHAnsi"/>
                <w:color w:val="000000" w:themeColor="text1"/>
                <w:sz w:val="22"/>
              </w:rPr>
              <w:t xml:space="preserve"> : </w:t>
            </w:r>
          </w:p>
        </w:tc>
        <w:tc>
          <w:tcPr>
            <w:tcW w:w="4508" w:type="dxa"/>
          </w:tcPr>
          <w:p w14:paraId="5D2E516B" w14:textId="6CE5D579"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color w:val="000000" w:themeColor="text1"/>
                <w:sz w:val="22"/>
              </w:rPr>
              <w:t>De Koning kan:</w:t>
            </w:r>
          </w:p>
        </w:tc>
      </w:tr>
      <w:tr w:rsidR="00EE1575" w:rsidRPr="002F7AA5" w14:paraId="72DFBF00" w14:textId="77777777" w:rsidTr="00705040">
        <w:tc>
          <w:tcPr>
            <w:tcW w:w="4508" w:type="dxa"/>
          </w:tcPr>
          <w:p w14:paraId="07BEB1E8" w14:textId="77777777" w:rsidR="00EE1575" w:rsidRPr="00C462D9" w:rsidRDefault="00EE1575" w:rsidP="00EE1575">
            <w:pPr>
              <w:jc w:val="both"/>
              <w:rPr>
                <w:rFonts w:asciiTheme="minorHAnsi" w:hAnsiTheme="minorHAnsi" w:cstheme="minorHAnsi"/>
                <w:sz w:val="22"/>
              </w:rPr>
            </w:pPr>
          </w:p>
        </w:tc>
        <w:tc>
          <w:tcPr>
            <w:tcW w:w="4508" w:type="dxa"/>
          </w:tcPr>
          <w:p w14:paraId="39BBC0C9" w14:textId="77777777" w:rsidR="00EE1575" w:rsidRPr="00C462D9" w:rsidRDefault="00EE1575" w:rsidP="00EE1575">
            <w:pPr>
              <w:jc w:val="both"/>
              <w:rPr>
                <w:rFonts w:asciiTheme="minorHAnsi" w:hAnsiTheme="minorHAnsi" w:cstheme="minorHAnsi"/>
                <w:sz w:val="22"/>
              </w:rPr>
            </w:pPr>
          </w:p>
        </w:tc>
      </w:tr>
      <w:tr w:rsidR="00EE1575" w:rsidRPr="002F7AA5" w14:paraId="18BD6887" w14:textId="77777777" w:rsidTr="00705040">
        <w:tc>
          <w:tcPr>
            <w:tcW w:w="4508" w:type="dxa"/>
          </w:tcPr>
          <w:p w14:paraId="0CAF56FE" w14:textId="483B754C"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color w:val="000000" w:themeColor="text1"/>
                <w:sz w:val="22"/>
                <w:lang w:val="fr-BE"/>
              </w:rPr>
              <w:lastRenderedPageBreak/>
              <w:t>1° peut préciser les données visées à l’alinéa 1</w:t>
            </w:r>
            <w:r w:rsidRPr="00C462D9">
              <w:rPr>
                <w:rFonts w:asciiTheme="minorHAnsi" w:hAnsiTheme="minorHAnsi" w:cstheme="minorHAnsi"/>
                <w:color w:val="000000" w:themeColor="text1"/>
                <w:sz w:val="22"/>
                <w:vertAlign w:val="superscript"/>
                <w:lang w:val="fr-BE"/>
              </w:rPr>
              <w:t>er </w:t>
            </w:r>
            <w:r w:rsidRPr="00C462D9">
              <w:rPr>
                <w:rFonts w:asciiTheme="minorHAnsi" w:hAnsiTheme="minorHAnsi" w:cstheme="minorHAnsi"/>
                <w:color w:val="000000" w:themeColor="text1"/>
                <w:sz w:val="22"/>
                <w:lang w:val="fr-BE"/>
              </w:rPr>
              <w:t xml:space="preserve">; </w:t>
            </w:r>
          </w:p>
        </w:tc>
        <w:tc>
          <w:tcPr>
            <w:tcW w:w="4508" w:type="dxa"/>
          </w:tcPr>
          <w:p w14:paraId="3DA908A5" w14:textId="2C0FC5A5"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color w:val="000000" w:themeColor="text1"/>
                <w:sz w:val="22"/>
              </w:rPr>
              <w:t xml:space="preserve">1° de gegevens bedoeld in het eerste lid preciseren; </w:t>
            </w:r>
          </w:p>
        </w:tc>
      </w:tr>
      <w:tr w:rsidR="00EE1575" w:rsidRPr="002F7AA5" w14:paraId="70D06265" w14:textId="77777777" w:rsidTr="00705040">
        <w:tc>
          <w:tcPr>
            <w:tcW w:w="4508" w:type="dxa"/>
          </w:tcPr>
          <w:p w14:paraId="355FBA91" w14:textId="77777777" w:rsidR="00EE1575" w:rsidRPr="00C462D9" w:rsidRDefault="00EE1575" w:rsidP="00EE1575">
            <w:pPr>
              <w:jc w:val="both"/>
              <w:rPr>
                <w:rFonts w:asciiTheme="minorHAnsi" w:hAnsiTheme="minorHAnsi" w:cstheme="minorHAnsi"/>
                <w:sz w:val="22"/>
              </w:rPr>
            </w:pPr>
          </w:p>
        </w:tc>
        <w:tc>
          <w:tcPr>
            <w:tcW w:w="4508" w:type="dxa"/>
          </w:tcPr>
          <w:p w14:paraId="34851701" w14:textId="77777777" w:rsidR="00EE1575" w:rsidRPr="00C462D9" w:rsidRDefault="00EE1575" w:rsidP="00EE1575">
            <w:pPr>
              <w:jc w:val="both"/>
              <w:rPr>
                <w:rFonts w:asciiTheme="minorHAnsi" w:hAnsiTheme="minorHAnsi" w:cstheme="minorHAnsi"/>
                <w:sz w:val="22"/>
              </w:rPr>
            </w:pPr>
          </w:p>
        </w:tc>
      </w:tr>
      <w:tr w:rsidR="00EE1575" w:rsidRPr="002F7AA5" w14:paraId="29FF76D3" w14:textId="77777777" w:rsidTr="00705040">
        <w:tc>
          <w:tcPr>
            <w:tcW w:w="4508" w:type="dxa"/>
          </w:tcPr>
          <w:p w14:paraId="055B9F27" w14:textId="7219D447"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color w:val="000000"/>
                <w:sz w:val="22"/>
                <w:lang w:val="fr-BE"/>
              </w:rPr>
              <w:t>2° fixe les exigences auxquelles ces données doivent répondre.</w:t>
            </w:r>
          </w:p>
        </w:tc>
        <w:tc>
          <w:tcPr>
            <w:tcW w:w="4508" w:type="dxa"/>
          </w:tcPr>
          <w:p w14:paraId="26F5425B" w14:textId="3F00B1AC"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color w:val="000000"/>
                <w:sz w:val="22"/>
              </w:rPr>
              <w:t>2° de vereisten waaraan deze gegevens moeten beantwoorden, bepalen.</w:t>
            </w:r>
          </w:p>
        </w:tc>
      </w:tr>
      <w:tr w:rsidR="00EE1575" w:rsidRPr="002F7AA5" w14:paraId="0153EDE5" w14:textId="77777777" w:rsidTr="00705040">
        <w:tc>
          <w:tcPr>
            <w:tcW w:w="4508" w:type="dxa"/>
          </w:tcPr>
          <w:p w14:paraId="487E475B" w14:textId="77777777" w:rsidR="00EE1575" w:rsidRPr="00C462D9" w:rsidRDefault="00EE1575" w:rsidP="00EE1575">
            <w:pPr>
              <w:jc w:val="both"/>
              <w:rPr>
                <w:rFonts w:asciiTheme="minorHAnsi" w:hAnsiTheme="minorHAnsi" w:cstheme="minorHAnsi"/>
                <w:sz w:val="22"/>
              </w:rPr>
            </w:pPr>
          </w:p>
        </w:tc>
        <w:tc>
          <w:tcPr>
            <w:tcW w:w="4508" w:type="dxa"/>
          </w:tcPr>
          <w:p w14:paraId="2F844B92" w14:textId="77777777" w:rsidR="00EE1575" w:rsidRPr="00C462D9" w:rsidRDefault="00EE1575" w:rsidP="00EE1575">
            <w:pPr>
              <w:jc w:val="both"/>
              <w:rPr>
                <w:rFonts w:asciiTheme="minorHAnsi" w:hAnsiTheme="minorHAnsi" w:cstheme="minorHAnsi"/>
                <w:sz w:val="22"/>
              </w:rPr>
            </w:pPr>
          </w:p>
        </w:tc>
      </w:tr>
      <w:tr w:rsidR="00EE1575" w:rsidRPr="002F7AA5" w14:paraId="68C9D00D" w14:textId="77777777" w:rsidTr="00705040">
        <w:tc>
          <w:tcPr>
            <w:tcW w:w="4508" w:type="dxa"/>
          </w:tcPr>
          <w:p w14:paraId="0BDA131B" w14:textId="4B2BF0FC"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FR"/>
              </w:rPr>
              <w:t>§ 2. Les opérateurs conservent les données visées au paragraphe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 alinéa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 1° à 14° aussi longtemps que le service de communications électroniques est utilisé ainsi que douze mois après la fin du service</w:t>
            </w:r>
            <w:r w:rsidRPr="00C462D9" w:rsidDel="00B557AE">
              <w:rPr>
                <w:rFonts w:asciiTheme="minorHAnsi" w:hAnsiTheme="minorHAnsi" w:cstheme="minorHAnsi"/>
                <w:color w:val="000000" w:themeColor="text1"/>
                <w:sz w:val="22"/>
                <w:lang w:val="fr-FR"/>
              </w:rPr>
              <w:t xml:space="preserve"> </w:t>
            </w:r>
            <w:r w:rsidRPr="00C462D9">
              <w:rPr>
                <w:rFonts w:asciiTheme="minorHAnsi" w:hAnsiTheme="minorHAnsi" w:cstheme="minorHAnsi"/>
                <w:color w:val="000000" w:themeColor="text1"/>
                <w:sz w:val="22"/>
                <w:lang w:val="fr-FR"/>
              </w:rPr>
              <w:t>.</w:t>
            </w:r>
          </w:p>
        </w:tc>
        <w:tc>
          <w:tcPr>
            <w:tcW w:w="4508" w:type="dxa"/>
          </w:tcPr>
          <w:p w14:paraId="481BAD07" w14:textId="63F1A78B"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2. De operatoren bewaren de in paragraaf 1, eerste lid, 1° tot 14°, bedoelde gegevens tot zolang de elektronische-communicatiedienst gebruikt</w:t>
            </w:r>
            <w:r w:rsidR="00D535F1">
              <w:rPr>
                <w:rFonts w:asciiTheme="minorHAnsi" w:hAnsiTheme="minorHAnsi" w:cstheme="minorHAnsi"/>
                <w:sz w:val="22"/>
              </w:rPr>
              <w:t xml:space="preserve"> werd</w:t>
            </w:r>
            <w:r w:rsidRPr="00C462D9">
              <w:rPr>
                <w:rFonts w:asciiTheme="minorHAnsi" w:hAnsiTheme="minorHAnsi" w:cstheme="minorHAnsi"/>
                <w:sz w:val="22"/>
              </w:rPr>
              <w:t xml:space="preserve"> en tot twaalf maanden na het einde van de dienst.</w:t>
            </w:r>
          </w:p>
        </w:tc>
      </w:tr>
      <w:tr w:rsidR="00EE1575" w:rsidRPr="002F7AA5" w14:paraId="3C1908AF" w14:textId="77777777" w:rsidTr="00705040">
        <w:tc>
          <w:tcPr>
            <w:tcW w:w="4508" w:type="dxa"/>
          </w:tcPr>
          <w:p w14:paraId="213F7777" w14:textId="77777777" w:rsidR="00EE1575" w:rsidRPr="00C462D9" w:rsidRDefault="00EE1575" w:rsidP="00EE1575">
            <w:pPr>
              <w:jc w:val="both"/>
              <w:rPr>
                <w:rFonts w:asciiTheme="minorHAnsi" w:hAnsiTheme="minorHAnsi" w:cstheme="minorHAnsi"/>
                <w:sz w:val="22"/>
              </w:rPr>
            </w:pPr>
          </w:p>
        </w:tc>
        <w:tc>
          <w:tcPr>
            <w:tcW w:w="4508" w:type="dxa"/>
          </w:tcPr>
          <w:p w14:paraId="1AD6C38F" w14:textId="77777777" w:rsidR="00EE1575" w:rsidRPr="00C462D9" w:rsidRDefault="00EE1575" w:rsidP="00EE1575">
            <w:pPr>
              <w:jc w:val="both"/>
              <w:rPr>
                <w:rFonts w:asciiTheme="minorHAnsi" w:hAnsiTheme="minorHAnsi" w:cstheme="minorHAnsi"/>
                <w:sz w:val="22"/>
              </w:rPr>
            </w:pPr>
          </w:p>
        </w:tc>
      </w:tr>
      <w:tr w:rsidR="00EE1575" w:rsidRPr="002F7AA5" w14:paraId="2E4639BB" w14:textId="77777777" w:rsidTr="00705040">
        <w:tc>
          <w:tcPr>
            <w:tcW w:w="4508" w:type="dxa"/>
          </w:tcPr>
          <w:p w14:paraId="276F0335" w14:textId="06E0909B"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color w:val="000000" w:themeColor="text1"/>
                <w:sz w:val="22"/>
                <w:lang w:val="fr-FR"/>
              </w:rPr>
              <w:t xml:space="preserve">Les opérateurs conservent les données visées au </w:t>
            </w:r>
            <w:r w:rsidRPr="00C462D9">
              <w:rPr>
                <w:rFonts w:asciiTheme="minorHAnsi" w:hAnsiTheme="minorHAnsi" w:cstheme="minorHAnsi"/>
                <w:sz w:val="22"/>
                <w:lang w:val="fr-FR"/>
              </w:rPr>
              <w:t>paragraphe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 xml:space="preserve"> , alinéa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 15° et 16°</w:t>
            </w:r>
            <w:r w:rsidRPr="00C462D9">
              <w:rPr>
                <w:rFonts w:asciiTheme="minorHAnsi" w:hAnsiTheme="minorHAnsi" w:cstheme="minorHAnsi"/>
                <w:color w:val="000000" w:themeColor="text1"/>
                <w:sz w:val="22"/>
                <w:lang w:val="fr-FR"/>
              </w:rPr>
              <w:t xml:space="preserve"> pour une durée de douze mois après la fin de la session.</w:t>
            </w:r>
          </w:p>
        </w:tc>
        <w:tc>
          <w:tcPr>
            <w:tcW w:w="4508" w:type="dxa"/>
          </w:tcPr>
          <w:p w14:paraId="68DAD5BA" w14:textId="70183132"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De operatoren bewaren de in paragraaf 1, eerste lid, 15° tot 16° bedoelde gegevens gedurende een periode van twaalf maanden na het einde van de sessie.</w:t>
            </w:r>
          </w:p>
        </w:tc>
      </w:tr>
      <w:tr w:rsidR="00EE1575" w:rsidRPr="002F7AA5" w14:paraId="5AF326CB" w14:textId="77777777" w:rsidTr="00705040">
        <w:tc>
          <w:tcPr>
            <w:tcW w:w="4508" w:type="dxa"/>
          </w:tcPr>
          <w:p w14:paraId="5A54E719" w14:textId="77777777" w:rsidR="00EE1575" w:rsidRPr="00C462D9" w:rsidRDefault="00EE1575" w:rsidP="00EE1575">
            <w:pPr>
              <w:jc w:val="both"/>
              <w:rPr>
                <w:rFonts w:asciiTheme="minorHAnsi" w:hAnsiTheme="minorHAnsi" w:cstheme="minorHAnsi"/>
                <w:sz w:val="22"/>
              </w:rPr>
            </w:pPr>
          </w:p>
        </w:tc>
        <w:tc>
          <w:tcPr>
            <w:tcW w:w="4508" w:type="dxa"/>
          </w:tcPr>
          <w:p w14:paraId="063283B3" w14:textId="77777777" w:rsidR="00EE1575" w:rsidRPr="00C462D9" w:rsidRDefault="00EE1575" w:rsidP="00EE1575">
            <w:pPr>
              <w:jc w:val="both"/>
              <w:rPr>
                <w:rFonts w:asciiTheme="minorHAnsi" w:hAnsiTheme="minorHAnsi" w:cstheme="minorHAnsi"/>
                <w:sz w:val="22"/>
              </w:rPr>
            </w:pPr>
          </w:p>
        </w:tc>
      </w:tr>
      <w:tr w:rsidR="00EE1575" w:rsidRPr="002F7AA5" w14:paraId="02437044" w14:textId="77777777" w:rsidTr="00705040">
        <w:tc>
          <w:tcPr>
            <w:tcW w:w="4508" w:type="dxa"/>
          </w:tcPr>
          <w:p w14:paraId="3D241F80" w14:textId="660D8FE5"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BE"/>
              </w:rPr>
              <w:t xml:space="preserve">Par dérogation à l’alinéa précédent, </w:t>
            </w:r>
            <w:r w:rsidRPr="00C462D9">
              <w:rPr>
                <w:rFonts w:asciiTheme="minorHAnsi" w:hAnsiTheme="minorHAnsi" w:cstheme="minorHAnsi"/>
                <w:sz w:val="22"/>
                <w:lang w:val="fr-FR"/>
              </w:rPr>
              <w:t>la durée de conservation de</w:t>
            </w:r>
            <w:r w:rsidRPr="00C462D9">
              <w:rPr>
                <w:rFonts w:asciiTheme="minorHAnsi" w:hAnsiTheme="minorHAnsi" w:cstheme="minorHAnsi"/>
                <w:color w:val="000000" w:themeColor="text1"/>
                <w:sz w:val="22"/>
                <w:lang w:val="fr-FR"/>
              </w:rPr>
              <w:t xml:space="preserve">s données visées au </w:t>
            </w:r>
            <w:r w:rsidRPr="00C462D9">
              <w:rPr>
                <w:rFonts w:asciiTheme="minorHAnsi" w:hAnsiTheme="minorHAnsi" w:cstheme="minorHAnsi"/>
                <w:sz w:val="22"/>
                <w:lang w:val="fr-FR"/>
              </w:rPr>
              <w:t>paragraphe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 xml:space="preserve"> , alinéa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 xml:space="preserve">, 16°, </w:t>
            </w:r>
            <w:r w:rsidR="00AA7156" w:rsidRPr="00C462D9">
              <w:rPr>
                <w:rFonts w:asciiTheme="minorHAnsi" w:hAnsiTheme="minorHAnsi" w:cstheme="minorHAnsi"/>
                <w:color w:val="000000" w:themeColor="text1"/>
                <w:sz w:val="22"/>
                <w:lang w:val="fr-FR"/>
              </w:rPr>
              <w:t>3</w:t>
            </w:r>
            <w:r w:rsidR="00AA7156" w:rsidRPr="00C462D9">
              <w:rPr>
                <w:rFonts w:asciiTheme="minorHAnsi" w:hAnsiTheme="minorHAnsi" w:cstheme="minorHAnsi"/>
                <w:color w:val="000000" w:themeColor="text1"/>
                <w:sz w:val="22"/>
                <w:vertAlign w:val="superscript"/>
                <w:lang w:val="fr-FR"/>
              </w:rPr>
              <w:t>e</w:t>
            </w:r>
            <w:r w:rsidR="00AA7156" w:rsidRPr="00C462D9">
              <w:rPr>
                <w:rFonts w:asciiTheme="minorHAnsi" w:hAnsiTheme="minorHAnsi" w:cstheme="minorHAnsi"/>
                <w:color w:val="000000" w:themeColor="text1"/>
                <w:sz w:val="22"/>
                <w:lang w:val="fr-FR"/>
              </w:rPr>
              <w:t xml:space="preserve"> </w:t>
            </w:r>
            <w:r w:rsidRPr="00C462D9">
              <w:rPr>
                <w:rFonts w:asciiTheme="minorHAnsi" w:hAnsiTheme="minorHAnsi" w:cstheme="minorHAnsi"/>
                <w:color w:val="000000" w:themeColor="text1"/>
                <w:sz w:val="22"/>
                <w:lang w:val="fr-FR"/>
              </w:rPr>
              <w:t>tiret, est réduite à six mois après la fin de la session</w:t>
            </w:r>
            <w:r w:rsidRPr="00C462D9">
              <w:rPr>
                <w:rFonts w:asciiTheme="minorHAnsi" w:hAnsiTheme="minorHAnsi" w:cstheme="minorHAnsi"/>
                <w:sz w:val="22"/>
                <w:lang w:val="fr-BE"/>
              </w:rPr>
              <w:t xml:space="preserve"> lorsque l’opérateur conserve une autre donnée visée au</w:t>
            </w:r>
            <w:r w:rsidRPr="00C462D9">
              <w:rPr>
                <w:rFonts w:asciiTheme="minorHAnsi" w:hAnsiTheme="minorHAnsi" w:cstheme="minorHAnsi"/>
                <w:color w:val="000000" w:themeColor="text1"/>
                <w:sz w:val="22"/>
                <w:lang w:val="fr-FR"/>
              </w:rPr>
              <w:t xml:space="preserve"> </w:t>
            </w:r>
            <w:r w:rsidRPr="00C462D9">
              <w:rPr>
                <w:rFonts w:asciiTheme="minorHAnsi" w:hAnsiTheme="minorHAnsi" w:cstheme="minorHAnsi"/>
                <w:sz w:val="22"/>
                <w:lang w:val="fr-FR"/>
              </w:rPr>
              <w:t>paragraphe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 xml:space="preserve"> , alinéa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w:t>
            </w:r>
            <w:r w:rsidRPr="00C462D9">
              <w:rPr>
                <w:rFonts w:asciiTheme="minorHAnsi" w:hAnsiTheme="minorHAnsi" w:cstheme="minorHAnsi"/>
                <w:sz w:val="22"/>
                <w:lang w:val="fr-BE"/>
              </w:rPr>
              <w:t xml:space="preserve"> 16°. </w:t>
            </w:r>
          </w:p>
        </w:tc>
        <w:tc>
          <w:tcPr>
            <w:tcW w:w="4508" w:type="dxa"/>
          </w:tcPr>
          <w:p w14:paraId="2DD93E9A" w14:textId="39D593F0"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 xml:space="preserve">In afwijking van het voorgaande lid wordt de bewaringstermijn van de in paragraaf 1, eerste lid, 16°, 3e streepje, bedoelde gegevens, teruggebracht tot zes maanden na het einde van de sessie indien de operator een ander gegeven </w:t>
            </w:r>
            <w:r w:rsidR="00B4052E">
              <w:rPr>
                <w:rFonts w:asciiTheme="minorHAnsi" w:hAnsiTheme="minorHAnsi" w:cstheme="minorHAnsi"/>
                <w:sz w:val="22"/>
              </w:rPr>
              <w:t xml:space="preserve">zoals </w:t>
            </w:r>
            <w:r w:rsidRPr="00C462D9">
              <w:rPr>
                <w:rFonts w:asciiTheme="minorHAnsi" w:hAnsiTheme="minorHAnsi" w:cstheme="minorHAnsi"/>
                <w:sz w:val="22"/>
              </w:rPr>
              <w:t>bedoeld in paragraaf 1, eerste lid, 16°, bewaart.</w:t>
            </w:r>
          </w:p>
        </w:tc>
      </w:tr>
      <w:tr w:rsidR="00EE1575" w:rsidRPr="002F7AA5" w14:paraId="539BE413" w14:textId="77777777" w:rsidTr="00705040">
        <w:tc>
          <w:tcPr>
            <w:tcW w:w="4508" w:type="dxa"/>
          </w:tcPr>
          <w:p w14:paraId="70369DC4" w14:textId="77777777" w:rsidR="00EE1575" w:rsidRPr="00C462D9" w:rsidRDefault="00EE1575" w:rsidP="00EE1575">
            <w:pPr>
              <w:jc w:val="both"/>
              <w:rPr>
                <w:rFonts w:asciiTheme="minorHAnsi" w:hAnsiTheme="minorHAnsi" w:cstheme="minorHAnsi"/>
                <w:sz w:val="22"/>
              </w:rPr>
            </w:pPr>
          </w:p>
        </w:tc>
        <w:tc>
          <w:tcPr>
            <w:tcW w:w="4508" w:type="dxa"/>
          </w:tcPr>
          <w:p w14:paraId="7A4F69D4" w14:textId="77777777" w:rsidR="00EE1575" w:rsidRPr="00C462D9" w:rsidRDefault="00EE1575" w:rsidP="00EE1575">
            <w:pPr>
              <w:jc w:val="both"/>
              <w:rPr>
                <w:rFonts w:asciiTheme="minorHAnsi" w:hAnsiTheme="minorHAnsi" w:cstheme="minorHAnsi"/>
                <w:sz w:val="22"/>
              </w:rPr>
            </w:pPr>
          </w:p>
        </w:tc>
      </w:tr>
      <w:tr w:rsidR="00EE1575" w:rsidRPr="002F7AA5" w14:paraId="04A453E5" w14:textId="77777777" w:rsidTr="00705040">
        <w:tc>
          <w:tcPr>
            <w:tcW w:w="4508" w:type="dxa"/>
          </w:tcPr>
          <w:p w14:paraId="533147F5" w14:textId="547D60CC"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sz w:val="22"/>
                <w:lang w:val="fr-FR"/>
              </w:rPr>
              <w:t>Les opérateurs conservent les données visées au paragraphe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 xml:space="preserve"> , alinéa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 17°, pour  la durée fixée par le Roi, après avis de l’Autorité de protection des données et de l’Institut. Cette durée ne peut pas être plus longue que la durée de conservation visée à l’alinéa 1</w:t>
            </w:r>
            <w:r w:rsidRPr="00C462D9">
              <w:rPr>
                <w:rFonts w:asciiTheme="minorHAnsi" w:hAnsiTheme="minorHAnsi" w:cstheme="minorHAnsi"/>
                <w:sz w:val="22"/>
                <w:vertAlign w:val="superscript"/>
                <w:lang w:val="fr-FR"/>
              </w:rPr>
              <w:t>er</w:t>
            </w:r>
            <w:r w:rsidRPr="00C462D9">
              <w:rPr>
                <w:rFonts w:asciiTheme="minorHAnsi" w:hAnsiTheme="minorHAnsi" w:cstheme="minorHAnsi"/>
                <w:sz w:val="22"/>
                <w:lang w:val="fr-FR"/>
              </w:rPr>
              <w:t>.</w:t>
            </w:r>
          </w:p>
        </w:tc>
        <w:tc>
          <w:tcPr>
            <w:tcW w:w="4508" w:type="dxa"/>
          </w:tcPr>
          <w:p w14:paraId="24A2625D" w14:textId="617A6BBC"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De operatoren bewaren de gegevens bedoeld in paragraaf 1, eerste lid, 17°, gedurende de door de Koning bepaalde periode, na advies van de Gegevensbeschermingsautoriteit en het Instituut. Die periode mag niet langer zijn dan de in het eerste lid bedoelde bewaringstermijn .</w:t>
            </w:r>
          </w:p>
        </w:tc>
      </w:tr>
      <w:tr w:rsidR="00EE1575" w:rsidRPr="002F7AA5" w14:paraId="437E6325" w14:textId="77777777" w:rsidTr="00705040">
        <w:tc>
          <w:tcPr>
            <w:tcW w:w="4508" w:type="dxa"/>
          </w:tcPr>
          <w:p w14:paraId="2F331DF5" w14:textId="77777777" w:rsidR="00EE1575" w:rsidRPr="00C462D9" w:rsidRDefault="00EE1575" w:rsidP="00EE1575">
            <w:pPr>
              <w:jc w:val="both"/>
              <w:rPr>
                <w:rFonts w:asciiTheme="minorHAnsi" w:hAnsiTheme="minorHAnsi" w:cstheme="minorHAnsi"/>
                <w:sz w:val="22"/>
              </w:rPr>
            </w:pPr>
          </w:p>
        </w:tc>
        <w:tc>
          <w:tcPr>
            <w:tcW w:w="4508" w:type="dxa"/>
          </w:tcPr>
          <w:p w14:paraId="57110875" w14:textId="77777777" w:rsidR="00EE1575" w:rsidRPr="00C462D9" w:rsidRDefault="00EE1575" w:rsidP="00EE1575">
            <w:pPr>
              <w:jc w:val="both"/>
              <w:rPr>
                <w:rFonts w:asciiTheme="minorHAnsi" w:hAnsiTheme="minorHAnsi" w:cstheme="minorHAnsi"/>
                <w:sz w:val="22"/>
              </w:rPr>
            </w:pPr>
          </w:p>
        </w:tc>
      </w:tr>
      <w:tr w:rsidR="00EE1575" w:rsidRPr="002F7AA5" w14:paraId="7BED226E" w14:textId="77777777" w:rsidTr="00705040">
        <w:tc>
          <w:tcPr>
            <w:tcW w:w="4508" w:type="dxa"/>
          </w:tcPr>
          <w:p w14:paraId="62AE58D5" w14:textId="6A8DE619" w:rsidR="00EE1575" w:rsidRPr="00C462D9" w:rsidRDefault="00EE1575" w:rsidP="00EE1575">
            <w:pPr>
              <w:jc w:val="both"/>
              <w:rPr>
                <w:rFonts w:asciiTheme="minorHAnsi" w:hAnsiTheme="minorHAnsi" w:cstheme="minorHAnsi"/>
                <w:sz w:val="22"/>
                <w:lang w:val="fr-BE"/>
              </w:rPr>
            </w:pPr>
            <w:r w:rsidRPr="00C462D9">
              <w:rPr>
                <w:rFonts w:asciiTheme="minorHAnsi" w:hAnsiTheme="minorHAnsi" w:cstheme="minorHAnsi"/>
                <w:color w:val="000000" w:themeColor="text1"/>
                <w:sz w:val="22"/>
                <w:lang w:val="fr-FR"/>
              </w:rPr>
              <w:t>L’arrêté royal visé au paragraphe 1</w:t>
            </w:r>
            <w:r w:rsidRPr="00C462D9">
              <w:rPr>
                <w:rFonts w:asciiTheme="minorHAnsi" w:hAnsiTheme="minorHAnsi" w:cstheme="minorHAnsi"/>
                <w:color w:val="000000" w:themeColor="text1"/>
                <w:sz w:val="22"/>
                <w:vertAlign w:val="superscript"/>
                <w:lang w:val="fr-FR"/>
              </w:rPr>
              <w:t>er</w:t>
            </w:r>
            <w:r w:rsidRPr="00C462D9">
              <w:rPr>
                <w:rFonts w:asciiTheme="minorHAnsi" w:hAnsiTheme="minorHAnsi" w:cstheme="minorHAnsi"/>
                <w:color w:val="000000" w:themeColor="text1"/>
                <w:sz w:val="22"/>
                <w:lang w:val="fr-FR"/>
              </w:rPr>
              <w:t>, alinéa 1</w:t>
            </w:r>
            <w:r w:rsidRPr="00C462D9">
              <w:rPr>
                <w:rFonts w:asciiTheme="minorHAnsi" w:hAnsiTheme="minorHAnsi" w:cstheme="minorHAnsi"/>
                <w:color w:val="000000" w:themeColor="text1"/>
                <w:sz w:val="22"/>
                <w:vertAlign w:val="superscript"/>
                <w:lang w:val="fr-FR"/>
              </w:rPr>
              <w:t>er</w:t>
            </w:r>
            <w:r w:rsidRPr="00C462D9">
              <w:rPr>
                <w:rFonts w:asciiTheme="minorHAnsi" w:hAnsiTheme="minorHAnsi" w:cstheme="minorHAnsi"/>
                <w:color w:val="000000" w:themeColor="text1"/>
                <w:sz w:val="22"/>
                <w:lang w:val="fr-FR"/>
              </w:rPr>
              <w:t xml:space="preserve">, 17° et alinéa 2 et au paragraphe 2, alinéa 4 est </w:t>
            </w:r>
            <w:r w:rsidRPr="00C462D9">
              <w:rPr>
                <w:rFonts w:asciiTheme="minorHAnsi" w:hAnsiTheme="minorHAnsi" w:cstheme="minorHAnsi"/>
                <w:sz w:val="22"/>
                <w:lang w:val="fr-FR"/>
              </w:rPr>
              <w:t>proposé par le ministre de la Justice, le ministre de l’Intérieur, le ministre de la Défense et le ministre, fait l’objet d’un avis de l’Autorité de protection des données et de l’Institut et est délibéré en Conseil des ministres.</w:t>
            </w:r>
          </w:p>
        </w:tc>
        <w:tc>
          <w:tcPr>
            <w:tcW w:w="4508" w:type="dxa"/>
          </w:tcPr>
          <w:p w14:paraId="5592CDC7" w14:textId="51991F99" w:rsidR="00EE1575" w:rsidRPr="00C462D9" w:rsidRDefault="00EE1575" w:rsidP="00EE1575">
            <w:pPr>
              <w:jc w:val="both"/>
              <w:rPr>
                <w:rFonts w:asciiTheme="minorHAnsi" w:hAnsiTheme="minorHAnsi" w:cstheme="minorHAnsi"/>
                <w:sz w:val="22"/>
              </w:rPr>
            </w:pPr>
            <w:r w:rsidRPr="00C462D9">
              <w:rPr>
                <w:rFonts w:asciiTheme="minorHAnsi" w:hAnsiTheme="minorHAnsi" w:cstheme="minorHAnsi"/>
                <w:sz w:val="22"/>
              </w:rPr>
              <w:t>Het koninklijk besluit bedoeld in paragraaf 1, eerste lid, 17°, en tweede lid</w:t>
            </w:r>
            <w:r w:rsidR="00B4052E">
              <w:rPr>
                <w:rFonts w:asciiTheme="minorHAnsi" w:hAnsiTheme="minorHAnsi" w:cstheme="minorHAnsi"/>
                <w:sz w:val="22"/>
              </w:rPr>
              <w:t>,</w:t>
            </w:r>
            <w:r w:rsidRPr="00C462D9">
              <w:rPr>
                <w:rFonts w:asciiTheme="minorHAnsi" w:hAnsiTheme="minorHAnsi" w:cstheme="minorHAnsi"/>
                <w:sz w:val="22"/>
              </w:rPr>
              <w:t xml:space="preserve"> en in paragraaf 2, vierde lid, wordt voorgesteld door de minister van Justitie, de minister van Binnenlandse Zaken, de minister van Defensie en de minister, maakt het voorwerp uit van een advies van de Gegevensbeschermingsautoriteit en van het Instituut en daarover wordt beraadslaagd in de Ministerraad.</w:t>
            </w:r>
          </w:p>
        </w:tc>
      </w:tr>
      <w:tr w:rsidR="00EE1575" w:rsidRPr="002F7AA5" w14:paraId="4321FDB5" w14:textId="77777777" w:rsidTr="00705040">
        <w:tc>
          <w:tcPr>
            <w:tcW w:w="4508" w:type="dxa"/>
          </w:tcPr>
          <w:p w14:paraId="534EDFAE" w14:textId="77777777" w:rsidR="00EE1575" w:rsidRPr="00C462D9" w:rsidRDefault="00EE1575" w:rsidP="00EE1575">
            <w:pPr>
              <w:rPr>
                <w:rFonts w:asciiTheme="minorHAnsi" w:hAnsiTheme="minorHAnsi" w:cstheme="minorHAnsi"/>
                <w:sz w:val="22"/>
              </w:rPr>
            </w:pPr>
          </w:p>
        </w:tc>
        <w:tc>
          <w:tcPr>
            <w:tcW w:w="4508" w:type="dxa"/>
          </w:tcPr>
          <w:p w14:paraId="13E7EAA8" w14:textId="77777777" w:rsidR="00EE1575" w:rsidRPr="00C462D9" w:rsidRDefault="00EE1575" w:rsidP="00EE1575">
            <w:pPr>
              <w:rPr>
                <w:rFonts w:asciiTheme="minorHAnsi" w:hAnsiTheme="minorHAnsi" w:cstheme="minorHAnsi"/>
                <w:sz w:val="22"/>
              </w:rPr>
            </w:pPr>
          </w:p>
        </w:tc>
      </w:tr>
      <w:tr w:rsidR="00182D5B" w:rsidRPr="002F7AA5" w14:paraId="1527F1BF" w14:textId="77777777" w:rsidTr="00705040">
        <w:tc>
          <w:tcPr>
            <w:tcW w:w="4508" w:type="dxa"/>
          </w:tcPr>
          <w:p w14:paraId="0A0ED7F5" w14:textId="6AB8FDA2" w:rsidR="00182D5B" w:rsidRPr="003471A7" w:rsidRDefault="00182D5B" w:rsidP="003471A7">
            <w:pPr>
              <w:jc w:val="center"/>
              <w:rPr>
                <w:rFonts w:asciiTheme="minorHAnsi" w:hAnsiTheme="minorHAnsi" w:cstheme="minorHAnsi"/>
                <w:b/>
                <w:bCs/>
                <w:sz w:val="22"/>
              </w:rPr>
            </w:pPr>
            <w:r w:rsidRPr="003471A7">
              <w:rPr>
                <w:rFonts w:asciiTheme="minorHAnsi" w:eastAsia="Times New Roman" w:hAnsiTheme="minorHAnsi" w:cstheme="minorHAnsi"/>
                <w:b/>
                <w:bCs/>
                <w:sz w:val="22"/>
                <w:lang w:eastAsia="fr-FR"/>
              </w:rPr>
              <w:t>JUSTIFICATION</w:t>
            </w:r>
          </w:p>
        </w:tc>
        <w:tc>
          <w:tcPr>
            <w:tcW w:w="4508" w:type="dxa"/>
          </w:tcPr>
          <w:p w14:paraId="767F8540" w14:textId="55E71980" w:rsidR="00182D5B" w:rsidRPr="003471A7" w:rsidRDefault="00182D5B" w:rsidP="003471A7">
            <w:pPr>
              <w:jc w:val="center"/>
              <w:rPr>
                <w:rFonts w:asciiTheme="minorHAnsi" w:hAnsiTheme="minorHAnsi" w:cstheme="minorHAnsi"/>
                <w:b/>
                <w:bCs/>
                <w:sz w:val="22"/>
              </w:rPr>
            </w:pPr>
            <w:r w:rsidRPr="003471A7">
              <w:rPr>
                <w:rFonts w:asciiTheme="minorHAnsi" w:eastAsia="Times New Roman" w:hAnsiTheme="minorHAnsi" w:cstheme="minorHAnsi"/>
                <w:b/>
                <w:bCs/>
                <w:sz w:val="22"/>
                <w:lang w:val="fr-BE" w:eastAsia="fr-FR"/>
              </w:rPr>
              <w:t>VERANTWOORDING</w:t>
            </w:r>
          </w:p>
        </w:tc>
      </w:tr>
      <w:tr w:rsidR="00182D5B" w:rsidRPr="002F7AA5" w14:paraId="7C68A8E5" w14:textId="77777777" w:rsidTr="00705040">
        <w:tc>
          <w:tcPr>
            <w:tcW w:w="4508" w:type="dxa"/>
          </w:tcPr>
          <w:p w14:paraId="3871EBDA" w14:textId="77777777" w:rsidR="00182D5B" w:rsidRPr="003471A7" w:rsidRDefault="00182D5B" w:rsidP="00182D5B">
            <w:pPr>
              <w:rPr>
                <w:rFonts w:asciiTheme="minorHAnsi" w:hAnsiTheme="minorHAnsi" w:cstheme="minorHAnsi"/>
                <w:sz w:val="22"/>
              </w:rPr>
            </w:pPr>
          </w:p>
        </w:tc>
        <w:tc>
          <w:tcPr>
            <w:tcW w:w="4508" w:type="dxa"/>
          </w:tcPr>
          <w:p w14:paraId="0571DE45" w14:textId="77777777" w:rsidR="00182D5B" w:rsidRPr="003471A7" w:rsidRDefault="00182D5B" w:rsidP="00182D5B">
            <w:pPr>
              <w:rPr>
                <w:rFonts w:asciiTheme="minorHAnsi" w:hAnsiTheme="minorHAnsi" w:cstheme="minorHAnsi"/>
                <w:sz w:val="22"/>
              </w:rPr>
            </w:pPr>
          </w:p>
        </w:tc>
      </w:tr>
      <w:tr w:rsidR="00182D5B" w:rsidRPr="002F7AA5" w14:paraId="444E51A2" w14:textId="77777777" w:rsidTr="00705040">
        <w:tc>
          <w:tcPr>
            <w:tcW w:w="4508" w:type="dxa"/>
          </w:tcPr>
          <w:p w14:paraId="5624635C" w14:textId="5457CE63" w:rsidR="00182D5B" w:rsidRPr="00EB6D2B" w:rsidRDefault="00182D5B" w:rsidP="003471A7">
            <w:pPr>
              <w:jc w:val="both"/>
              <w:rPr>
                <w:rFonts w:asciiTheme="minorHAnsi" w:hAnsiTheme="minorHAnsi" w:cstheme="minorHAnsi"/>
                <w:b/>
                <w:bCs/>
                <w:sz w:val="22"/>
                <w:u w:val="single"/>
                <w:lang w:val="fr-BE"/>
              </w:rPr>
            </w:pPr>
            <w:bookmarkStart w:id="5" w:name="_Toc94811175"/>
            <w:r w:rsidRPr="003471A7">
              <w:rPr>
                <w:rFonts w:asciiTheme="minorHAnsi" w:hAnsiTheme="minorHAnsi" w:cstheme="minorHAnsi"/>
                <w:b/>
                <w:bCs/>
                <w:sz w:val="22"/>
                <w:u w:val="single"/>
                <w:lang w:val="fr-BE"/>
              </w:rPr>
              <w:t>Nécessité du présent amendement à la suite de l’arrêt n° 158/2021 du 18 novembre 2021</w:t>
            </w:r>
            <w:r w:rsidRPr="00EB6D2B">
              <w:rPr>
                <w:rFonts w:asciiTheme="minorHAnsi" w:hAnsiTheme="minorHAnsi" w:cstheme="minorHAnsi"/>
                <w:b/>
                <w:bCs/>
                <w:sz w:val="22"/>
                <w:u w:val="single"/>
                <w:lang w:val="fr-BE"/>
              </w:rPr>
              <w:t xml:space="preserve"> de la Cour constitutionnelle</w:t>
            </w:r>
            <w:bookmarkEnd w:id="5"/>
          </w:p>
        </w:tc>
        <w:tc>
          <w:tcPr>
            <w:tcW w:w="4508" w:type="dxa"/>
          </w:tcPr>
          <w:p w14:paraId="4D04982A" w14:textId="36F464DD" w:rsidR="00182D5B" w:rsidRPr="003471A7" w:rsidRDefault="00182D5B" w:rsidP="003471A7">
            <w:pPr>
              <w:jc w:val="both"/>
              <w:rPr>
                <w:rFonts w:asciiTheme="minorHAnsi" w:hAnsiTheme="minorHAnsi" w:cstheme="minorHAnsi"/>
                <w:sz w:val="22"/>
              </w:rPr>
            </w:pPr>
            <w:r w:rsidRPr="003471A7">
              <w:rPr>
                <w:rFonts w:asciiTheme="minorHAnsi" w:hAnsiTheme="minorHAnsi" w:cstheme="minorHAnsi"/>
                <w:b/>
                <w:bCs/>
                <w:sz w:val="22"/>
                <w:u w:val="single"/>
              </w:rPr>
              <w:t>Noodzaak van dit amendement ingevolge arrest nr. 158/2021 van 18 november 2021 van het Grondwettelijk Hof</w:t>
            </w:r>
          </w:p>
        </w:tc>
      </w:tr>
      <w:tr w:rsidR="00182D5B" w:rsidRPr="002F7AA5" w14:paraId="536FA610" w14:textId="77777777" w:rsidTr="00705040">
        <w:tc>
          <w:tcPr>
            <w:tcW w:w="4508" w:type="dxa"/>
          </w:tcPr>
          <w:p w14:paraId="0B9E8D8B" w14:textId="77777777" w:rsidR="00182D5B" w:rsidRPr="003471A7" w:rsidRDefault="00182D5B" w:rsidP="00182D5B">
            <w:pPr>
              <w:rPr>
                <w:rFonts w:asciiTheme="minorHAnsi" w:hAnsiTheme="minorHAnsi" w:cstheme="minorHAnsi"/>
                <w:sz w:val="22"/>
              </w:rPr>
            </w:pPr>
          </w:p>
        </w:tc>
        <w:tc>
          <w:tcPr>
            <w:tcW w:w="4508" w:type="dxa"/>
          </w:tcPr>
          <w:p w14:paraId="5CA8D13B" w14:textId="77777777" w:rsidR="00182D5B" w:rsidRPr="003471A7" w:rsidRDefault="00182D5B" w:rsidP="00182D5B">
            <w:pPr>
              <w:rPr>
                <w:rFonts w:asciiTheme="minorHAnsi" w:hAnsiTheme="minorHAnsi" w:cstheme="minorHAnsi"/>
                <w:sz w:val="22"/>
              </w:rPr>
            </w:pPr>
          </w:p>
        </w:tc>
      </w:tr>
      <w:tr w:rsidR="00182D5B" w:rsidRPr="002F7AA5" w14:paraId="4552876F" w14:textId="77777777" w:rsidTr="00705040">
        <w:tc>
          <w:tcPr>
            <w:tcW w:w="4508" w:type="dxa"/>
          </w:tcPr>
          <w:p w14:paraId="3DB49821" w14:textId="3576E392" w:rsidR="00182D5B" w:rsidRPr="00EB6D2B" w:rsidRDefault="00182D5B" w:rsidP="003471A7">
            <w:pPr>
              <w:jc w:val="both"/>
              <w:rPr>
                <w:rFonts w:asciiTheme="minorHAnsi" w:hAnsiTheme="minorHAnsi" w:cstheme="minorHAnsi"/>
                <w:sz w:val="22"/>
                <w:lang w:val="fr-BE"/>
              </w:rPr>
            </w:pPr>
            <w:r w:rsidRPr="003471A7">
              <w:rPr>
                <w:rFonts w:asciiTheme="minorHAnsi" w:hAnsiTheme="minorHAnsi" w:cstheme="minorHAnsi"/>
                <w:sz w:val="22"/>
                <w:lang w:val="fr-BE"/>
              </w:rPr>
              <w:t>L</w:t>
            </w:r>
            <w:r w:rsidRPr="003471A7">
              <w:rPr>
                <w:rFonts w:asciiTheme="minorHAnsi" w:hAnsiTheme="minorHAnsi" w:cstheme="minorHAnsi"/>
                <w:sz w:val="22"/>
                <w:lang w:val="fr-FR"/>
              </w:rPr>
              <w:t xml:space="preserve">e </w:t>
            </w:r>
            <w:r w:rsidRPr="003471A7">
              <w:rPr>
                <w:rFonts w:asciiTheme="minorHAnsi" w:hAnsiTheme="minorHAnsi" w:cstheme="minorHAnsi"/>
                <w:sz w:val="22"/>
                <w:lang w:val="fr-BE"/>
              </w:rPr>
              <w:t xml:space="preserve">projet de loi relatif à la collecte et à la conservation des données d’identification et des métadonnées dans le secteur des </w:t>
            </w:r>
            <w:r w:rsidRPr="003471A7">
              <w:rPr>
                <w:rFonts w:asciiTheme="minorHAnsi" w:hAnsiTheme="minorHAnsi" w:cstheme="minorHAnsi"/>
                <w:sz w:val="22"/>
                <w:lang w:val="fr-BE"/>
              </w:rPr>
              <w:lastRenderedPageBreak/>
              <w:t>communications électroniques et à la fourniture de ces données aux autorités (ci-après le projet de loi « conservation des données »)</w:t>
            </w:r>
            <w:r w:rsidRPr="003471A7">
              <w:rPr>
                <w:rFonts w:asciiTheme="minorHAnsi" w:hAnsiTheme="minorHAnsi" w:cstheme="minorHAnsi"/>
                <w:color w:val="000000"/>
                <w:sz w:val="22"/>
                <w:lang w:val="fr-BE"/>
              </w:rPr>
              <w:t xml:space="preserve"> a pour objet, entre autres, de remplacer l</w:t>
            </w:r>
            <w:r w:rsidRPr="003471A7">
              <w:rPr>
                <w:rFonts w:asciiTheme="minorHAnsi" w:hAnsiTheme="minorHAnsi" w:cstheme="minorHAnsi"/>
                <w:sz w:val="22"/>
                <w:lang w:val="fr-BE"/>
              </w:rPr>
              <w:t xml:space="preserve">’article 126 de la loi télécom. </w:t>
            </w:r>
          </w:p>
        </w:tc>
        <w:tc>
          <w:tcPr>
            <w:tcW w:w="4508" w:type="dxa"/>
          </w:tcPr>
          <w:p w14:paraId="543D0E18" w14:textId="2D051F72" w:rsidR="00182D5B" w:rsidRPr="003471A7" w:rsidRDefault="00182D5B" w:rsidP="003471A7">
            <w:pPr>
              <w:jc w:val="both"/>
              <w:rPr>
                <w:rFonts w:asciiTheme="minorHAnsi" w:hAnsiTheme="minorHAnsi" w:cstheme="minorHAnsi"/>
                <w:sz w:val="22"/>
              </w:rPr>
            </w:pPr>
            <w:r w:rsidRPr="003471A7">
              <w:rPr>
                <w:rFonts w:asciiTheme="minorHAnsi" w:hAnsiTheme="minorHAnsi" w:cstheme="minorHAnsi"/>
                <w:sz w:val="22"/>
              </w:rPr>
              <w:lastRenderedPageBreak/>
              <w:t xml:space="preserve">Het wetsontwerp betreffende het verzamelen en het bewaren van de identificatiegegevens en van metagegevens in de sector van de </w:t>
            </w:r>
            <w:r w:rsidRPr="003471A7">
              <w:rPr>
                <w:rFonts w:asciiTheme="minorHAnsi" w:hAnsiTheme="minorHAnsi" w:cstheme="minorHAnsi"/>
                <w:sz w:val="22"/>
              </w:rPr>
              <w:lastRenderedPageBreak/>
              <w:t>elektronische communicatie en de verstrekking ervan aan de autoriteiten (hierna het wetsontwerp “ gegevensbewaring”) heeft, onder andere, tot doel artikel 126 van de telecomwet te vervangen.</w:t>
            </w:r>
          </w:p>
        </w:tc>
      </w:tr>
      <w:tr w:rsidR="00182D5B" w:rsidRPr="002F7AA5" w14:paraId="3BDDEB5A" w14:textId="77777777" w:rsidTr="00705040">
        <w:tc>
          <w:tcPr>
            <w:tcW w:w="4508" w:type="dxa"/>
          </w:tcPr>
          <w:p w14:paraId="0A228991" w14:textId="77777777" w:rsidR="00182D5B" w:rsidRPr="003471A7" w:rsidRDefault="00182D5B" w:rsidP="003471A7">
            <w:pPr>
              <w:jc w:val="both"/>
              <w:rPr>
                <w:rFonts w:asciiTheme="minorHAnsi" w:hAnsiTheme="minorHAnsi" w:cstheme="minorHAnsi"/>
                <w:sz w:val="22"/>
              </w:rPr>
            </w:pPr>
          </w:p>
        </w:tc>
        <w:tc>
          <w:tcPr>
            <w:tcW w:w="4508" w:type="dxa"/>
          </w:tcPr>
          <w:p w14:paraId="6A0423CA" w14:textId="77777777" w:rsidR="00182D5B" w:rsidRPr="003471A7" w:rsidRDefault="00182D5B" w:rsidP="003471A7">
            <w:pPr>
              <w:jc w:val="both"/>
              <w:rPr>
                <w:rFonts w:asciiTheme="minorHAnsi" w:hAnsiTheme="minorHAnsi" w:cstheme="minorHAnsi"/>
                <w:sz w:val="22"/>
              </w:rPr>
            </w:pPr>
          </w:p>
        </w:tc>
      </w:tr>
      <w:tr w:rsidR="00182D5B" w:rsidRPr="002F7AA5" w14:paraId="2FEA4BE5" w14:textId="77777777" w:rsidTr="00705040">
        <w:tc>
          <w:tcPr>
            <w:tcW w:w="4508" w:type="dxa"/>
          </w:tcPr>
          <w:p w14:paraId="4B9AB5E9" w14:textId="6B18B843" w:rsidR="00182D5B" w:rsidRPr="00EB6D2B" w:rsidRDefault="00182D5B" w:rsidP="003471A7">
            <w:pPr>
              <w:jc w:val="both"/>
              <w:rPr>
                <w:rFonts w:asciiTheme="minorHAnsi" w:hAnsiTheme="minorHAnsi" w:cstheme="minorHAnsi"/>
                <w:sz w:val="22"/>
                <w:lang w:val="fr-BE"/>
              </w:rPr>
            </w:pPr>
            <w:r w:rsidRPr="003471A7">
              <w:rPr>
                <w:rFonts w:asciiTheme="minorHAnsi" w:hAnsiTheme="minorHAnsi" w:cstheme="minorHAnsi"/>
                <w:sz w:val="22"/>
                <w:lang w:val="fr-BE"/>
              </w:rPr>
              <w:t xml:space="preserve">Un amendement à ce projet de loi est nécessaire pour ce qui concerne cet article 126, pour tenir compte de l’arrêt n° 158/2021 du 18 novembre 2021 de la Cour constitutionnelle. </w:t>
            </w:r>
          </w:p>
        </w:tc>
        <w:tc>
          <w:tcPr>
            <w:tcW w:w="4508" w:type="dxa"/>
          </w:tcPr>
          <w:p w14:paraId="094179CC" w14:textId="3E8ABA45" w:rsidR="00182D5B" w:rsidRPr="003471A7" w:rsidRDefault="00182D5B" w:rsidP="003471A7">
            <w:pPr>
              <w:jc w:val="both"/>
              <w:rPr>
                <w:rFonts w:asciiTheme="minorHAnsi" w:hAnsiTheme="minorHAnsi" w:cstheme="minorHAnsi"/>
                <w:sz w:val="22"/>
              </w:rPr>
            </w:pPr>
            <w:r w:rsidRPr="003471A7">
              <w:rPr>
                <w:rFonts w:asciiTheme="minorHAnsi" w:hAnsiTheme="minorHAnsi" w:cstheme="minorHAnsi"/>
                <w:sz w:val="22"/>
              </w:rPr>
              <w:t>Een amendement aan dit wetsontwerp is noodzakelijk wat artikel 126 betreft om rekening te houden met arrest nr. 158/2021 van 18 november 2021 van het Grondwettelijk Hof.</w:t>
            </w:r>
          </w:p>
        </w:tc>
      </w:tr>
      <w:tr w:rsidR="00182D5B" w:rsidRPr="002F7AA5" w14:paraId="0F03EF5F" w14:textId="77777777" w:rsidTr="00705040">
        <w:tc>
          <w:tcPr>
            <w:tcW w:w="4508" w:type="dxa"/>
          </w:tcPr>
          <w:p w14:paraId="4A6E604A" w14:textId="77777777" w:rsidR="00182D5B" w:rsidRPr="003471A7" w:rsidRDefault="00182D5B" w:rsidP="00182D5B">
            <w:pPr>
              <w:rPr>
                <w:rFonts w:asciiTheme="minorHAnsi" w:hAnsiTheme="minorHAnsi" w:cstheme="minorHAnsi"/>
                <w:sz w:val="22"/>
              </w:rPr>
            </w:pPr>
          </w:p>
        </w:tc>
        <w:tc>
          <w:tcPr>
            <w:tcW w:w="4508" w:type="dxa"/>
          </w:tcPr>
          <w:p w14:paraId="0770D765" w14:textId="77777777" w:rsidR="00182D5B" w:rsidRPr="003471A7" w:rsidRDefault="00182D5B" w:rsidP="00182D5B">
            <w:pPr>
              <w:rPr>
                <w:rFonts w:asciiTheme="minorHAnsi" w:hAnsiTheme="minorHAnsi" w:cstheme="minorHAnsi"/>
                <w:sz w:val="22"/>
              </w:rPr>
            </w:pPr>
          </w:p>
        </w:tc>
      </w:tr>
      <w:tr w:rsidR="00182D5B" w:rsidRPr="002F7AA5" w14:paraId="30F40493" w14:textId="77777777" w:rsidTr="00705040">
        <w:tc>
          <w:tcPr>
            <w:tcW w:w="4508" w:type="dxa"/>
          </w:tcPr>
          <w:p w14:paraId="2502D366" w14:textId="5486D1EA" w:rsidR="00182D5B" w:rsidRPr="00EB6D2B" w:rsidRDefault="00182D5B" w:rsidP="003471A7">
            <w:pPr>
              <w:jc w:val="both"/>
              <w:rPr>
                <w:rFonts w:asciiTheme="minorHAnsi" w:hAnsiTheme="minorHAnsi" w:cstheme="minorHAnsi"/>
                <w:sz w:val="22"/>
                <w:lang w:val="fr-BE"/>
              </w:rPr>
            </w:pPr>
            <w:r w:rsidRPr="003471A7">
              <w:rPr>
                <w:rFonts w:asciiTheme="minorHAnsi" w:hAnsiTheme="minorHAnsi" w:cstheme="minorHAnsi"/>
                <w:sz w:val="22"/>
                <w:lang w:val="fr-BE"/>
              </w:rPr>
              <w:t>Dans cet arrêt, la Cour constitutionnelle a annulé l’article 2 de la loi du 1</w:t>
            </w:r>
            <w:r w:rsidRPr="003471A7">
              <w:rPr>
                <w:rFonts w:asciiTheme="minorHAnsi" w:hAnsiTheme="minorHAnsi" w:cstheme="minorHAnsi"/>
                <w:sz w:val="22"/>
                <w:vertAlign w:val="superscript"/>
                <w:lang w:val="fr-BE"/>
              </w:rPr>
              <w:t>er</w:t>
            </w:r>
            <w:r w:rsidRPr="003471A7">
              <w:rPr>
                <w:rFonts w:asciiTheme="minorHAnsi" w:hAnsiTheme="minorHAnsi" w:cstheme="minorHAnsi"/>
                <w:sz w:val="22"/>
                <w:lang w:val="fr-BE"/>
              </w:rPr>
              <w:t xml:space="preserve"> septembre 2016 portant modification de l'article 127 de la loi du 13 juin 2005 relative aux communications électroniques et de l'article 16/2 de la loi du 30 novembre 1998 organique des services de renseignement et de sécurité (ci-après la loi du 1</w:t>
            </w:r>
            <w:r w:rsidRPr="003471A7">
              <w:rPr>
                <w:rFonts w:asciiTheme="minorHAnsi" w:hAnsiTheme="minorHAnsi" w:cstheme="minorHAnsi"/>
                <w:sz w:val="22"/>
                <w:vertAlign w:val="superscript"/>
                <w:lang w:val="fr-BE"/>
              </w:rPr>
              <w:t>er</w:t>
            </w:r>
            <w:r w:rsidRPr="003471A7">
              <w:rPr>
                <w:rFonts w:asciiTheme="minorHAnsi" w:hAnsiTheme="minorHAnsi" w:cstheme="minorHAnsi"/>
                <w:sz w:val="22"/>
                <w:lang w:val="fr-BE"/>
              </w:rPr>
              <w:t xml:space="preserve"> septembre 2016), au motif que cet article 2 ne détermine pas les données d’identification qui sont collectées et traitées et les documents d’identification qui entrent en considération. Selon la Cour, il s’agit  d’ « éléments essentiels d’un traitement de données à caractère personnel »  (B.8.4.2.), qui doivent donc être énumérés dans la loi. </w:t>
            </w:r>
          </w:p>
        </w:tc>
        <w:tc>
          <w:tcPr>
            <w:tcW w:w="4508" w:type="dxa"/>
          </w:tcPr>
          <w:p w14:paraId="7874B942" w14:textId="532FE88E" w:rsidR="00182D5B" w:rsidRPr="003471A7" w:rsidRDefault="00182D5B" w:rsidP="003471A7">
            <w:pPr>
              <w:jc w:val="both"/>
              <w:rPr>
                <w:rFonts w:asciiTheme="minorHAnsi" w:hAnsiTheme="minorHAnsi" w:cstheme="minorHAnsi"/>
                <w:sz w:val="22"/>
              </w:rPr>
            </w:pPr>
            <w:r w:rsidRPr="003471A7">
              <w:rPr>
                <w:rFonts w:asciiTheme="minorHAnsi" w:hAnsiTheme="minorHAnsi" w:cstheme="minorHAnsi"/>
                <w:sz w:val="22"/>
              </w:rPr>
              <w:t>In dat arrest heeft het Grondwettelijk Hof artikel 2 vernietigd van de wet van 1 september 2016 tot wijziging van artikel 127 van de wet van 13 juni 2005 betreffende de elektronische communicatie en van artikel 16/2 van de wet van 30 november 1998 houdende regeling van de inlichtingen- en veiligheidsdienst (hierna de wet van 1 september 2016), om de reden dat dat artikel 2 niet de identificatiegegevens bepaalt die worden verzameld en verwerkt en welke identificatiedocumenten in aanmerking komen. Volgens het Hof gaat het om “essentiële elementen van een verwerking van persoonsgegevens” (B.8.4.2.) die dus in de wet moeten worden opgesomd.</w:t>
            </w:r>
          </w:p>
        </w:tc>
      </w:tr>
      <w:tr w:rsidR="00182D5B" w:rsidRPr="002F7AA5" w14:paraId="5C8D81BD" w14:textId="77777777" w:rsidTr="00705040">
        <w:tc>
          <w:tcPr>
            <w:tcW w:w="4508" w:type="dxa"/>
          </w:tcPr>
          <w:p w14:paraId="1C604EF3" w14:textId="77777777" w:rsidR="00182D5B" w:rsidRPr="003471A7" w:rsidRDefault="00182D5B" w:rsidP="003471A7">
            <w:pPr>
              <w:jc w:val="both"/>
              <w:rPr>
                <w:rFonts w:asciiTheme="minorHAnsi" w:hAnsiTheme="minorHAnsi" w:cstheme="minorHAnsi"/>
                <w:sz w:val="22"/>
              </w:rPr>
            </w:pPr>
          </w:p>
        </w:tc>
        <w:tc>
          <w:tcPr>
            <w:tcW w:w="4508" w:type="dxa"/>
          </w:tcPr>
          <w:p w14:paraId="35C1880F" w14:textId="77777777" w:rsidR="00182D5B" w:rsidRPr="003471A7" w:rsidRDefault="00182D5B" w:rsidP="003471A7">
            <w:pPr>
              <w:jc w:val="both"/>
              <w:rPr>
                <w:rFonts w:asciiTheme="minorHAnsi" w:hAnsiTheme="minorHAnsi" w:cstheme="minorHAnsi"/>
                <w:sz w:val="22"/>
              </w:rPr>
            </w:pPr>
          </w:p>
        </w:tc>
      </w:tr>
      <w:tr w:rsidR="00182D5B" w:rsidRPr="002F7AA5" w14:paraId="4DBA7343" w14:textId="77777777" w:rsidTr="00705040">
        <w:tc>
          <w:tcPr>
            <w:tcW w:w="4508" w:type="dxa"/>
          </w:tcPr>
          <w:p w14:paraId="3BB704C7" w14:textId="6B308F85" w:rsidR="00182D5B" w:rsidRPr="00EB6D2B" w:rsidRDefault="00182D5B" w:rsidP="003471A7">
            <w:pPr>
              <w:jc w:val="both"/>
              <w:rPr>
                <w:rFonts w:asciiTheme="minorHAnsi" w:hAnsiTheme="minorHAnsi" w:cstheme="minorHAnsi"/>
                <w:sz w:val="22"/>
                <w:lang w:val="fr-BE"/>
              </w:rPr>
            </w:pPr>
            <w:r w:rsidRPr="003471A7">
              <w:rPr>
                <w:rFonts w:asciiTheme="minorHAnsi" w:hAnsiTheme="minorHAnsi" w:cstheme="minorHAnsi"/>
                <w:sz w:val="22"/>
                <w:lang w:val="fr-BE"/>
              </w:rPr>
              <w:t>Même si l’annulation de l’article 2 de la loi du 1</w:t>
            </w:r>
            <w:r w:rsidRPr="003471A7">
              <w:rPr>
                <w:rFonts w:asciiTheme="minorHAnsi" w:hAnsiTheme="minorHAnsi" w:cstheme="minorHAnsi"/>
                <w:sz w:val="22"/>
                <w:vertAlign w:val="superscript"/>
                <w:lang w:val="fr-BE"/>
              </w:rPr>
              <w:t>er</w:t>
            </w:r>
            <w:r w:rsidRPr="003471A7">
              <w:rPr>
                <w:rFonts w:asciiTheme="minorHAnsi" w:hAnsiTheme="minorHAnsi" w:cstheme="minorHAnsi"/>
                <w:sz w:val="22"/>
                <w:lang w:val="fr-BE"/>
              </w:rPr>
              <w:t xml:space="preserve"> septembre 2016 ne porte pas sur l’article 126 de la loi télécom (mais bien sur l’article 127 de cette même loi), le gouvernement estime que cet arrêt a un impact sur l’article 126.</w:t>
            </w:r>
          </w:p>
        </w:tc>
        <w:tc>
          <w:tcPr>
            <w:tcW w:w="4508" w:type="dxa"/>
          </w:tcPr>
          <w:p w14:paraId="773F2D51" w14:textId="40FECB9A" w:rsidR="00182D5B" w:rsidRPr="003471A7" w:rsidRDefault="00182D5B" w:rsidP="003471A7">
            <w:pPr>
              <w:jc w:val="both"/>
              <w:rPr>
                <w:rFonts w:asciiTheme="minorHAnsi" w:hAnsiTheme="minorHAnsi" w:cstheme="minorHAnsi"/>
                <w:sz w:val="22"/>
              </w:rPr>
            </w:pPr>
            <w:r w:rsidRPr="003471A7">
              <w:rPr>
                <w:rFonts w:asciiTheme="minorHAnsi" w:hAnsiTheme="minorHAnsi" w:cstheme="minorHAnsi"/>
                <w:sz w:val="22"/>
              </w:rPr>
              <w:t>Zelfs al heeft de vernietiging van artikel 2 van de wet van 1 september 2016 geen betrekking op artikel 126 van de telecomwet (maar wel op artikel 127 van diezelfde wet), is de regering van oordeel dat dat arrest een impact heeft op artikel 126.</w:t>
            </w:r>
          </w:p>
        </w:tc>
      </w:tr>
      <w:tr w:rsidR="00182D5B" w:rsidRPr="002F7AA5" w14:paraId="112C1D2F" w14:textId="77777777" w:rsidTr="00705040">
        <w:tc>
          <w:tcPr>
            <w:tcW w:w="4508" w:type="dxa"/>
          </w:tcPr>
          <w:p w14:paraId="04E4AE7B" w14:textId="77777777" w:rsidR="00182D5B" w:rsidRPr="003471A7" w:rsidRDefault="00182D5B" w:rsidP="00182D5B">
            <w:pPr>
              <w:rPr>
                <w:rFonts w:asciiTheme="minorHAnsi" w:hAnsiTheme="minorHAnsi" w:cstheme="minorHAnsi"/>
                <w:sz w:val="22"/>
              </w:rPr>
            </w:pPr>
          </w:p>
        </w:tc>
        <w:tc>
          <w:tcPr>
            <w:tcW w:w="4508" w:type="dxa"/>
          </w:tcPr>
          <w:p w14:paraId="54064FB1" w14:textId="77777777" w:rsidR="00182D5B" w:rsidRPr="003471A7" w:rsidRDefault="00182D5B" w:rsidP="00182D5B">
            <w:pPr>
              <w:rPr>
                <w:rFonts w:asciiTheme="minorHAnsi" w:hAnsiTheme="minorHAnsi" w:cstheme="minorHAnsi"/>
                <w:sz w:val="22"/>
              </w:rPr>
            </w:pPr>
          </w:p>
        </w:tc>
      </w:tr>
      <w:tr w:rsidR="00182D5B" w:rsidRPr="002F7AA5" w14:paraId="2D3722CC" w14:textId="77777777" w:rsidTr="00705040">
        <w:tc>
          <w:tcPr>
            <w:tcW w:w="4508" w:type="dxa"/>
          </w:tcPr>
          <w:p w14:paraId="4B9BB679" w14:textId="6EA3A6AB" w:rsidR="00182D5B" w:rsidRPr="00C462D9" w:rsidRDefault="00182D5B" w:rsidP="003471A7">
            <w:pPr>
              <w:jc w:val="both"/>
              <w:rPr>
                <w:rFonts w:asciiTheme="minorHAnsi" w:hAnsiTheme="minorHAnsi" w:cstheme="minorHAnsi"/>
                <w:sz w:val="22"/>
                <w:lang w:val="fr-BE"/>
              </w:rPr>
            </w:pPr>
            <w:bookmarkStart w:id="6" w:name="_Hlk89762922"/>
            <w:r w:rsidRPr="00C462D9">
              <w:rPr>
                <w:rFonts w:asciiTheme="minorHAnsi" w:hAnsiTheme="minorHAnsi" w:cstheme="minorHAnsi"/>
                <w:sz w:val="22"/>
                <w:lang w:val="fr-BE"/>
              </w:rPr>
              <w:t xml:space="preserve">En effet, dans le même arrêt, la Cour constitutionnelle rappelle que la méthode de travail suivie par le législateur dans le cadre de l’article 127 de la loi télécom consistait à laisser au Roi le soin de déterminer les données d’identification traitées et documents d’identité admis. La Cour constitutionnelle indique dans son arrêt  (B.8.4.3.) que « Lors des travaux préparatoires, le législateur justifie cette méthode de travail par le caractère technique des données d’identification et des documents d’identification, la nécessité de pouvoir en adapter l’énumération en fonction de nouveaux enseignements et le fait que, dans le cadre de la conservation des données, ces données n’étaient pas non plus énumérées dans l’article </w:t>
            </w:r>
            <w:r w:rsidRPr="00C462D9">
              <w:rPr>
                <w:rFonts w:asciiTheme="minorHAnsi" w:hAnsiTheme="minorHAnsi" w:cstheme="minorHAnsi"/>
                <w:sz w:val="22"/>
                <w:lang w:val="fr-BE"/>
              </w:rPr>
              <w:lastRenderedPageBreak/>
              <w:t>126 de la loi du 13 juin 2005 lui-même annulé par l’arrêt de la Cour n° 57/2021 du 22 avril 2021. </w:t>
            </w:r>
            <w:bookmarkEnd w:id="6"/>
          </w:p>
        </w:tc>
        <w:tc>
          <w:tcPr>
            <w:tcW w:w="4508" w:type="dxa"/>
          </w:tcPr>
          <w:p w14:paraId="2FB42689" w14:textId="5ABB3DB9" w:rsidR="00182D5B" w:rsidRPr="00C462D9" w:rsidRDefault="00182D5B" w:rsidP="003471A7">
            <w:pPr>
              <w:jc w:val="both"/>
              <w:rPr>
                <w:rFonts w:asciiTheme="minorHAnsi" w:hAnsiTheme="minorHAnsi" w:cstheme="minorHAnsi"/>
                <w:sz w:val="22"/>
              </w:rPr>
            </w:pPr>
            <w:r w:rsidRPr="00C462D9">
              <w:rPr>
                <w:rFonts w:asciiTheme="minorHAnsi" w:hAnsiTheme="minorHAnsi" w:cstheme="minorHAnsi"/>
                <w:sz w:val="22"/>
              </w:rPr>
              <w:lastRenderedPageBreak/>
              <w:t xml:space="preserve">In hetzelfde arrest herinnert het Grondwettelijk Hof immers eraan dat de door de wetgever gevolgde manier van werken in het kader van artikel 127 van de telecomwet erin bestond de zorg aan de Koning over te laten om de verwerkte identificatiegegevens en de toegelaten identificatiedocumenten te bepalen. Het Grondwettelijk Hof geeft in zijn arrest (B.8.4.3.) het volgende aan “In de parlementaire voorbereiding verantwoordt de wetgever die manier van werken door te verwijzen naar de technische aard van de identificatiegegevens en identificatiedocumenten, de noodzaak om de </w:t>
            </w:r>
            <w:proofErr w:type="spellStart"/>
            <w:r w:rsidRPr="00C462D9">
              <w:rPr>
                <w:rFonts w:asciiTheme="minorHAnsi" w:hAnsiTheme="minorHAnsi" w:cstheme="minorHAnsi"/>
                <w:sz w:val="22"/>
              </w:rPr>
              <w:t>oplijsting</w:t>
            </w:r>
            <w:proofErr w:type="spellEnd"/>
            <w:r w:rsidRPr="00C462D9">
              <w:rPr>
                <w:rFonts w:asciiTheme="minorHAnsi" w:hAnsiTheme="minorHAnsi" w:cstheme="minorHAnsi"/>
                <w:sz w:val="22"/>
              </w:rPr>
              <w:t xml:space="preserve"> daarvan te kunnen aanpassen in het licht van gewijzigde inzichten, en het feit dat ook in het kader van de dataretentie die gegevens </w:t>
            </w:r>
            <w:r w:rsidRPr="00C462D9">
              <w:rPr>
                <w:rFonts w:asciiTheme="minorHAnsi" w:hAnsiTheme="minorHAnsi" w:cstheme="minorHAnsi"/>
                <w:sz w:val="22"/>
              </w:rPr>
              <w:lastRenderedPageBreak/>
              <w:t>niet in het bij het arrest van het Hof nr. 57/2021 van 22 april 2021 vernietigde artikel 126 van de wet van 13 juni 2005 zelf werden opgesomd.</w:t>
            </w:r>
          </w:p>
        </w:tc>
      </w:tr>
      <w:tr w:rsidR="00182D5B" w:rsidRPr="002F7AA5" w14:paraId="2F0D76FA" w14:textId="77777777" w:rsidTr="00705040">
        <w:tc>
          <w:tcPr>
            <w:tcW w:w="4508" w:type="dxa"/>
          </w:tcPr>
          <w:p w14:paraId="373EBB76" w14:textId="77777777" w:rsidR="00182D5B" w:rsidRPr="003471A7" w:rsidRDefault="00182D5B" w:rsidP="00182D5B">
            <w:pPr>
              <w:rPr>
                <w:rFonts w:asciiTheme="minorHAnsi" w:hAnsiTheme="minorHAnsi" w:cstheme="minorHAnsi"/>
                <w:sz w:val="22"/>
              </w:rPr>
            </w:pPr>
          </w:p>
        </w:tc>
        <w:tc>
          <w:tcPr>
            <w:tcW w:w="4508" w:type="dxa"/>
          </w:tcPr>
          <w:p w14:paraId="7CAA5F0D" w14:textId="77777777" w:rsidR="00182D5B" w:rsidRPr="003471A7" w:rsidRDefault="00182D5B" w:rsidP="00182D5B">
            <w:pPr>
              <w:rPr>
                <w:rFonts w:asciiTheme="minorHAnsi" w:hAnsiTheme="minorHAnsi" w:cstheme="minorHAnsi"/>
                <w:sz w:val="22"/>
              </w:rPr>
            </w:pPr>
          </w:p>
        </w:tc>
      </w:tr>
      <w:tr w:rsidR="00182D5B" w:rsidRPr="002F7AA5" w14:paraId="305B7DF6" w14:textId="77777777" w:rsidTr="00705040">
        <w:tc>
          <w:tcPr>
            <w:tcW w:w="4508" w:type="dxa"/>
          </w:tcPr>
          <w:p w14:paraId="329A1509" w14:textId="4F6EBB17" w:rsidR="00182D5B" w:rsidRPr="003471A7" w:rsidRDefault="00182D5B" w:rsidP="003471A7">
            <w:pPr>
              <w:jc w:val="both"/>
              <w:rPr>
                <w:rFonts w:asciiTheme="minorHAnsi" w:hAnsiTheme="minorHAnsi" w:cstheme="minorHAnsi"/>
                <w:sz w:val="22"/>
              </w:rPr>
            </w:pPr>
            <w:r w:rsidRPr="003471A7">
              <w:rPr>
                <w:rFonts w:asciiTheme="minorHAnsi" w:hAnsiTheme="minorHAnsi" w:cstheme="minorHAnsi"/>
                <w:sz w:val="22"/>
                <w:lang w:val="fr-BE"/>
              </w:rPr>
              <w:t xml:space="preserve">Indépendamment du fait que ces arguments ne sauraient expliquer l’absence d’une habilitation explicite et sans équivoque, le caractère technique des données d’identification et des documents d’identification et l’adaptabilité d’une telle énumération ne suffisent pas pour conclure que le fait d’ancrer de tels éléments dans une norme législative ne permettrait pas au législateur de réaliser un objectif d’intérêt général. En effet, même une norme législative peut être modifiée. Le Conseil des ministres ne démontre pas qu’une modification de ces données d’identification peut être urgente au point de ne pas pouvoir suivre le cours normal de la procédure législative. De même, une énumération des données d’identification et des documents d’identification n’est pas complexe au point de ne pas pouvoir être inscrite dans une norme législative. </w:t>
            </w:r>
            <w:r w:rsidRPr="003471A7">
              <w:rPr>
                <w:rFonts w:asciiTheme="minorHAnsi" w:hAnsiTheme="minorHAnsi" w:cstheme="minorHAnsi"/>
                <w:sz w:val="22"/>
                <w:u w:val="single"/>
                <w:lang w:val="fr-BE"/>
              </w:rPr>
              <w:t>Enfin, le législateur ne saurait justifier une violation de la Constitution en renvoyant à une autre disposition législative qui comportait peut-être la même inconstitutionnalité.</w:t>
            </w:r>
            <w:r w:rsidRPr="003471A7">
              <w:rPr>
                <w:rFonts w:asciiTheme="minorHAnsi" w:hAnsiTheme="minorHAnsi" w:cstheme="minorHAnsi"/>
                <w:sz w:val="22"/>
                <w:lang w:val="fr-BE"/>
              </w:rPr>
              <w:t> » (c’est nous qui soulignons)</w:t>
            </w:r>
          </w:p>
        </w:tc>
        <w:tc>
          <w:tcPr>
            <w:tcW w:w="4508" w:type="dxa"/>
          </w:tcPr>
          <w:p w14:paraId="5C25C74B" w14:textId="3FEA879C" w:rsidR="00182D5B" w:rsidRPr="003471A7" w:rsidRDefault="00182D5B" w:rsidP="003471A7">
            <w:pPr>
              <w:jc w:val="both"/>
              <w:rPr>
                <w:rFonts w:asciiTheme="minorHAnsi" w:hAnsiTheme="minorHAnsi" w:cstheme="minorHAnsi"/>
                <w:sz w:val="22"/>
              </w:rPr>
            </w:pPr>
            <w:r w:rsidRPr="003471A7">
              <w:rPr>
                <w:rFonts w:asciiTheme="minorHAnsi" w:hAnsiTheme="minorHAnsi" w:cstheme="minorHAnsi"/>
                <w:sz w:val="22"/>
              </w:rPr>
              <w:t xml:space="preserve">Nog afgezien van het feit dat die argumenten de afwezigheid van een uitdrukkelijke en ondubbelzinnige machtiging niet kunnen verklaren, volstaan de technische aard van identificatiegegevens en identificatiedocumenten en de aanpasbaarheid van een dergelijke </w:t>
            </w:r>
            <w:proofErr w:type="spellStart"/>
            <w:r w:rsidRPr="003471A7">
              <w:rPr>
                <w:rFonts w:asciiTheme="minorHAnsi" w:hAnsiTheme="minorHAnsi" w:cstheme="minorHAnsi"/>
                <w:sz w:val="22"/>
              </w:rPr>
              <w:t>oplijsting</w:t>
            </w:r>
            <w:proofErr w:type="spellEnd"/>
            <w:r w:rsidRPr="003471A7">
              <w:rPr>
                <w:rFonts w:asciiTheme="minorHAnsi" w:hAnsiTheme="minorHAnsi" w:cstheme="minorHAnsi"/>
                <w:sz w:val="22"/>
              </w:rPr>
              <w:t xml:space="preserve"> niet om te besluiten dat een verankering ervan in een wetskrachtige norm de wetgever niet in staat zou stellen een doelstelling van algemeen belang te verwezenlijken. Ook een wetskrachtige norm kan immers worden gewijzigd. De Ministerraad toont niet aan dat een wijziging van die identificatiegegevens zo dringend kan zijn dat het normale verloop van de wetgevende procedure niet kan worden gevolgd. Een </w:t>
            </w:r>
            <w:proofErr w:type="spellStart"/>
            <w:r w:rsidRPr="003471A7">
              <w:rPr>
                <w:rFonts w:asciiTheme="minorHAnsi" w:hAnsiTheme="minorHAnsi" w:cstheme="minorHAnsi"/>
                <w:sz w:val="22"/>
              </w:rPr>
              <w:t>oplijsting</w:t>
            </w:r>
            <w:proofErr w:type="spellEnd"/>
            <w:r w:rsidRPr="003471A7">
              <w:rPr>
                <w:rFonts w:asciiTheme="minorHAnsi" w:hAnsiTheme="minorHAnsi" w:cstheme="minorHAnsi"/>
                <w:sz w:val="22"/>
              </w:rPr>
              <w:t xml:space="preserve"> van identificatiegegevens en identificatiedocumenten is ook niet dermate complex dat zij niet in een wetskrachtige norm kan worden opgenomen. </w:t>
            </w:r>
            <w:r w:rsidRPr="003471A7">
              <w:rPr>
                <w:rFonts w:asciiTheme="minorHAnsi" w:hAnsiTheme="minorHAnsi" w:cstheme="minorHAnsi"/>
                <w:sz w:val="22"/>
                <w:u w:val="single"/>
              </w:rPr>
              <w:t>Tot slot kan de wetgever een schending van de Grondwet niet rechtvaardigen door te verwijzen naar een andere wetsbepaling die mogelijk dezelfde ongrondwettigheid bevatte.</w:t>
            </w:r>
            <w:r w:rsidRPr="003471A7">
              <w:rPr>
                <w:rFonts w:asciiTheme="minorHAnsi" w:hAnsiTheme="minorHAnsi" w:cstheme="minorHAnsi"/>
                <w:sz w:val="22"/>
              </w:rPr>
              <w:t>” (wij onderlijnen)</w:t>
            </w:r>
          </w:p>
        </w:tc>
      </w:tr>
      <w:tr w:rsidR="00182D5B" w:rsidRPr="002F7AA5" w14:paraId="579DE175" w14:textId="77777777" w:rsidTr="00705040">
        <w:tc>
          <w:tcPr>
            <w:tcW w:w="4508" w:type="dxa"/>
          </w:tcPr>
          <w:p w14:paraId="40FC078E" w14:textId="77777777" w:rsidR="00182D5B" w:rsidRPr="003471A7" w:rsidRDefault="00182D5B" w:rsidP="00182D5B">
            <w:pPr>
              <w:rPr>
                <w:rFonts w:asciiTheme="minorHAnsi" w:hAnsiTheme="minorHAnsi" w:cstheme="minorHAnsi"/>
                <w:sz w:val="22"/>
              </w:rPr>
            </w:pPr>
          </w:p>
        </w:tc>
        <w:tc>
          <w:tcPr>
            <w:tcW w:w="4508" w:type="dxa"/>
          </w:tcPr>
          <w:p w14:paraId="1FBAAD7A" w14:textId="77777777" w:rsidR="00182D5B" w:rsidRPr="003471A7" w:rsidRDefault="00182D5B" w:rsidP="00182D5B">
            <w:pPr>
              <w:rPr>
                <w:rFonts w:asciiTheme="minorHAnsi" w:hAnsiTheme="minorHAnsi" w:cstheme="minorHAnsi"/>
                <w:sz w:val="22"/>
              </w:rPr>
            </w:pPr>
          </w:p>
        </w:tc>
      </w:tr>
      <w:tr w:rsidR="00182D5B" w:rsidRPr="002F7AA5" w14:paraId="7C06B5D9" w14:textId="77777777" w:rsidTr="00705040">
        <w:tc>
          <w:tcPr>
            <w:tcW w:w="4508" w:type="dxa"/>
          </w:tcPr>
          <w:p w14:paraId="5EDF31EC" w14:textId="4A4EC30A" w:rsidR="00182D5B" w:rsidRPr="00EB6D2B" w:rsidRDefault="00182D5B" w:rsidP="00F35E8A">
            <w:pPr>
              <w:jc w:val="both"/>
              <w:rPr>
                <w:rFonts w:asciiTheme="minorHAnsi" w:hAnsiTheme="minorHAnsi" w:cstheme="minorHAnsi"/>
                <w:sz w:val="22"/>
                <w:lang w:val="fr-BE"/>
              </w:rPr>
            </w:pPr>
            <w:r w:rsidRPr="003471A7">
              <w:rPr>
                <w:rFonts w:asciiTheme="minorHAnsi" w:hAnsiTheme="minorHAnsi" w:cstheme="minorHAnsi"/>
                <w:sz w:val="22"/>
                <w:lang w:val="fr-BE"/>
              </w:rPr>
              <w:t xml:space="preserve">Il en ressort que selon la Cour constitutionnelle, l’article 126 comporte peut-être la même inconstitutionnalité que l’article 127. </w:t>
            </w:r>
          </w:p>
        </w:tc>
        <w:tc>
          <w:tcPr>
            <w:tcW w:w="4508" w:type="dxa"/>
          </w:tcPr>
          <w:p w14:paraId="338B2492" w14:textId="4A9D2FB9"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sz w:val="22"/>
              </w:rPr>
              <w:t>Daaruit blijkt dat volgens het Grondwettelijk Hof artikel 126 misschien dezelfde ongrondwettigheid als artikel 127 bevat.</w:t>
            </w:r>
          </w:p>
        </w:tc>
      </w:tr>
      <w:tr w:rsidR="00182D5B" w:rsidRPr="002F7AA5" w14:paraId="55D16A45" w14:textId="77777777" w:rsidTr="00705040">
        <w:tc>
          <w:tcPr>
            <w:tcW w:w="4508" w:type="dxa"/>
          </w:tcPr>
          <w:p w14:paraId="287B4A9B" w14:textId="77777777" w:rsidR="00182D5B" w:rsidRPr="003471A7" w:rsidRDefault="00182D5B" w:rsidP="00F35E8A">
            <w:pPr>
              <w:jc w:val="both"/>
              <w:rPr>
                <w:rFonts w:asciiTheme="minorHAnsi" w:hAnsiTheme="minorHAnsi" w:cstheme="minorHAnsi"/>
                <w:sz w:val="22"/>
              </w:rPr>
            </w:pPr>
          </w:p>
        </w:tc>
        <w:tc>
          <w:tcPr>
            <w:tcW w:w="4508" w:type="dxa"/>
          </w:tcPr>
          <w:p w14:paraId="1CE9F10E" w14:textId="77777777" w:rsidR="00182D5B" w:rsidRPr="003471A7" w:rsidRDefault="00182D5B" w:rsidP="00F35E8A">
            <w:pPr>
              <w:jc w:val="both"/>
              <w:rPr>
                <w:rFonts w:asciiTheme="minorHAnsi" w:hAnsiTheme="minorHAnsi" w:cstheme="minorHAnsi"/>
                <w:sz w:val="22"/>
              </w:rPr>
            </w:pPr>
          </w:p>
        </w:tc>
      </w:tr>
      <w:tr w:rsidR="00182D5B" w:rsidRPr="002F7AA5" w14:paraId="026658A2" w14:textId="77777777" w:rsidTr="00705040">
        <w:tc>
          <w:tcPr>
            <w:tcW w:w="4508" w:type="dxa"/>
          </w:tcPr>
          <w:p w14:paraId="5DE6BE25" w14:textId="6C099ABE" w:rsidR="00182D5B" w:rsidRPr="00EB6D2B" w:rsidRDefault="00182D5B" w:rsidP="00F35E8A">
            <w:pPr>
              <w:jc w:val="both"/>
              <w:rPr>
                <w:rFonts w:asciiTheme="minorHAnsi" w:hAnsiTheme="minorHAnsi" w:cstheme="minorHAnsi"/>
                <w:sz w:val="22"/>
                <w:lang w:val="fr-BE"/>
              </w:rPr>
            </w:pPr>
            <w:r w:rsidRPr="003471A7">
              <w:rPr>
                <w:rFonts w:asciiTheme="minorHAnsi" w:hAnsiTheme="minorHAnsi" w:cstheme="minorHAnsi"/>
                <w:sz w:val="22"/>
                <w:lang w:val="fr-BE"/>
              </w:rPr>
              <w:t>Pour tenir compte de cet arrêt, les  données qui se trouvaient auparavant aux paragraphes 1</w:t>
            </w:r>
            <w:r w:rsidRPr="003471A7">
              <w:rPr>
                <w:rFonts w:asciiTheme="minorHAnsi" w:hAnsiTheme="minorHAnsi" w:cstheme="minorHAnsi"/>
                <w:sz w:val="22"/>
                <w:vertAlign w:val="superscript"/>
                <w:lang w:val="fr-BE"/>
              </w:rPr>
              <w:t>er</w:t>
            </w:r>
            <w:r w:rsidRPr="003471A7">
              <w:rPr>
                <w:rFonts w:asciiTheme="minorHAnsi" w:hAnsiTheme="minorHAnsi" w:cstheme="minorHAnsi"/>
                <w:sz w:val="22"/>
                <w:lang w:val="fr-BE"/>
              </w:rPr>
              <w:t xml:space="preserve"> des articles 3 à 6 de l’arrêté royal du 19 septembre 2013 portant exécution de l'article 126 de la loi du 13 juin 2005 relative aux communications électroniques ont été déplacées vers cet article 126. </w:t>
            </w:r>
          </w:p>
        </w:tc>
        <w:tc>
          <w:tcPr>
            <w:tcW w:w="4508" w:type="dxa"/>
          </w:tcPr>
          <w:p w14:paraId="78196C8D" w14:textId="4782612F"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sz w:val="22"/>
              </w:rPr>
              <w:t>Om rekening te houden met dat arrest zijn de gegevens die zich voordien bevonden in de paragrafen 1 van de artikelen 3 tot 6 van het koninklijk besluit van 19 september 2013 tot uitvoering van artikel 126 van de wet van 13 juni 2005 betreffende de elektronische communicatie, verplaatst geweest naar dat artikel 126.</w:t>
            </w:r>
          </w:p>
        </w:tc>
      </w:tr>
      <w:tr w:rsidR="00182D5B" w:rsidRPr="002F7AA5" w14:paraId="1333AAA6" w14:textId="77777777" w:rsidTr="00705040">
        <w:tc>
          <w:tcPr>
            <w:tcW w:w="4508" w:type="dxa"/>
          </w:tcPr>
          <w:p w14:paraId="2B62F89F" w14:textId="77777777" w:rsidR="00182D5B" w:rsidRPr="003471A7" w:rsidRDefault="00182D5B" w:rsidP="00182D5B">
            <w:pPr>
              <w:rPr>
                <w:rFonts w:asciiTheme="minorHAnsi" w:hAnsiTheme="minorHAnsi" w:cstheme="minorHAnsi"/>
                <w:sz w:val="22"/>
              </w:rPr>
            </w:pPr>
          </w:p>
        </w:tc>
        <w:tc>
          <w:tcPr>
            <w:tcW w:w="4508" w:type="dxa"/>
          </w:tcPr>
          <w:p w14:paraId="0EE8C754" w14:textId="77777777" w:rsidR="00182D5B" w:rsidRPr="003471A7" w:rsidRDefault="00182D5B" w:rsidP="00182D5B">
            <w:pPr>
              <w:rPr>
                <w:rFonts w:asciiTheme="minorHAnsi" w:hAnsiTheme="minorHAnsi" w:cstheme="minorHAnsi"/>
                <w:sz w:val="22"/>
              </w:rPr>
            </w:pPr>
          </w:p>
        </w:tc>
      </w:tr>
      <w:tr w:rsidR="00182D5B" w:rsidRPr="002F7AA5" w14:paraId="039CF41E" w14:textId="77777777" w:rsidTr="00705040">
        <w:tc>
          <w:tcPr>
            <w:tcW w:w="4508" w:type="dxa"/>
          </w:tcPr>
          <w:p w14:paraId="71161F28" w14:textId="6981D5AA" w:rsidR="00182D5B" w:rsidRPr="00EB6D2B" w:rsidRDefault="00182D5B" w:rsidP="00F35E8A">
            <w:pPr>
              <w:jc w:val="both"/>
              <w:rPr>
                <w:rFonts w:asciiTheme="minorHAnsi" w:hAnsiTheme="minorHAnsi" w:cstheme="minorHAnsi"/>
                <w:b/>
                <w:bCs/>
                <w:sz w:val="22"/>
                <w:u w:val="single"/>
                <w:lang w:val="fr-BE"/>
              </w:rPr>
            </w:pPr>
            <w:bookmarkStart w:id="7" w:name="_Toc94811176"/>
            <w:r w:rsidRPr="00EB6D2B">
              <w:rPr>
                <w:rFonts w:asciiTheme="minorHAnsi" w:hAnsiTheme="minorHAnsi" w:cstheme="minorHAnsi"/>
                <w:b/>
                <w:bCs/>
                <w:sz w:val="22"/>
                <w:u w:val="single"/>
                <w:lang w:val="fr-BE"/>
              </w:rPr>
              <w:t>Les entreprises qui doivent conserver les données (paragraphe 1</w:t>
            </w:r>
            <w:r w:rsidRPr="00EB6D2B">
              <w:rPr>
                <w:rFonts w:asciiTheme="minorHAnsi" w:hAnsiTheme="minorHAnsi" w:cstheme="minorHAnsi"/>
                <w:b/>
                <w:bCs/>
                <w:sz w:val="22"/>
                <w:u w:val="single"/>
                <w:vertAlign w:val="superscript"/>
                <w:lang w:val="fr-BE"/>
              </w:rPr>
              <w:t>er</w:t>
            </w:r>
            <w:r w:rsidRPr="00EB6D2B">
              <w:rPr>
                <w:rFonts w:asciiTheme="minorHAnsi" w:hAnsiTheme="minorHAnsi" w:cstheme="minorHAnsi"/>
                <w:b/>
                <w:bCs/>
                <w:sz w:val="22"/>
                <w:u w:val="single"/>
                <w:lang w:val="fr-BE"/>
              </w:rPr>
              <w:t>)</w:t>
            </w:r>
            <w:bookmarkEnd w:id="7"/>
            <w:r w:rsidRPr="00EB6D2B">
              <w:rPr>
                <w:rFonts w:asciiTheme="minorHAnsi" w:hAnsiTheme="minorHAnsi" w:cstheme="minorHAnsi"/>
                <w:b/>
                <w:bCs/>
                <w:sz w:val="22"/>
                <w:u w:val="single"/>
                <w:vertAlign w:val="superscript"/>
                <w:lang w:val="fr-BE"/>
              </w:rPr>
              <w:t xml:space="preserve"> </w:t>
            </w:r>
          </w:p>
        </w:tc>
        <w:tc>
          <w:tcPr>
            <w:tcW w:w="4508" w:type="dxa"/>
          </w:tcPr>
          <w:p w14:paraId="78B645B4" w14:textId="53C4C654"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b/>
                <w:bCs/>
                <w:sz w:val="22"/>
                <w:u w:val="single"/>
              </w:rPr>
              <w:t>De bedrijven die de gegevens moeten bewaren (paragraaf 1)</w:t>
            </w:r>
          </w:p>
        </w:tc>
      </w:tr>
      <w:tr w:rsidR="00182D5B" w:rsidRPr="002F7AA5" w14:paraId="04A59DA2" w14:textId="77777777" w:rsidTr="00705040">
        <w:tc>
          <w:tcPr>
            <w:tcW w:w="4508" w:type="dxa"/>
          </w:tcPr>
          <w:p w14:paraId="374DE1C4" w14:textId="77777777" w:rsidR="00182D5B" w:rsidRPr="003471A7" w:rsidRDefault="00182D5B" w:rsidP="00182D5B">
            <w:pPr>
              <w:rPr>
                <w:rFonts w:asciiTheme="minorHAnsi" w:hAnsiTheme="minorHAnsi" w:cstheme="minorHAnsi"/>
                <w:sz w:val="22"/>
              </w:rPr>
            </w:pPr>
          </w:p>
        </w:tc>
        <w:tc>
          <w:tcPr>
            <w:tcW w:w="4508" w:type="dxa"/>
          </w:tcPr>
          <w:p w14:paraId="41DADEE4" w14:textId="77777777" w:rsidR="00182D5B" w:rsidRPr="003471A7" w:rsidRDefault="00182D5B" w:rsidP="00182D5B">
            <w:pPr>
              <w:rPr>
                <w:rFonts w:asciiTheme="minorHAnsi" w:hAnsiTheme="minorHAnsi" w:cstheme="minorHAnsi"/>
                <w:sz w:val="22"/>
              </w:rPr>
            </w:pPr>
          </w:p>
        </w:tc>
      </w:tr>
      <w:tr w:rsidR="00182D5B" w:rsidRPr="002F7AA5" w14:paraId="42F7EEFF" w14:textId="77777777" w:rsidTr="00705040">
        <w:tc>
          <w:tcPr>
            <w:tcW w:w="4508" w:type="dxa"/>
          </w:tcPr>
          <w:p w14:paraId="040BCED8" w14:textId="2A20693E" w:rsidR="00182D5B" w:rsidRPr="00EB6D2B" w:rsidRDefault="00182D5B" w:rsidP="00F35E8A">
            <w:pPr>
              <w:jc w:val="both"/>
              <w:rPr>
                <w:rFonts w:asciiTheme="minorHAnsi" w:hAnsiTheme="minorHAnsi" w:cstheme="minorHAnsi"/>
                <w:sz w:val="22"/>
                <w:lang w:val="fr-BE"/>
              </w:rPr>
            </w:pPr>
            <w:r w:rsidRPr="003471A7">
              <w:rPr>
                <w:rFonts w:asciiTheme="minorHAnsi" w:hAnsiTheme="minorHAnsi" w:cstheme="minorHAnsi"/>
                <w:spacing w:val="-3"/>
                <w:sz w:val="22"/>
                <w:lang w:val="fr-FR"/>
              </w:rPr>
              <w:t xml:space="preserve">Certaines modifications ont été apportées à l’article 126 de manière à s’aligner sur la terminologie et les définitions qui sont employées dans la loi télécom après  la transposition dans cette loi du  Code  des communications électroniques européen (Directive (UE) </w:t>
            </w:r>
            <w:r w:rsidRPr="003471A7">
              <w:rPr>
                <w:rFonts w:asciiTheme="minorHAnsi" w:hAnsiTheme="minorHAnsi" w:cstheme="minorHAnsi"/>
                <w:spacing w:val="-3"/>
                <w:sz w:val="22"/>
                <w:lang w:val="fr-FR"/>
              </w:rPr>
              <w:lastRenderedPageBreak/>
              <w:t>2018/1972 du Parlement européen et du Conseil du 11 décembre 2018 établissant le code des communications électroniques européen).</w:t>
            </w:r>
          </w:p>
        </w:tc>
        <w:tc>
          <w:tcPr>
            <w:tcW w:w="4508" w:type="dxa"/>
          </w:tcPr>
          <w:p w14:paraId="540AF222" w14:textId="38724385"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sz w:val="22"/>
              </w:rPr>
              <w:lastRenderedPageBreak/>
              <w:t xml:space="preserve">Bepaalde wijzigingen werden aangebracht in artikel 126 om zich te conformeren aan de terminologie en definities die in de telecomwet gebruikt worden na de omzetting in deze wet van het Europees wetboek voor elektronische communicatie (Richtlijn (EU) 2018/1972 van het </w:t>
            </w:r>
            <w:r w:rsidRPr="003471A7">
              <w:rPr>
                <w:rFonts w:asciiTheme="minorHAnsi" w:hAnsiTheme="minorHAnsi" w:cstheme="minorHAnsi"/>
                <w:sz w:val="22"/>
              </w:rPr>
              <w:lastRenderedPageBreak/>
              <w:t>Europees Parlement en de Raad van 11 december 2018 tot vaststelling van het Europees wetboek voor elektronische communicatie).</w:t>
            </w:r>
          </w:p>
        </w:tc>
      </w:tr>
      <w:tr w:rsidR="00182D5B" w:rsidRPr="002F7AA5" w14:paraId="4D407373" w14:textId="77777777" w:rsidTr="00705040">
        <w:tc>
          <w:tcPr>
            <w:tcW w:w="4508" w:type="dxa"/>
          </w:tcPr>
          <w:p w14:paraId="3C989503" w14:textId="77777777" w:rsidR="00182D5B" w:rsidRPr="003471A7" w:rsidRDefault="00182D5B" w:rsidP="00182D5B">
            <w:pPr>
              <w:rPr>
                <w:rFonts w:asciiTheme="minorHAnsi" w:hAnsiTheme="minorHAnsi" w:cstheme="minorHAnsi"/>
                <w:sz w:val="22"/>
              </w:rPr>
            </w:pPr>
          </w:p>
        </w:tc>
        <w:tc>
          <w:tcPr>
            <w:tcW w:w="4508" w:type="dxa"/>
          </w:tcPr>
          <w:p w14:paraId="44996EE7" w14:textId="77777777" w:rsidR="00182D5B" w:rsidRPr="003471A7" w:rsidRDefault="00182D5B" w:rsidP="00182D5B">
            <w:pPr>
              <w:rPr>
                <w:rFonts w:asciiTheme="minorHAnsi" w:hAnsiTheme="minorHAnsi" w:cstheme="minorHAnsi"/>
                <w:sz w:val="22"/>
              </w:rPr>
            </w:pPr>
          </w:p>
        </w:tc>
      </w:tr>
      <w:tr w:rsidR="00182D5B" w:rsidRPr="002F7AA5" w14:paraId="37BCBFCD" w14:textId="77777777" w:rsidTr="00705040">
        <w:tc>
          <w:tcPr>
            <w:tcW w:w="4508" w:type="dxa"/>
          </w:tcPr>
          <w:p w14:paraId="3C99F352" w14:textId="0CD4486B" w:rsidR="00182D5B" w:rsidRPr="00EB6D2B" w:rsidRDefault="00182D5B" w:rsidP="00F35E8A">
            <w:pPr>
              <w:jc w:val="both"/>
              <w:rPr>
                <w:rFonts w:asciiTheme="minorHAnsi" w:hAnsiTheme="minorHAnsi" w:cstheme="minorHAnsi"/>
                <w:sz w:val="22"/>
                <w:lang w:val="fr-BE"/>
              </w:rPr>
            </w:pPr>
            <w:r w:rsidRPr="003471A7">
              <w:rPr>
                <w:rFonts w:asciiTheme="minorHAnsi" w:hAnsiTheme="minorHAnsi" w:cstheme="minorHAnsi"/>
                <w:spacing w:val="-3"/>
                <w:sz w:val="22"/>
                <w:lang w:val="fr-FR"/>
              </w:rPr>
              <w:t>Concernant le paragraphe 1</w:t>
            </w:r>
            <w:r w:rsidRPr="003471A7">
              <w:rPr>
                <w:rFonts w:asciiTheme="minorHAnsi" w:hAnsiTheme="minorHAnsi" w:cstheme="minorHAnsi"/>
                <w:spacing w:val="-3"/>
                <w:sz w:val="22"/>
                <w:vertAlign w:val="superscript"/>
                <w:lang w:val="fr-FR"/>
              </w:rPr>
              <w:t>er</w:t>
            </w:r>
            <w:r w:rsidRPr="003471A7">
              <w:rPr>
                <w:rFonts w:asciiTheme="minorHAnsi" w:hAnsiTheme="minorHAnsi" w:cstheme="minorHAnsi"/>
                <w:spacing w:val="-3"/>
                <w:sz w:val="22"/>
                <w:lang w:val="fr-FR"/>
              </w:rPr>
              <w:t xml:space="preserve"> et vu que la notion de service de communications électroniques est définie dans le Code de manière plus large qu’auparavant, il n’est plus nécessaire de viser les opérateurs et les fournisseurs de services (version de l’article 126 tel que remplacé par la loi du 29 mai 2016 relative à la collecte et à la conservation des données dans le secteur des communications électroniques) mais il suffit de viser les opérateurs.</w:t>
            </w:r>
          </w:p>
        </w:tc>
        <w:tc>
          <w:tcPr>
            <w:tcW w:w="4508" w:type="dxa"/>
          </w:tcPr>
          <w:p w14:paraId="791863E2" w14:textId="46EAF2BC"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sz w:val="22"/>
              </w:rPr>
              <w:t>Wat betreft paragraaf 1 en aangezien het begrip van elektronische-communicatiedienst in het Wetboek ruimer gedefinieerd is dan voordien, is het niet meer noodzakelijk om de operatoren en de aanbieders van diensten te beogen (versie van artikel 126 zoals vervangen door de wet van 29 mei 2016 betreffende het verzamelen en het bewaren van de gegevens in de sector van de elektronische communicatie), maar volstaat het om de operatoren te beogen.</w:t>
            </w:r>
          </w:p>
        </w:tc>
      </w:tr>
      <w:tr w:rsidR="00182D5B" w:rsidRPr="002F7AA5" w14:paraId="383E6BEE" w14:textId="77777777" w:rsidTr="00705040">
        <w:tc>
          <w:tcPr>
            <w:tcW w:w="4508" w:type="dxa"/>
          </w:tcPr>
          <w:p w14:paraId="5F16E81F" w14:textId="77777777" w:rsidR="00182D5B" w:rsidRPr="003471A7" w:rsidRDefault="00182D5B" w:rsidP="00F35E8A">
            <w:pPr>
              <w:jc w:val="both"/>
              <w:rPr>
                <w:rFonts w:asciiTheme="minorHAnsi" w:hAnsiTheme="minorHAnsi" w:cstheme="minorHAnsi"/>
                <w:sz w:val="22"/>
              </w:rPr>
            </w:pPr>
          </w:p>
        </w:tc>
        <w:tc>
          <w:tcPr>
            <w:tcW w:w="4508" w:type="dxa"/>
          </w:tcPr>
          <w:p w14:paraId="0CD3E680" w14:textId="77777777" w:rsidR="00182D5B" w:rsidRPr="003471A7" w:rsidRDefault="00182D5B" w:rsidP="00F35E8A">
            <w:pPr>
              <w:jc w:val="both"/>
              <w:rPr>
                <w:rFonts w:asciiTheme="minorHAnsi" w:hAnsiTheme="minorHAnsi" w:cstheme="minorHAnsi"/>
                <w:sz w:val="22"/>
              </w:rPr>
            </w:pPr>
          </w:p>
        </w:tc>
      </w:tr>
      <w:tr w:rsidR="00182D5B" w:rsidRPr="002F7AA5" w14:paraId="07D5D08A" w14:textId="77777777" w:rsidTr="00705040">
        <w:tc>
          <w:tcPr>
            <w:tcW w:w="4508" w:type="dxa"/>
          </w:tcPr>
          <w:p w14:paraId="4DBF627A" w14:textId="46685191" w:rsidR="00182D5B" w:rsidRPr="00EB6D2B" w:rsidRDefault="00182D5B" w:rsidP="00F35E8A">
            <w:pPr>
              <w:jc w:val="both"/>
              <w:rPr>
                <w:rFonts w:asciiTheme="minorHAnsi" w:hAnsiTheme="minorHAnsi" w:cstheme="minorHAnsi"/>
                <w:sz w:val="22"/>
                <w:lang w:val="fr-BE"/>
              </w:rPr>
            </w:pPr>
            <w:r w:rsidRPr="003471A7">
              <w:rPr>
                <w:rFonts w:asciiTheme="minorHAnsi" w:hAnsiTheme="minorHAnsi" w:cstheme="minorHAnsi"/>
                <w:spacing w:val="-3"/>
                <w:sz w:val="22"/>
                <w:lang w:val="fr-FR"/>
              </w:rPr>
              <w:t>Le présent article est applicable lorsqu’un service de communications électroniques est fourni en Belgique.</w:t>
            </w:r>
          </w:p>
        </w:tc>
        <w:tc>
          <w:tcPr>
            <w:tcW w:w="4508" w:type="dxa"/>
          </w:tcPr>
          <w:p w14:paraId="4231B411" w14:textId="2B0DF66D"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sz w:val="22"/>
              </w:rPr>
              <w:t>Dit artikel is van toepassing wanneer een elektronische-communicatiedienst in België wordt verstrekt.</w:t>
            </w:r>
          </w:p>
        </w:tc>
      </w:tr>
      <w:tr w:rsidR="00182D5B" w:rsidRPr="002F7AA5" w14:paraId="53688F51" w14:textId="77777777" w:rsidTr="00705040">
        <w:tc>
          <w:tcPr>
            <w:tcW w:w="4508" w:type="dxa"/>
          </w:tcPr>
          <w:p w14:paraId="30ADE1E0" w14:textId="77777777" w:rsidR="00182D5B" w:rsidRPr="003471A7" w:rsidRDefault="00182D5B" w:rsidP="00182D5B">
            <w:pPr>
              <w:rPr>
                <w:rFonts w:asciiTheme="minorHAnsi" w:hAnsiTheme="minorHAnsi" w:cstheme="minorHAnsi"/>
                <w:sz w:val="22"/>
              </w:rPr>
            </w:pPr>
          </w:p>
        </w:tc>
        <w:tc>
          <w:tcPr>
            <w:tcW w:w="4508" w:type="dxa"/>
          </w:tcPr>
          <w:p w14:paraId="19BF1A81" w14:textId="77777777" w:rsidR="00182D5B" w:rsidRPr="003471A7" w:rsidRDefault="00182D5B" w:rsidP="00182D5B">
            <w:pPr>
              <w:rPr>
                <w:rFonts w:asciiTheme="minorHAnsi" w:hAnsiTheme="minorHAnsi" w:cstheme="minorHAnsi"/>
                <w:sz w:val="22"/>
              </w:rPr>
            </w:pPr>
          </w:p>
        </w:tc>
      </w:tr>
      <w:tr w:rsidR="00182D5B" w:rsidRPr="002F7AA5" w14:paraId="1BF85027" w14:textId="77777777" w:rsidTr="00705040">
        <w:tc>
          <w:tcPr>
            <w:tcW w:w="4508" w:type="dxa"/>
          </w:tcPr>
          <w:p w14:paraId="6D4F0910" w14:textId="351D5791" w:rsidR="00182D5B" w:rsidRPr="00C462D9" w:rsidRDefault="00182D5B" w:rsidP="00182D5B">
            <w:pPr>
              <w:rPr>
                <w:rFonts w:asciiTheme="minorHAnsi" w:hAnsiTheme="minorHAnsi" w:cstheme="minorHAnsi"/>
                <w:b/>
                <w:bCs/>
                <w:sz w:val="22"/>
                <w:u w:val="single"/>
                <w:lang w:val="fr-BE"/>
              </w:rPr>
            </w:pPr>
            <w:bookmarkStart w:id="8" w:name="_Toc94811177"/>
            <w:r w:rsidRPr="00C462D9">
              <w:rPr>
                <w:rFonts w:asciiTheme="minorHAnsi" w:hAnsiTheme="minorHAnsi" w:cstheme="minorHAnsi"/>
                <w:b/>
                <w:bCs/>
                <w:sz w:val="22"/>
                <w:u w:val="single"/>
                <w:lang w:val="fr-BE"/>
              </w:rPr>
              <w:t>Les données à conserver (paragraphe 1</w:t>
            </w:r>
            <w:r w:rsidRPr="00C462D9">
              <w:rPr>
                <w:rFonts w:asciiTheme="minorHAnsi" w:hAnsiTheme="minorHAnsi" w:cstheme="minorHAnsi"/>
                <w:b/>
                <w:bCs/>
                <w:sz w:val="22"/>
                <w:u w:val="single"/>
                <w:vertAlign w:val="superscript"/>
                <w:lang w:val="fr-BE"/>
              </w:rPr>
              <w:t>er</w:t>
            </w:r>
            <w:r w:rsidRPr="00C462D9">
              <w:rPr>
                <w:rFonts w:asciiTheme="minorHAnsi" w:hAnsiTheme="minorHAnsi" w:cstheme="minorHAnsi"/>
                <w:b/>
                <w:bCs/>
                <w:sz w:val="22"/>
                <w:u w:val="single"/>
                <w:lang w:val="fr-BE"/>
              </w:rPr>
              <w:t>)</w:t>
            </w:r>
            <w:bookmarkEnd w:id="8"/>
            <w:r w:rsidRPr="00C462D9">
              <w:rPr>
                <w:rFonts w:asciiTheme="minorHAnsi" w:hAnsiTheme="minorHAnsi" w:cstheme="minorHAnsi"/>
                <w:b/>
                <w:bCs/>
                <w:sz w:val="22"/>
                <w:u w:val="single"/>
                <w:lang w:val="fr-BE"/>
              </w:rPr>
              <w:t xml:space="preserve"> </w:t>
            </w:r>
          </w:p>
        </w:tc>
        <w:tc>
          <w:tcPr>
            <w:tcW w:w="4508" w:type="dxa"/>
          </w:tcPr>
          <w:p w14:paraId="0C1BA792" w14:textId="6982C111" w:rsidR="00182D5B" w:rsidRPr="003471A7" w:rsidRDefault="00182D5B" w:rsidP="00182D5B">
            <w:pPr>
              <w:rPr>
                <w:rFonts w:asciiTheme="minorHAnsi" w:hAnsiTheme="minorHAnsi" w:cstheme="minorHAnsi"/>
                <w:sz w:val="22"/>
              </w:rPr>
            </w:pPr>
            <w:r w:rsidRPr="003471A7">
              <w:rPr>
                <w:rFonts w:asciiTheme="minorHAnsi" w:hAnsiTheme="minorHAnsi" w:cstheme="minorHAnsi"/>
                <w:b/>
                <w:bCs/>
                <w:sz w:val="22"/>
                <w:u w:val="single"/>
              </w:rPr>
              <w:t>De te bewaren gegevens (paragraaf 1)</w:t>
            </w:r>
          </w:p>
        </w:tc>
      </w:tr>
      <w:tr w:rsidR="00182D5B" w:rsidRPr="002F7AA5" w14:paraId="399F2631" w14:textId="77777777" w:rsidTr="00705040">
        <w:tc>
          <w:tcPr>
            <w:tcW w:w="4508" w:type="dxa"/>
          </w:tcPr>
          <w:p w14:paraId="20279FEB" w14:textId="77777777" w:rsidR="00182D5B" w:rsidRPr="003471A7" w:rsidRDefault="00182D5B" w:rsidP="00F35E8A">
            <w:pPr>
              <w:jc w:val="both"/>
              <w:rPr>
                <w:rFonts w:asciiTheme="minorHAnsi" w:hAnsiTheme="minorHAnsi" w:cstheme="minorHAnsi"/>
                <w:sz w:val="22"/>
              </w:rPr>
            </w:pPr>
          </w:p>
        </w:tc>
        <w:tc>
          <w:tcPr>
            <w:tcW w:w="4508" w:type="dxa"/>
          </w:tcPr>
          <w:p w14:paraId="2B2EB33E" w14:textId="77777777" w:rsidR="00182D5B" w:rsidRPr="003471A7" w:rsidRDefault="00182D5B" w:rsidP="00182D5B">
            <w:pPr>
              <w:rPr>
                <w:rFonts w:asciiTheme="minorHAnsi" w:hAnsiTheme="minorHAnsi" w:cstheme="minorHAnsi"/>
                <w:sz w:val="22"/>
              </w:rPr>
            </w:pPr>
          </w:p>
        </w:tc>
      </w:tr>
      <w:tr w:rsidR="00182D5B" w:rsidRPr="002F7AA5" w14:paraId="063F1E6E" w14:textId="77777777" w:rsidTr="00705040">
        <w:tc>
          <w:tcPr>
            <w:tcW w:w="4508" w:type="dxa"/>
          </w:tcPr>
          <w:p w14:paraId="29890962" w14:textId="6CAB7008" w:rsidR="00182D5B" w:rsidRPr="00F35E8A" w:rsidRDefault="00182D5B" w:rsidP="00F35E8A">
            <w:pPr>
              <w:jc w:val="both"/>
              <w:rPr>
                <w:rFonts w:asciiTheme="minorHAnsi" w:hAnsiTheme="minorHAnsi" w:cstheme="minorHAnsi"/>
                <w:sz w:val="22"/>
                <w:u w:val="single"/>
              </w:rPr>
            </w:pPr>
            <w:bookmarkStart w:id="9" w:name="_Toc94811178"/>
            <w:proofErr w:type="spellStart"/>
            <w:r w:rsidRPr="00F35E8A">
              <w:rPr>
                <w:rFonts w:asciiTheme="minorHAnsi" w:hAnsiTheme="minorHAnsi" w:cstheme="minorHAnsi"/>
                <w:sz w:val="22"/>
                <w:u w:val="single"/>
              </w:rPr>
              <w:t>Introduction</w:t>
            </w:r>
            <w:bookmarkEnd w:id="9"/>
            <w:proofErr w:type="spellEnd"/>
            <w:r w:rsidRPr="00F35E8A">
              <w:rPr>
                <w:rFonts w:asciiTheme="minorHAnsi" w:hAnsiTheme="minorHAnsi" w:cstheme="minorHAnsi"/>
                <w:sz w:val="22"/>
                <w:u w:val="single"/>
              </w:rPr>
              <w:t xml:space="preserve"> </w:t>
            </w:r>
          </w:p>
        </w:tc>
        <w:tc>
          <w:tcPr>
            <w:tcW w:w="4508" w:type="dxa"/>
          </w:tcPr>
          <w:p w14:paraId="0939B771" w14:textId="08B1DD1C" w:rsidR="00182D5B" w:rsidRPr="00F35E8A" w:rsidRDefault="00182D5B" w:rsidP="00F35E8A">
            <w:pPr>
              <w:jc w:val="both"/>
              <w:rPr>
                <w:rFonts w:asciiTheme="minorHAnsi" w:hAnsiTheme="minorHAnsi" w:cstheme="minorHAnsi"/>
                <w:sz w:val="22"/>
                <w:u w:val="single"/>
              </w:rPr>
            </w:pPr>
            <w:bookmarkStart w:id="10" w:name="_Toc94811179"/>
            <w:r w:rsidRPr="00F35E8A">
              <w:rPr>
                <w:rFonts w:asciiTheme="minorHAnsi" w:hAnsiTheme="minorHAnsi" w:cstheme="minorHAnsi"/>
                <w:sz w:val="22"/>
                <w:u w:val="single"/>
              </w:rPr>
              <w:t>Inleiding</w:t>
            </w:r>
            <w:bookmarkEnd w:id="10"/>
          </w:p>
        </w:tc>
      </w:tr>
      <w:tr w:rsidR="00182D5B" w:rsidRPr="002F7AA5" w14:paraId="165309AC" w14:textId="77777777" w:rsidTr="00705040">
        <w:tc>
          <w:tcPr>
            <w:tcW w:w="4508" w:type="dxa"/>
          </w:tcPr>
          <w:p w14:paraId="3E7F142A" w14:textId="77777777" w:rsidR="00182D5B" w:rsidRPr="003471A7" w:rsidRDefault="00182D5B" w:rsidP="00182D5B">
            <w:pPr>
              <w:rPr>
                <w:rFonts w:asciiTheme="minorHAnsi" w:hAnsiTheme="minorHAnsi" w:cstheme="minorHAnsi"/>
                <w:sz w:val="22"/>
              </w:rPr>
            </w:pPr>
          </w:p>
        </w:tc>
        <w:tc>
          <w:tcPr>
            <w:tcW w:w="4508" w:type="dxa"/>
          </w:tcPr>
          <w:p w14:paraId="2C355D8F" w14:textId="77777777" w:rsidR="00182D5B" w:rsidRPr="003471A7" w:rsidRDefault="00182D5B" w:rsidP="00182D5B">
            <w:pPr>
              <w:rPr>
                <w:rFonts w:asciiTheme="minorHAnsi" w:hAnsiTheme="minorHAnsi" w:cstheme="minorHAnsi"/>
                <w:sz w:val="22"/>
              </w:rPr>
            </w:pPr>
          </w:p>
        </w:tc>
      </w:tr>
      <w:tr w:rsidR="00182D5B" w:rsidRPr="002F7AA5" w14:paraId="40169C48" w14:textId="77777777" w:rsidTr="00705040">
        <w:tc>
          <w:tcPr>
            <w:tcW w:w="4508" w:type="dxa"/>
          </w:tcPr>
          <w:p w14:paraId="0AA6D358" w14:textId="1041C7C9" w:rsidR="00182D5B" w:rsidRPr="00EB6D2B" w:rsidRDefault="00182D5B" w:rsidP="00F35E8A">
            <w:pPr>
              <w:jc w:val="both"/>
              <w:rPr>
                <w:rFonts w:asciiTheme="minorHAnsi" w:hAnsiTheme="minorHAnsi" w:cstheme="minorHAnsi"/>
                <w:sz w:val="22"/>
                <w:lang w:val="fr-BE"/>
              </w:rPr>
            </w:pPr>
            <w:r w:rsidRPr="003471A7">
              <w:rPr>
                <w:rFonts w:asciiTheme="minorHAnsi" w:hAnsiTheme="minorHAnsi" w:cstheme="minorHAnsi"/>
                <w:sz w:val="22"/>
                <w:lang w:val="fr-FR"/>
              </w:rPr>
              <w:t>Il convient de rappeler que si un opérateur ne traite pas de données à conserver ni ne les génère, l’obligation de conserver des données est en pratique sans objet pour lui.</w:t>
            </w:r>
          </w:p>
        </w:tc>
        <w:tc>
          <w:tcPr>
            <w:tcW w:w="4508" w:type="dxa"/>
          </w:tcPr>
          <w:p w14:paraId="3D0691DD" w14:textId="469A121B"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sz w:val="22"/>
              </w:rPr>
              <w:t>Er dient te worden aan herinnerd dat indien een operator de te bewaren gegevens niet verwerkt en niet genereert, de verplichting tot gegevensbewaring in de praktijk zonder voorwerp is voor hem.</w:t>
            </w:r>
          </w:p>
        </w:tc>
      </w:tr>
      <w:tr w:rsidR="00182D5B" w:rsidRPr="002F7AA5" w14:paraId="5BD27D4C" w14:textId="77777777" w:rsidTr="00705040">
        <w:tc>
          <w:tcPr>
            <w:tcW w:w="4508" w:type="dxa"/>
          </w:tcPr>
          <w:p w14:paraId="3E765D8F" w14:textId="77777777" w:rsidR="00182D5B" w:rsidRPr="003471A7" w:rsidRDefault="00182D5B" w:rsidP="00F35E8A">
            <w:pPr>
              <w:jc w:val="both"/>
              <w:rPr>
                <w:rFonts w:asciiTheme="minorHAnsi" w:hAnsiTheme="minorHAnsi" w:cstheme="minorHAnsi"/>
                <w:sz w:val="22"/>
              </w:rPr>
            </w:pPr>
          </w:p>
        </w:tc>
        <w:tc>
          <w:tcPr>
            <w:tcW w:w="4508" w:type="dxa"/>
          </w:tcPr>
          <w:p w14:paraId="5DF003E6" w14:textId="77777777" w:rsidR="00182D5B" w:rsidRPr="003471A7" w:rsidRDefault="00182D5B" w:rsidP="00F35E8A">
            <w:pPr>
              <w:jc w:val="both"/>
              <w:rPr>
                <w:rFonts w:asciiTheme="minorHAnsi" w:hAnsiTheme="minorHAnsi" w:cstheme="minorHAnsi"/>
                <w:sz w:val="22"/>
              </w:rPr>
            </w:pPr>
          </w:p>
        </w:tc>
      </w:tr>
      <w:tr w:rsidR="00182D5B" w:rsidRPr="002F7AA5" w14:paraId="62429625" w14:textId="77777777" w:rsidTr="00705040">
        <w:tc>
          <w:tcPr>
            <w:tcW w:w="4508" w:type="dxa"/>
          </w:tcPr>
          <w:p w14:paraId="351DB848" w14:textId="6A2A5AE6" w:rsidR="00182D5B" w:rsidRPr="00EB6D2B" w:rsidRDefault="00182D5B" w:rsidP="00F35E8A">
            <w:pPr>
              <w:jc w:val="both"/>
              <w:rPr>
                <w:rFonts w:asciiTheme="minorHAnsi" w:hAnsiTheme="minorHAnsi" w:cstheme="minorHAnsi"/>
                <w:sz w:val="22"/>
                <w:lang w:val="fr-BE"/>
              </w:rPr>
            </w:pPr>
            <w:r w:rsidRPr="003471A7">
              <w:rPr>
                <w:rFonts w:asciiTheme="minorHAnsi" w:hAnsiTheme="minorHAnsi" w:cstheme="minorHAnsi"/>
                <w:spacing w:val="-3"/>
                <w:sz w:val="22"/>
                <w:lang w:val="fr-FR"/>
              </w:rPr>
              <w:t>Pour mettre en œuvre l’arrêt de la Cour constitutionnelle du 22 avril 2021 et l’arrêt Quadrature du Net de la Cour de Justice de l’Union européenne du 6 octobre 2020, ne sont plus visées dans l’article 126 de la loi télécom  que les données de souscription et les données qui sont nécessaires pour identifier l’utilisateur final,  l’équipement terminal ou l’équipement le plus proche de cet équipement terminal.</w:t>
            </w:r>
            <w:r w:rsidRPr="003471A7">
              <w:rPr>
                <w:rFonts w:asciiTheme="minorHAnsi" w:hAnsiTheme="minorHAnsi" w:cstheme="minorHAnsi"/>
                <w:sz w:val="22"/>
                <w:lang w:val="fr-FR"/>
              </w:rPr>
              <w:t xml:space="preserve"> </w:t>
            </w:r>
          </w:p>
        </w:tc>
        <w:tc>
          <w:tcPr>
            <w:tcW w:w="4508" w:type="dxa"/>
          </w:tcPr>
          <w:p w14:paraId="50337CAB" w14:textId="1C2C61E6" w:rsidR="00182D5B" w:rsidRPr="00F35E8A" w:rsidRDefault="00182D5B" w:rsidP="00F35E8A">
            <w:pPr>
              <w:jc w:val="both"/>
              <w:rPr>
                <w:rFonts w:asciiTheme="minorHAnsi" w:hAnsiTheme="minorHAnsi" w:cstheme="minorHAnsi"/>
                <w:spacing w:val="-3"/>
                <w:sz w:val="22"/>
              </w:rPr>
            </w:pPr>
            <w:r w:rsidRPr="003471A7">
              <w:rPr>
                <w:rFonts w:asciiTheme="minorHAnsi" w:hAnsiTheme="minorHAnsi" w:cstheme="minorHAnsi"/>
                <w:sz w:val="22"/>
              </w:rPr>
              <w:t>Voor de tenuitvoerlegging van het arrest van het Grondwettelijk Hof van 22 april 2021 en het arrest-</w:t>
            </w:r>
            <w:proofErr w:type="spellStart"/>
            <w:r w:rsidRPr="003471A7">
              <w:rPr>
                <w:rFonts w:asciiTheme="minorHAnsi" w:hAnsiTheme="minorHAnsi" w:cstheme="minorHAnsi"/>
                <w:sz w:val="22"/>
              </w:rPr>
              <w:t>Quadrature</w:t>
            </w:r>
            <w:proofErr w:type="spellEnd"/>
            <w:r w:rsidRPr="003471A7">
              <w:rPr>
                <w:rFonts w:asciiTheme="minorHAnsi" w:hAnsiTheme="minorHAnsi" w:cstheme="minorHAnsi"/>
                <w:sz w:val="22"/>
              </w:rPr>
              <w:t xml:space="preserve"> du Net van het Europees Hof van Justitie van 6 oktober 2020 worden in artikel 126 van de telecomwet enkel nog de abonnementsgegevens en gegevens die noodzakelijk zijn voor de identificatie van de eindgebruiker, de eindapparatuur of de apparatuur die zich het dichtst bij deze eindapparatuur bevindt, beoogd.</w:t>
            </w:r>
          </w:p>
        </w:tc>
      </w:tr>
      <w:tr w:rsidR="00182D5B" w:rsidRPr="002F7AA5" w14:paraId="7447B533" w14:textId="77777777" w:rsidTr="00705040">
        <w:tc>
          <w:tcPr>
            <w:tcW w:w="4508" w:type="dxa"/>
          </w:tcPr>
          <w:p w14:paraId="2F86E41B" w14:textId="77777777" w:rsidR="00182D5B" w:rsidRPr="003471A7" w:rsidRDefault="00182D5B" w:rsidP="00182D5B">
            <w:pPr>
              <w:rPr>
                <w:rFonts w:asciiTheme="minorHAnsi" w:hAnsiTheme="minorHAnsi" w:cstheme="minorHAnsi"/>
                <w:sz w:val="22"/>
              </w:rPr>
            </w:pPr>
          </w:p>
        </w:tc>
        <w:tc>
          <w:tcPr>
            <w:tcW w:w="4508" w:type="dxa"/>
          </w:tcPr>
          <w:p w14:paraId="64E9B167" w14:textId="77777777" w:rsidR="00182D5B" w:rsidRPr="003471A7" w:rsidRDefault="00182D5B" w:rsidP="00182D5B">
            <w:pPr>
              <w:rPr>
                <w:rFonts w:asciiTheme="minorHAnsi" w:hAnsiTheme="minorHAnsi" w:cstheme="minorHAnsi"/>
                <w:sz w:val="22"/>
              </w:rPr>
            </w:pPr>
          </w:p>
        </w:tc>
      </w:tr>
      <w:tr w:rsidR="00182D5B" w:rsidRPr="002F7AA5" w14:paraId="4B7CFE94" w14:textId="77777777" w:rsidTr="00705040">
        <w:tc>
          <w:tcPr>
            <w:tcW w:w="4508" w:type="dxa"/>
          </w:tcPr>
          <w:p w14:paraId="7DFF5E3C" w14:textId="202576D0" w:rsidR="00182D5B" w:rsidRPr="00EB6D2B" w:rsidRDefault="00182D5B" w:rsidP="00F35E8A">
            <w:pPr>
              <w:jc w:val="both"/>
              <w:rPr>
                <w:rFonts w:asciiTheme="minorHAnsi" w:hAnsiTheme="minorHAnsi" w:cstheme="minorHAnsi"/>
                <w:sz w:val="22"/>
                <w:lang w:val="fr-BE"/>
              </w:rPr>
            </w:pPr>
            <w:bookmarkStart w:id="11" w:name="_Hlk94793855"/>
            <w:bookmarkStart w:id="12" w:name="_Toc94810958"/>
            <w:bookmarkStart w:id="13" w:name="_Toc94811180"/>
            <w:r w:rsidRPr="00EB6D2B">
              <w:rPr>
                <w:rFonts w:asciiTheme="minorHAnsi" w:hAnsiTheme="minorHAnsi" w:cstheme="minorHAnsi"/>
                <w:sz w:val="22"/>
                <w:lang w:val="fr-BE"/>
              </w:rPr>
              <w:t>À l’instar des données énumérées à l’article 126/2, § 2, le présent article reprend et adapte les données précédemment listées aux paragraphes 1</w:t>
            </w:r>
            <w:r w:rsidRPr="00EB6D2B">
              <w:rPr>
                <w:rFonts w:asciiTheme="minorHAnsi" w:hAnsiTheme="minorHAnsi" w:cstheme="minorHAnsi"/>
                <w:sz w:val="22"/>
                <w:vertAlign w:val="superscript"/>
                <w:lang w:val="fr-BE"/>
              </w:rPr>
              <w:t>er</w:t>
            </w:r>
            <w:r w:rsidRPr="00EB6D2B">
              <w:rPr>
                <w:rFonts w:asciiTheme="minorHAnsi" w:hAnsiTheme="minorHAnsi" w:cstheme="minorHAnsi"/>
                <w:sz w:val="22"/>
                <w:lang w:val="fr-BE"/>
              </w:rPr>
              <w:t xml:space="preserve"> des articles 3 à 6 de l’arrêté royal du 19 septembre 2013 non plus au moyen de listes de données distinctes par type de service de communication électronique (téléphone fixe, téléphonie mobile, service d’accès à internet, service de courrier électronique et service de téléphonie par </w:t>
            </w:r>
            <w:r w:rsidRPr="00EB6D2B">
              <w:rPr>
                <w:rFonts w:asciiTheme="minorHAnsi" w:hAnsiTheme="minorHAnsi" w:cstheme="minorHAnsi"/>
                <w:sz w:val="22"/>
                <w:lang w:val="fr-BE"/>
              </w:rPr>
              <w:lastRenderedPageBreak/>
              <w:t>internet), mais au moyen d’une seule liste de données commune pour l’ensemble de ces services.  Une liste commune se justifie compte tenu de la convergence croissante des services de communications électroniques et de l’extension de cette dernière notion, ainsi que de la notion d’opérateur aux acteurs OTT, à la suite de la transposition dans la loi télécom du  Code  des communications électroniques européen (Directive (UE) 2018/1972 du Parlement européen et du Conseil du 11 décembre 2018 établissant le code des communications électroniques européen).  Il incombe dès lors à l’opérateur de vérifier quelles données de cette liste sont traitées ou générées par lui dans le cadre des services ou réseaux qu’il offre.  Cette vérification doit être effectuée pour chaque type de service offert par l’opérateur, de sorte que l’ensemble des données pertinentes soient conservées pour chaque service et pour chaque utilisateur final.</w:t>
            </w:r>
            <w:bookmarkEnd w:id="11"/>
            <w:bookmarkEnd w:id="12"/>
            <w:bookmarkEnd w:id="13"/>
          </w:p>
        </w:tc>
        <w:tc>
          <w:tcPr>
            <w:tcW w:w="4508" w:type="dxa"/>
          </w:tcPr>
          <w:p w14:paraId="48CF159D" w14:textId="3783CCF0"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sz w:val="22"/>
              </w:rPr>
              <w:lastRenderedPageBreak/>
              <w:t xml:space="preserve">Naar het voorbeeld van de gegevens opgesomd in artikel 126/2, § 2, neemt het onderhavige artikel de gegevens over die voordien waren opgesomd in de paragrafen 1 van de artikelen 3 tot 6 van het koninklijk besluit van 19 september 2013 en past deze aan, niet langer door middel van afzonderlijke lijsten van gegevens per categorie van elektronische-communicatiedienst (vaste telefonie, mobiele telefonie, internettoegangsdienst, e-maildienst </w:t>
            </w:r>
            <w:r w:rsidRPr="003471A7">
              <w:rPr>
                <w:rFonts w:asciiTheme="minorHAnsi" w:hAnsiTheme="minorHAnsi" w:cstheme="minorHAnsi"/>
                <w:sz w:val="22"/>
              </w:rPr>
              <w:lastRenderedPageBreak/>
              <w:t>via internet en een internettelefoniedienst), maar door middel van een enkele gemeenschappelijke lijst van gegevens voor al die diensten.  Een gemeenschappelijke lijst is gerechtvaardigd rekening houdend met de toenemende convergentie van de elektronische-communicatiediensten en met de uitbreiding van dat laatste begrip alsook van het begrip operator naar de OTT-spelers naar aanleiding van de omzetting in de telecomwet van het Europees wetboek voor elektronische communicatie (Richtlijn (EU) 2018/1972 van het Europees Parlement en de Raad van 11 december 2018 tot vaststelling van het Europees wetboek voor elektronische communicatie).  Het is dus de verantwoordelijkheid van de operator om te verifiëren welke gegevens van die lijst verwerkt of gegenereerd zijn door hem in het kader van de diensten of netwerken die hij aanbiedt.  Die verificatie moet worden uitgevoerd voor elk type van dienst die door de operator aangeboden wordt, zodat alle relevante gegevens bewaard worden voor elke dienst en voor elke eindgebruiker.</w:t>
            </w:r>
          </w:p>
        </w:tc>
      </w:tr>
      <w:tr w:rsidR="00182D5B" w:rsidRPr="002F7AA5" w14:paraId="73977C0D" w14:textId="77777777" w:rsidTr="00705040">
        <w:tc>
          <w:tcPr>
            <w:tcW w:w="4508" w:type="dxa"/>
          </w:tcPr>
          <w:p w14:paraId="153F45BD" w14:textId="77777777" w:rsidR="00182D5B" w:rsidRPr="003471A7" w:rsidRDefault="00182D5B" w:rsidP="00182D5B">
            <w:pPr>
              <w:rPr>
                <w:rFonts w:asciiTheme="minorHAnsi" w:hAnsiTheme="minorHAnsi" w:cstheme="minorHAnsi"/>
                <w:sz w:val="22"/>
              </w:rPr>
            </w:pPr>
          </w:p>
        </w:tc>
        <w:tc>
          <w:tcPr>
            <w:tcW w:w="4508" w:type="dxa"/>
          </w:tcPr>
          <w:p w14:paraId="3763328F" w14:textId="77777777" w:rsidR="00182D5B" w:rsidRPr="003471A7" w:rsidRDefault="00182D5B" w:rsidP="00182D5B">
            <w:pPr>
              <w:rPr>
                <w:rFonts w:asciiTheme="minorHAnsi" w:hAnsiTheme="minorHAnsi" w:cstheme="minorHAnsi"/>
                <w:sz w:val="22"/>
              </w:rPr>
            </w:pPr>
          </w:p>
        </w:tc>
      </w:tr>
      <w:tr w:rsidR="00182D5B" w:rsidRPr="002F7AA5" w14:paraId="6E601031" w14:textId="77777777" w:rsidTr="00705040">
        <w:tc>
          <w:tcPr>
            <w:tcW w:w="4508" w:type="dxa"/>
          </w:tcPr>
          <w:p w14:paraId="157EF257" w14:textId="4D0548FB" w:rsidR="00182D5B" w:rsidRPr="00EB6D2B" w:rsidRDefault="00182D5B" w:rsidP="00F35E8A">
            <w:pPr>
              <w:jc w:val="both"/>
              <w:rPr>
                <w:rFonts w:asciiTheme="minorHAnsi" w:hAnsiTheme="minorHAnsi" w:cstheme="minorHAnsi"/>
                <w:sz w:val="22"/>
                <w:u w:val="single"/>
                <w:lang w:val="fr-BE"/>
              </w:rPr>
            </w:pPr>
            <w:bookmarkStart w:id="14" w:name="_Hlk94793884"/>
            <w:bookmarkStart w:id="15" w:name="_Toc94811181"/>
            <w:r w:rsidRPr="00EB6D2B">
              <w:rPr>
                <w:rFonts w:asciiTheme="minorHAnsi" w:hAnsiTheme="minorHAnsi" w:cstheme="minorHAnsi"/>
                <w:sz w:val="22"/>
                <w:u w:val="single"/>
                <w:lang w:val="fr-BE"/>
              </w:rPr>
              <w:t xml:space="preserve">Le numéro de Registre national ou un numéro équivalent, </w:t>
            </w:r>
            <w:bookmarkEnd w:id="14"/>
            <w:r w:rsidRPr="00EB6D2B">
              <w:rPr>
                <w:rFonts w:asciiTheme="minorHAnsi" w:hAnsiTheme="minorHAnsi" w:cstheme="minorHAnsi"/>
                <w:sz w:val="22"/>
                <w:u w:val="single"/>
                <w:lang w:val="fr-BE"/>
              </w:rPr>
              <w:t>le nom et le prénom de l’utilisateur final qui est une personne physique ou la dénomination de l’abonné qui est une personne morale (1°)</w:t>
            </w:r>
            <w:bookmarkEnd w:id="15"/>
            <w:r w:rsidRPr="00EB6D2B">
              <w:rPr>
                <w:rFonts w:asciiTheme="minorHAnsi" w:hAnsiTheme="minorHAnsi" w:cstheme="minorHAnsi"/>
                <w:sz w:val="22"/>
                <w:u w:val="single"/>
                <w:lang w:val="fr-BE"/>
              </w:rPr>
              <w:t xml:space="preserve"> </w:t>
            </w:r>
          </w:p>
        </w:tc>
        <w:tc>
          <w:tcPr>
            <w:tcW w:w="4508" w:type="dxa"/>
          </w:tcPr>
          <w:p w14:paraId="4223B192" w14:textId="3418D8A7" w:rsidR="00182D5B" w:rsidRPr="00F35E8A" w:rsidRDefault="00182D5B" w:rsidP="00F35E8A">
            <w:pPr>
              <w:jc w:val="both"/>
              <w:rPr>
                <w:rFonts w:asciiTheme="minorHAnsi" w:hAnsiTheme="minorHAnsi" w:cstheme="minorHAnsi"/>
                <w:sz w:val="22"/>
                <w:u w:val="single"/>
              </w:rPr>
            </w:pPr>
            <w:r w:rsidRPr="00F35E8A">
              <w:rPr>
                <w:rFonts w:asciiTheme="minorHAnsi" w:hAnsiTheme="minorHAnsi" w:cstheme="minorHAnsi"/>
                <w:sz w:val="22"/>
                <w:u w:val="single"/>
              </w:rPr>
              <w:t>Het rijksregisternummer of een equivalent nummer, de naam en voornaam van de eindgebruiker die een natuurlijke persoon is of de naam van de abonnee die een rechtspersoon is (1°)</w:t>
            </w:r>
          </w:p>
        </w:tc>
      </w:tr>
      <w:tr w:rsidR="00182D5B" w:rsidRPr="002F7AA5" w14:paraId="7CC1D172" w14:textId="77777777" w:rsidTr="00705040">
        <w:tc>
          <w:tcPr>
            <w:tcW w:w="4508" w:type="dxa"/>
          </w:tcPr>
          <w:p w14:paraId="765A260D" w14:textId="77777777" w:rsidR="00182D5B" w:rsidRPr="003471A7" w:rsidRDefault="00182D5B" w:rsidP="00F35E8A">
            <w:pPr>
              <w:jc w:val="both"/>
              <w:rPr>
                <w:rFonts w:asciiTheme="minorHAnsi" w:hAnsiTheme="minorHAnsi" w:cstheme="minorHAnsi"/>
                <w:sz w:val="22"/>
              </w:rPr>
            </w:pPr>
          </w:p>
        </w:tc>
        <w:tc>
          <w:tcPr>
            <w:tcW w:w="4508" w:type="dxa"/>
          </w:tcPr>
          <w:p w14:paraId="7B72C378" w14:textId="77777777" w:rsidR="00182D5B" w:rsidRPr="003471A7" w:rsidRDefault="00182D5B" w:rsidP="00F35E8A">
            <w:pPr>
              <w:jc w:val="both"/>
              <w:rPr>
                <w:rFonts w:asciiTheme="minorHAnsi" w:hAnsiTheme="minorHAnsi" w:cstheme="minorHAnsi"/>
                <w:sz w:val="22"/>
              </w:rPr>
            </w:pPr>
          </w:p>
        </w:tc>
      </w:tr>
      <w:tr w:rsidR="00182D5B" w:rsidRPr="002F7AA5" w14:paraId="33B55FB2" w14:textId="77777777" w:rsidTr="00705040">
        <w:tc>
          <w:tcPr>
            <w:tcW w:w="4508" w:type="dxa"/>
          </w:tcPr>
          <w:p w14:paraId="328CF02F" w14:textId="225B22B3" w:rsidR="00182D5B" w:rsidRPr="00EB6D2B" w:rsidRDefault="00182D5B" w:rsidP="00F35E8A">
            <w:pPr>
              <w:jc w:val="both"/>
              <w:rPr>
                <w:rFonts w:asciiTheme="minorHAnsi" w:hAnsiTheme="minorHAnsi" w:cstheme="minorHAnsi"/>
                <w:sz w:val="22"/>
                <w:lang w:val="fr-BE"/>
              </w:rPr>
            </w:pPr>
            <w:r w:rsidRPr="003471A7">
              <w:rPr>
                <w:rFonts w:asciiTheme="minorHAnsi" w:hAnsiTheme="minorHAnsi" w:cstheme="minorHAnsi"/>
                <w:sz w:val="22"/>
                <w:lang w:val="fr-BE"/>
              </w:rPr>
              <w:t xml:space="preserve">La notion d'utilisateur final (article 2, 13°, de la loi télécom) inclut la notion d'abonné (article 2, 15°, de la loi télécom), soit la personne qui conclut le contrat avec l’opérateur, et l’utilisateur effectif du service. </w:t>
            </w:r>
          </w:p>
        </w:tc>
        <w:tc>
          <w:tcPr>
            <w:tcW w:w="4508" w:type="dxa"/>
          </w:tcPr>
          <w:p w14:paraId="63E718F5" w14:textId="1D4EE620"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sz w:val="22"/>
              </w:rPr>
              <w:t>Het begrip eindgebruiker (artikel 2, 13°, van de telecomwet) omvat het begrip abonnee (artikel 2, 15°, van de telecomwet), ofwel de persoon die het contract met de operator sluit en de effectieve gebruiker van de dienst.</w:t>
            </w:r>
          </w:p>
        </w:tc>
      </w:tr>
      <w:tr w:rsidR="00182D5B" w:rsidRPr="002F7AA5" w14:paraId="1193F5AA" w14:textId="77777777" w:rsidTr="00705040">
        <w:tc>
          <w:tcPr>
            <w:tcW w:w="4508" w:type="dxa"/>
          </w:tcPr>
          <w:p w14:paraId="502510B2" w14:textId="77777777" w:rsidR="00182D5B" w:rsidRPr="003471A7" w:rsidRDefault="00182D5B" w:rsidP="00F35E8A">
            <w:pPr>
              <w:jc w:val="both"/>
              <w:rPr>
                <w:rFonts w:asciiTheme="minorHAnsi" w:hAnsiTheme="minorHAnsi" w:cstheme="minorHAnsi"/>
                <w:sz w:val="22"/>
              </w:rPr>
            </w:pPr>
          </w:p>
        </w:tc>
        <w:tc>
          <w:tcPr>
            <w:tcW w:w="4508" w:type="dxa"/>
          </w:tcPr>
          <w:p w14:paraId="38FE5F1F" w14:textId="77777777" w:rsidR="00182D5B" w:rsidRPr="003471A7" w:rsidRDefault="00182D5B" w:rsidP="00F35E8A">
            <w:pPr>
              <w:jc w:val="both"/>
              <w:rPr>
                <w:rFonts w:asciiTheme="minorHAnsi" w:hAnsiTheme="minorHAnsi" w:cstheme="minorHAnsi"/>
                <w:sz w:val="22"/>
              </w:rPr>
            </w:pPr>
          </w:p>
        </w:tc>
      </w:tr>
      <w:tr w:rsidR="00182D5B" w:rsidRPr="002F7AA5" w14:paraId="1FA79487" w14:textId="77777777" w:rsidTr="00705040">
        <w:tc>
          <w:tcPr>
            <w:tcW w:w="4508" w:type="dxa"/>
          </w:tcPr>
          <w:p w14:paraId="74444695" w14:textId="139E7379" w:rsidR="00182D5B" w:rsidRPr="00EB6D2B" w:rsidRDefault="00182D5B" w:rsidP="00F35E8A">
            <w:pPr>
              <w:jc w:val="both"/>
              <w:rPr>
                <w:rFonts w:asciiTheme="minorHAnsi" w:hAnsiTheme="minorHAnsi" w:cstheme="minorHAnsi"/>
                <w:sz w:val="22"/>
                <w:lang w:val="fr-BE"/>
              </w:rPr>
            </w:pPr>
            <w:r w:rsidRPr="003471A7">
              <w:rPr>
                <w:rFonts w:asciiTheme="minorHAnsi" w:hAnsiTheme="minorHAnsi" w:cstheme="minorHAnsi"/>
                <w:sz w:val="22"/>
                <w:lang w:val="fr-BE"/>
              </w:rPr>
              <w:t xml:space="preserve">Les données reprises sous 1° ne seront pas nécessairement conservées dans le cadre de l’article 127 de la loi télécom (en particulier si  l’opérateur permet uniquement aux autorités de retrouver l’identité de ses abonnés). </w:t>
            </w:r>
          </w:p>
        </w:tc>
        <w:tc>
          <w:tcPr>
            <w:tcW w:w="4508" w:type="dxa"/>
          </w:tcPr>
          <w:p w14:paraId="7A54BB6F" w14:textId="40C0A5F3" w:rsidR="00182D5B" w:rsidRPr="003471A7" w:rsidRDefault="00182D5B" w:rsidP="00F35E8A">
            <w:pPr>
              <w:jc w:val="both"/>
              <w:rPr>
                <w:rFonts w:asciiTheme="minorHAnsi" w:hAnsiTheme="minorHAnsi" w:cstheme="minorHAnsi"/>
                <w:sz w:val="22"/>
              </w:rPr>
            </w:pPr>
            <w:r w:rsidRPr="003471A7">
              <w:rPr>
                <w:rFonts w:asciiTheme="minorHAnsi" w:hAnsiTheme="minorHAnsi" w:cstheme="minorHAnsi"/>
                <w:sz w:val="22"/>
              </w:rPr>
              <w:t>De gegevens vermeld onder 1° zullen niet noodzakelijk bewaard worden in het kader van artikel 127 van de telecomwet (in het bijzonder indien de operator het slechts mogelijk maakt om de identiteit van zijn abonnees terug te vinden).</w:t>
            </w:r>
          </w:p>
        </w:tc>
      </w:tr>
      <w:tr w:rsidR="00182D5B" w:rsidRPr="002F7AA5" w14:paraId="1E46F265" w14:textId="77777777" w:rsidTr="00705040">
        <w:tc>
          <w:tcPr>
            <w:tcW w:w="4508" w:type="dxa"/>
          </w:tcPr>
          <w:p w14:paraId="169C7D64" w14:textId="77777777" w:rsidR="00182D5B" w:rsidRPr="003471A7" w:rsidRDefault="00182D5B" w:rsidP="00182D5B">
            <w:pPr>
              <w:rPr>
                <w:rFonts w:asciiTheme="minorHAnsi" w:hAnsiTheme="minorHAnsi" w:cstheme="minorHAnsi"/>
                <w:sz w:val="22"/>
              </w:rPr>
            </w:pPr>
          </w:p>
        </w:tc>
        <w:tc>
          <w:tcPr>
            <w:tcW w:w="4508" w:type="dxa"/>
          </w:tcPr>
          <w:p w14:paraId="0C83259F" w14:textId="77777777" w:rsidR="00182D5B" w:rsidRPr="003471A7" w:rsidRDefault="00182D5B" w:rsidP="00182D5B">
            <w:pPr>
              <w:rPr>
                <w:rFonts w:asciiTheme="minorHAnsi" w:hAnsiTheme="minorHAnsi" w:cstheme="minorHAnsi"/>
                <w:sz w:val="22"/>
              </w:rPr>
            </w:pPr>
          </w:p>
        </w:tc>
      </w:tr>
      <w:tr w:rsidR="00182D5B" w:rsidRPr="002F7AA5" w14:paraId="54864CFA" w14:textId="77777777" w:rsidTr="00705040">
        <w:tc>
          <w:tcPr>
            <w:tcW w:w="4508" w:type="dxa"/>
          </w:tcPr>
          <w:p w14:paraId="22CDD7EC" w14:textId="57FFA989" w:rsidR="00182D5B" w:rsidRPr="00EB6D2B" w:rsidRDefault="00182D5B" w:rsidP="00F35E8A">
            <w:pPr>
              <w:jc w:val="both"/>
              <w:rPr>
                <w:rFonts w:asciiTheme="minorHAnsi" w:hAnsiTheme="minorHAnsi" w:cstheme="minorHAnsi"/>
                <w:sz w:val="22"/>
                <w:u w:val="single"/>
                <w:lang w:val="fr-BE"/>
              </w:rPr>
            </w:pPr>
            <w:bookmarkStart w:id="16" w:name="_Toc94811182"/>
            <w:r w:rsidRPr="00EB6D2B">
              <w:rPr>
                <w:rFonts w:asciiTheme="minorHAnsi" w:hAnsiTheme="minorHAnsi" w:cstheme="minorHAnsi"/>
                <w:sz w:val="22"/>
                <w:u w:val="single"/>
                <w:lang w:val="fr-BE"/>
              </w:rPr>
              <w:t>Les données complémentaires qui permettent de vérifier l’identité de l’abonné ou de retrouver l’utilisateur effectif du service</w:t>
            </w:r>
            <w:bookmarkEnd w:id="16"/>
            <w:r w:rsidRPr="00EB6D2B">
              <w:rPr>
                <w:rFonts w:asciiTheme="minorHAnsi" w:hAnsiTheme="minorHAnsi" w:cstheme="minorHAnsi"/>
                <w:sz w:val="22"/>
                <w:u w:val="single"/>
                <w:lang w:val="fr-BE"/>
              </w:rPr>
              <w:t xml:space="preserve"> </w:t>
            </w:r>
          </w:p>
        </w:tc>
        <w:tc>
          <w:tcPr>
            <w:tcW w:w="4508" w:type="dxa"/>
          </w:tcPr>
          <w:p w14:paraId="4DE13A4C" w14:textId="75D86809" w:rsidR="00182D5B" w:rsidRPr="00F35E8A" w:rsidRDefault="00182D5B" w:rsidP="00F35E8A">
            <w:pPr>
              <w:jc w:val="both"/>
              <w:rPr>
                <w:rFonts w:asciiTheme="minorHAnsi" w:hAnsiTheme="minorHAnsi" w:cstheme="minorHAnsi"/>
                <w:sz w:val="22"/>
                <w:u w:val="single"/>
              </w:rPr>
            </w:pPr>
            <w:r w:rsidRPr="00F35E8A">
              <w:rPr>
                <w:rFonts w:asciiTheme="minorHAnsi" w:hAnsiTheme="minorHAnsi" w:cstheme="minorHAnsi"/>
                <w:sz w:val="22"/>
                <w:u w:val="single"/>
              </w:rPr>
              <w:t>De aanvullende gegevens die het mogelijk maken de identiteit van de abonnee te verifiëren of de effectieve gebruiker van de dienst terug te vinden</w:t>
            </w:r>
          </w:p>
        </w:tc>
      </w:tr>
      <w:tr w:rsidR="00182D5B" w:rsidRPr="002F7AA5" w14:paraId="5DD14A27" w14:textId="77777777" w:rsidTr="00705040">
        <w:tc>
          <w:tcPr>
            <w:tcW w:w="4508" w:type="dxa"/>
          </w:tcPr>
          <w:p w14:paraId="3F43E4B8" w14:textId="77777777" w:rsidR="00182D5B" w:rsidRPr="003471A7" w:rsidRDefault="00182D5B" w:rsidP="00182D5B">
            <w:pPr>
              <w:rPr>
                <w:rFonts w:asciiTheme="minorHAnsi" w:hAnsiTheme="minorHAnsi" w:cstheme="minorHAnsi"/>
                <w:sz w:val="22"/>
              </w:rPr>
            </w:pPr>
          </w:p>
        </w:tc>
        <w:tc>
          <w:tcPr>
            <w:tcW w:w="4508" w:type="dxa"/>
          </w:tcPr>
          <w:p w14:paraId="2AAA2EC7" w14:textId="77777777" w:rsidR="00182D5B" w:rsidRPr="003471A7" w:rsidRDefault="00182D5B" w:rsidP="00182D5B">
            <w:pPr>
              <w:rPr>
                <w:rFonts w:asciiTheme="minorHAnsi" w:hAnsiTheme="minorHAnsi" w:cstheme="minorHAnsi"/>
                <w:sz w:val="22"/>
              </w:rPr>
            </w:pPr>
          </w:p>
        </w:tc>
      </w:tr>
      <w:tr w:rsidR="00182D5B" w:rsidRPr="002F7AA5" w14:paraId="1A907562" w14:textId="77777777" w:rsidTr="00705040">
        <w:tc>
          <w:tcPr>
            <w:tcW w:w="4508" w:type="dxa"/>
          </w:tcPr>
          <w:p w14:paraId="702F3F76" w14:textId="77777777" w:rsidR="00182D5B" w:rsidRPr="003471A7" w:rsidRDefault="00182D5B" w:rsidP="00D80017">
            <w:pPr>
              <w:jc w:val="both"/>
              <w:rPr>
                <w:rFonts w:asciiTheme="minorHAnsi" w:hAnsiTheme="minorHAnsi" w:cstheme="minorHAnsi"/>
                <w:sz w:val="22"/>
                <w:lang w:val="fr-BE"/>
              </w:rPr>
            </w:pPr>
            <w:r w:rsidRPr="003471A7">
              <w:rPr>
                <w:rFonts w:asciiTheme="minorHAnsi" w:hAnsiTheme="minorHAnsi" w:cstheme="minorHAnsi"/>
                <w:sz w:val="22"/>
                <w:lang w:val="fr-BE"/>
              </w:rPr>
              <w:lastRenderedPageBreak/>
              <w:t xml:space="preserve">L’article 127 oblige les opérateurs à identifier leurs abonnés ou à permettre aux autorités de retrouver cette identité. Cependant, la pratique montre que des personnes mal intentionnées parviennent à s’identifier : </w:t>
            </w:r>
          </w:p>
          <w:p w14:paraId="4116AD68" w14:textId="77777777" w:rsidR="00182D5B" w:rsidRPr="003471A7" w:rsidRDefault="00182D5B" w:rsidP="00D80017">
            <w:pPr>
              <w:jc w:val="both"/>
              <w:rPr>
                <w:rFonts w:asciiTheme="minorHAnsi" w:hAnsiTheme="minorHAnsi" w:cstheme="minorHAnsi"/>
                <w:sz w:val="22"/>
                <w:lang w:val="fr-BE"/>
              </w:rPr>
            </w:pPr>
          </w:p>
        </w:tc>
        <w:tc>
          <w:tcPr>
            <w:tcW w:w="4508" w:type="dxa"/>
          </w:tcPr>
          <w:p w14:paraId="1E07568F" w14:textId="6DB46A33" w:rsidR="00182D5B" w:rsidRPr="003471A7" w:rsidRDefault="007A11EF" w:rsidP="00D80017">
            <w:pPr>
              <w:jc w:val="both"/>
              <w:rPr>
                <w:rFonts w:asciiTheme="minorHAnsi" w:hAnsiTheme="minorHAnsi" w:cstheme="minorHAnsi"/>
                <w:sz w:val="22"/>
              </w:rPr>
            </w:pPr>
            <w:r w:rsidRPr="003471A7">
              <w:rPr>
                <w:rFonts w:asciiTheme="minorHAnsi" w:hAnsiTheme="minorHAnsi" w:cstheme="minorHAnsi"/>
                <w:sz w:val="22"/>
              </w:rPr>
              <w:t xml:space="preserve">Artikel 127 verplicht de operatoren hun abonnees te identificeren of om het aan de autoriteiten mogelijk te maken die identiteit terug te vinden. De praktijk toont echter aan dat personen met kwaadwillige intenties erin slagen zich te identificeren: </w:t>
            </w:r>
          </w:p>
        </w:tc>
      </w:tr>
      <w:tr w:rsidR="00182D5B" w:rsidRPr="002F7AA5" w14:paraId="2EBB0C24" w14:textId="77777777" w:rsidTr="00705040">
        <w:tc>
          <w:tcPr>
            <w:tcW w:w="4508" w:type="dxa"/>
          </w:tcPr>
          <w:p w14:paraId="32F3E461" w14:textId="77777777" w:rsidR="00182D5B" w:rsidRPr="003471A7" w:rsidRDefault="00182D5B" w:rsidP="00D80017">
            <w:pPr>
              <w:jc w:val="both"/>
              <w:rPr>
                <w:rFonts w:asciiTheme="minorHAnsi" w:hAnsiTheme="minorHAnsi" w:cstheme="minorHAnsi"/>
                <w:sz w:val="22"/>
              </w:rPr>
            </w:pPr>
          </w:p>
        </w:tc>
        <w:tc>
          <w:tcPr>
            <w:tcW w:w="4508" w:type="dxa"/>
          </w:tcPr>
          <w:p w14:paraId="518D246B" w14:textId="77777777" w:rsidR="00182D5B" w:rsidRPr="003471A7" w:rsidRDefault="00182D5B" w:rsidP="00D80017">
            <w:pPr>
              <w:jc w:val="both"/>
              <w:rPr>
                <w:rFonts w:asciiTheme="minorHAnsi" w:hAnsiTheme="minorHAnsi" w:cstheme="minorHAnsi"/>
                <w:sz w:val="22"/>
              </w:rPr>
            </w:pPr>
          </w:p>
        </w:tc>
      </w:tr>
      <w:tr w:rsidR="00182D5B" w:rsidRPr="002F7AA5" w14:paraId="5FD5D725" w14:textId="77777777" w:rsidTr="00705040">
        <w:tc>
          <w:tcPr>
            <w:tcW w:w="4508" w:type="dxa"/>
          </w:tcPr>
          <w:p w14:paraId="58CD90CD" w14:textId="14CB6471" w:rsidR="00182D5B" w:rsidRPr="00F35E8A" w:rsidRDefault="00182D5B" w:rsidP="00D80017">
            <w:pPr>
              <w:pStyle w:val="Lijstalinea"/>
              <w:numPr>
                <w:ilvl w:val="0"/>
                <w:numId w:val="2"/>
              </w:numPr>
              <w:jc w:val="both"/>
              <w:rPr>
                <w:rFonts w:asciiTheme="minorHAnsi" w:hAnsiTheme="minorHAnsi" w:cstheme="minorHAnsi"/>
                <w:sz w:val="22"/>
                <w:lang w:val="fr-BE"/>
              </w:rPr>
            </w:pPr>
            <w:r w:rsidRPr="003471A7">
              <w:rPr>
                <w:rFonts w:asciiTheme="minorHAnsi" w:hAnsiTheme="minorHAnsi" w:cstheme="minorHAnsi"/>
                <w:sz w:val="22"/>
                <w:lang w:val="fr-BE"/>
              </w:rPr>
              <w:t>sous un faux nom, à savoir un nom qui n’est pas le leur ; dans  certain</w:t>
            </w:r>
            <w:r w:rsidR="00D80017">
              <w:rPr>
                <w:rFonts w:asciiTheme="minorHAnsi" w:hAnsiTheme="minorHAnsi" w:cstheme="minorHAnsi"/>
                <w:sz w:val="22"/>
                <w:lang w:val="fr-BE"/>
              </w:rPr>
              <w:t>s</w:t>
            </w:r>
            <w:r w:rsidRPr="003471A7">
              <w:rPr>
                <w:rFonts w:asciiTheme="minorHAnsi" w:hAnsiTheme="minorHAnsi" w:cstheme="minorHAnsi"/>
                <w:sz w:val="22"/>
                <w:lang w:val="fr-BE"/>
              </w:rPr>
              <w:t xml:space="preserve"> cas, il sera manifeste qu’il s’agit d’un faux nom (par exemple car le nom correspond à une personne célèbre, fictive ou pas) mais pas toujours (car le nom renseigné est crédible) ; </w:t>
            </w:r>
          </w:p>
        </w:tc>
        <w:tc>
          <w:tcPr>
            <w:tcW w:w="4508" w:type="dxa"/>
          </w:tcPr>
          <w:p w14:paraId="6138EC80" w14:textId="37A720A8" w:rsidR="00182D5B" w:rsidRPr="00F35E8A" w:rsidRDefault="007A11EF" w:rsidP="00D80017">
            <w:pPr>
              <w:pStyle w:val="Lijstalinea"/>
              <w:numPr>
                <w:ilvl w:val="0"/>
                <w:numId w:val="2"/>
              </w:numPr>
              <w:jc w:val="both"/>
              <w:rPr>
                <w:rFonts w:asciiTheme="minorHAnsi" w:hAnsiTheme="minorHAnsi" w:cstheme="minorHAnsi"/>
                <w:sz w:val="22"/>
              </w:rPr>
            </w:pPr>
            <w:r w:rsidRPr="003471A7">
              <w:rPr>
                <w:rFonts w:asciiTheme="minorHAnsi" w:hAnsiTheme="minorHAnsi" w:cstheme="minorHAnsi"/>
                <w:sz w:val="22"/>
              </w:rPr>
              <w:t xml:space="preserve">onder een valse naam, namelijk een naam die niet van hen is; in sommige gevallen zal het duidelijk zijn dat het om een valse naam gaat (bijvoorbeeld omdat de naam overeenstemt met een beroemde persoon, al dan niet fictief), maar niet altijd (omdat de vermelde naam geloofwaardig is); </w:t>
            </w:r>
          </w:p>
        </w:tc>
      </w:tr>
      <w:tr w:rsidR="00182D5B" w:rsidRPr="002F7AA5" w14:paraId="5A45AC31" w14:textId="77777777" w:rsidTr="00705040">
        <w:tc>
          <w:tcPr>
            <w:tcW w:w="4508" w:type="dxa"/>
          </w:tcPr>
          <w:p w14:paraId="29AB8ED1" w14:textId="77777777" w:rsidR="00182D5B" w:rsidRPr="002F7AA5" w:rsidRDefault="00182D5B" w:rsidP="00D80017">
            <w:pPr>
              <w:jc w:val="both"/>
              <w:rPr>
                <w:rFonts w:asciiTheme="minorHAnsi" w:hAnsiTheme="minorHAnsi" w:cstheme="minorHAnsi"/>
                <w:sz w:val="22"/>
              </w:rPr>
            </w:pPr>
          </w:p>
        </w:tc>
        <w:tc>
          <w:tcPr>
            <w:tcW w:w="4508" w:type="dxa"/>
          </w:tcPr>
          <w:p w14:paraId="3592C2BD" w14:textId="77777777" w:rsidR="00182D5B" w:rsidRPr="002F7AA5" w:rsidRDefault="00182D5B" w:rsidP="00D80017">
            <w:pPr>
              <w:jc w:val="both"/>
              <w:rPr>
                <w:rFonts w:asciiTheme="minorHAnsi" w:hAnsiTheme="minorHAnsi" w:cstheme="minorHAnsi"/>
                <w:sz w:val="22"/>
              </w:rPr>
            </w:pPr>
          </w:p>
        </w:tc>
      </w:tr>
      <w:tr w:rsidR="00182D5B" w:rsidRPr="002F7AA5" w14:paraId="39C54B83" w14:textId="77777777" w:rsidTr="00705040">
        <w:tc>
          <w:tcPr>
            <w:tcW w:w="4508" w:type="dxa"/>
          </w:tcPr>
          <w:p w14:paraId="3DEBC458" w14:textId="5CC14AD9" w:rsidR="00182D5B" w:rsidRPr="008730B1" w:rsidRDefault="00182D5B" w:rsidP="00D80017">
            <w:pPr>
              <w:pStyle w:val="Lijstalinea"/>
              <w:numPr>
                <w:ilvl w:val="0"/>
                <w:numId w:val="2"/>
              </w:numPr>
              <w:jc w:val="both"/>
              <w:rPr>
                <w:rFonts w:asciiTheme="minorHAnsi" w:hAnsiTheme="minorHAnsi" w:cstheme="minorHAnsi"/>
                <w:sz w:val="22"/>
                <w:lang w:val="fr-BE"/>
              </w:rPr>
            </w:pPr>
            <w:r w:rsidRPr="00F35E8A">
              <w:rPr>
                <w:rFonts w:asciiTheme="minorHAnsi" w:hAnsiTheme="minorHAnsi" w:cstheme="minorHAnsi"/>
                <w:sz w:val="22"/>
                <w:lang w:val="fr-BE"/>
              </w:rPr>
              <w:t xml:space="preserve">avec un document d’identité falsifié ;  </w:t>
            </w:r>
          </w:p>
        </w:tc>
        <w:tc>
          <w:tcPr>
            <w:tcW w:w="4508" w:type="dxa"/>
          </w:tcPr>
          <w:p w14:paraId="18D83711" w14:textId="14EA6ACA" w:rsidR="00182D5B" w:rsidRPr="008730B1" w:rsidRDefault="007A11EF" w:rsidP="00D80017">
            <w:pPr>
              <w:pStyle w:val="Lijstalinea"/>
              <w:numPr>
                <w:ilvl w:val="0"/>
                <w:numId w:val="2"/>
              </w:numPr>
              <w:jc w:val="both"/>
              <w:rPr>
                <w:rFonts w:asciiTheme="minorHAnsi" w:hAnsiTheme="minorHAnsi" w:cstheme="minorHAnsi"/>
                <w:sz w:val="22"/>
              </w:rPr>
            </w:pPr>
            <w:r w:rsidRPr="00F35E8A">
              <w:rPr>
                <w:rFonts w:asciiTheme="minorHAnsi" w:hAnsiTheme="minorHAnsi" w:cstheme="minorHAnsi"/>
                <w:sz w:val="22"/>
              </w:rPr>
              <w:t xml:space="preserve">met een vervalst identiteitsstuk;  </w:t>
            </w:r>
          </w:p>
        </w:tc>
      </w:tr>
      <w:tr w:rsidR="00182D5B" w:rsidRPr="002F7AA5" w14:paraId="1E91567D" w14:textId="77777777" w:rsidTr="00705040">
        <w:tc>
          <w:tcPr>
            <w:tcW w:w="4508" w:type="dxa"/>
          </w:tcPr>
          <w:p w14:paraId="60EEAD3D" w14:textId="77777777" w:rsidR="00182D5B" w:rsidRPr="00F35E8A" w:rsidRDefault="00182D5B" w:rsidP="00D80017">
            <w:pPr>
              <w:jc w:val="both"/>
              <w:rPr>
                <w:rFonts w:asciiTheme="minorHAnsi" w:hAnsiTheme="minorHAnsi" w:cstheme="minorHAnsi"/>
                <w:sz w:val="22"/>
              </w:rPr>
            </w:pPr>
          </w:p>
        </w:tc>
        <w:tc>
          <w:tcPr>
            <w:tcW w:w="4508" w:type="dxa"/>
          </w:tcPr>
          <w:p w14:paraId="3F78F665" w14:textId="77777777" w:rsidR="00182D5B" w:rsidRPr="00F35E8A" w:rsidRDefault="00182D5B" w:rsidP="00D80017">
            <w:pPr>
              <w:jc w:val="both"/>
              <w:rPr>
                <w:rFonts w:asciiTheme="minorHAnsi" w:hAnsiTheme="minorHAnsi" w:cstheme="minorHAnsi"/>
                <w:sz w:val="22"/>
              </w:rPr>
            </w:pPr>
          </w:p>
        </w:tc>
      </w:tr>
      <w:tr w:rsidR="00182D5B" w:rsidRPr="002F7AA5" w14:paraId="49BD554F" w14:textId="77777777" w:rsidTr="00705040">
        <w:tc>
          <w:tcPr>
            <w:tcW w:w="4508" w:type="dxa"/>
          </w:tcPr>
          <w:p w14:paraId="48AFAC10" w14:textId="22C0BE30" w:rsidR="00182D5B" w:rsidRPr="00EB6D2B" w:rsidRDefault="00182D5B" w:rsidP="00D80017">
            <w:pPr>
              <w:pStyle w:val="Lijstalinea"/>
              <w:numPr>
                <w:ilvl w:val="0"/>
                <w:numId w:val="2"/>
              </w:numPr>
              <w:jc w:val="both"/>
              <w:rPr>
                <w:rFonts w:asciiTheme="minorHAnsi" w:hAnsiTheme="minorHAnsi" w:cstheme="minorHAnsi"/>
                <w:sz w:val="22"/>
                <w:lang w:val="fr-BE"/>
              </w:rPr>
            </w:pPr>
            <w:r w:rsidRPr="00EB6D2B">
              <w:rPr>
                <w:rFonts w:asciiTheme="minorHAnsi" w:hAnsiTheme="minorHAnsi" w:cstheme="minorHAnsi"/>
                <w:sz w:val="22"/>
                <w:lang w:val="fr-BE"/>
              </w:rPr>
              <w:t>avec un document d’identité d’une autre personne.</w:t>
            </w:r>
          </w:p>
        </w:tc>
        <w:tc>
          <w:tcPr>
            <w:tcW w:w="4508" w:type="dxa"/>
          </w:tcPr>
          <w:p w14:paraId="1668B390" w14:textId="393C4890" w:rsidR="00182D5B" w:rsidRPr="00F35E8A" w:rsidRDefault="007A11EF" w:rsidP="00D80017">
            <w:pPr>
              <w:pStyle w:val="Lijstalinea"/>
              <w:numPr>
                <w:ilvl w:val="0"/>
                <w:numId w:val="2"/>
              </w:numPr>
              <w:jc w:val="both"/>
              <w:rPr>
                <w:rFonts w:asciiTheme="minorHAnsi" w:hAnsiTheme="minorHAnsi" w:cstheme="minorHAnsi"/>
                <w:sz w:val="22"/>
              </w:rPr>
            </w:pPr>
            <w:r w:rsidRPr="00F35E8A">
              <w:rPr>
                <w:rFonts w:asciiTheme="minorHAnsi" w:hAnsiTheme="minorHAnsi" w:cstheme="minorHAnsi"/>
                <w:sz w:val="22"/>
              </w:rPr>
              <w:t>met een identiteitsstuk van een andere persoon.</w:t>
            </w:r>
          </w:p>
        </w:tc>
      </w:tr>
      <w:tr w:rsidR="00182D5B" w:rsidRPr="002F7AA5" w14:paraId="33DAD730" w14:textId="77777777" w:rsidTr="00705040">
        <w:tc>
          <w:tcPr>
            <w:tcW w:w="4508" w:type="dxa"/>
          </w:tcPr>
          <w:p w14:paraId="7F7E81CD" w14:textId="77777777" w:rsidR="00182D5B" w:rsidRPr="00F35E8A" w:rsidRDefault="00182D5B" w:rsidP="00182D5B">
            <w:pPr>
              <w:rPr>
                <w:rFonts w:asciiTheme="minorHAnsi" w:hAnsiTheme="minorHAnsi" w:cstheme="minorHAnsi"/>
                <w:sz w:val="22"/>
              </w:rPr>
            </w:pPr>
          </w:p>
        </w:tc>
        <w:tc>
          <w:tcPr>
            <w:tcW w:w="4508" w:type="dxa"/>
          </w:tcPr>
          <w:p w14:paraId="334687F7" w14:textId="77777777" w:rsidR="00182D5B" w:rsidRPr="00F35E8A" w:rsidRDefault="00182D5B" w:rsidP="00182D5B">
            <w:pPr>
              <w:rPr>
                <w:rFonts w:asciiTheme="minorHAnsi" w:hAnsiTheme="minorHAnsi" w:cstheme="minorHAnsi"/>
                <w:sz w:val="22"/>
              </w:rPr>
            </w:pPr>
          </w:p>
        </w:tc>
      </w:tr>
      <w:tr w:rsidR="007A11EF" w:rsidRPr="002F7AA5" w14:paraId="6A53277C" w14:textId="77777777" w:rsidTr="00705040">
        <w:tc>
          <w:tcPr>
            <w:tcW w:w="4508" w:type="dxa"/>
          </w:tcPr>
          <w:p w14:paraId="6D7E18B6" w14:textId="6F6D3973" w:rsidR="007A11EF" w:rsidRPr="00EB6D2B" w:rsidRDefault="007A11EF" w:rsidP="00D80017">
            <w:pPr>
              <w:jc w:val="both"/>
              <w:rPr>
                <w:rFonts w:asciiTheme="minorHAnsi" w:hAnsiTheme="minorHAnsi" w:cstheme="minorHAnsi"/>
                <w:sz w:val="22"/>
                <w:lang w:val="fr-BE"/>
              </w:rPr>
            </w:pPr>
            <w:r w:rsidRPr="00F35E8A">
              <w:rPr>
                <w:rFonts w:asciiTheme="minorHAnsi" w:hAnsiTheme="minorHAnsi" w:cstheme="minorHAnsi"/>
                <w:sz w:val="22"/>
                <w:lang w:val="fr-BE"/>
              </w:rPr>
              <w:t>Généralement, un nom que l’abonné renseigne en ligne sera peu fiable.</w:t>
            </w:r>
          </w:p>
        </w:tc>
        <w:tc>
          <w:tcPr>
            <w:tcW w:w="4508" w:type="dxa"/>
          </w:tcPr>
          <w:p w14:paraId="1986FAE0" w14:textId="7D21DE49" w:rsidR="007A11EF" w:rsidRPr="00F35E8A" w:rsidRDefault="007A11EF" w:rsidP="00D80017">
            <w:pPr>
              <w:jc w:val="both"/>
              <w:rPr>
                <w:rFonts w:asciiTheme="minorHAnsi" w:hAnsiTheme="minorHAnsi" w:cstheme="minorHAnsi"/>
                <w:sz w:val="22"/>
              </w:rPr>
            </w:pPr>
            <w:r w:rsidRPr="00F35E8A">
              <w:rPr>
                <w:rFonts w:asciiTheme="minorHAnsi" w:hAnsiTheme="minorHAnsi" w:cstheme="minorHAnsi"/>
                <w:sz w:val="22"/>
              </w:rPr>
              <w:t>In het algemeen zal een naam die de abonnee online ingeeft weinig betrouwbaar zijn.</w:t>
            </w:r>
          </w:p>
        </w:tc>
      </w:tr>
      <w:tr w:rsidR="007A11EF" w:rsidRPr="002F7AA5" w14:paraId="3D828ADF" w14:textId="77777777" w:rsidTr="00705040">
        <w:tc>
          <w:tcPr>
            <w:tcW w:w="4508" w:type="dxa"/>
          </w:tcPr>
          <w:p w14:paraId="131E9E29" w14:textId="77777777" w:rsidR="007A11EF" w:rsidRPr="00F35E8A" w:rsidRDefault="007A11EF" w:rsidP="007A11EF">
            <w:pPr>
              <w:rPr>
                <w:rFonts w:asciiTheme="minorHAnsi" w:hAnsiTheme="minorHAnsi" w:cstheme="minorHAnsi"/>
                <w:sz w:val="22"/>
              </w:rPr>
            </w:pPr>
          </w:p>
        </w:tc>
        <w:tc>
          <w:tcPr>
            <w:tcW w:w="4508" w:type="dxa"/>
          </w:tcPr>
          <w:p w14:paraId="18A643C5" w14:textId="77777777" w:rsidR="007A11EF" w:rsidRPr="00F35E8A" w:rsidRDefault="007A11EF" w:rsidP="007A11EF">
            <w:pPr>
              <w:rPr>
                <w:rFonts w:asciiTheme="minorHAnsi" w:hAnsiTheme="minorHAnsi" w:cstheme="minorHAnsi"/>
                <w:sz w:val="22"/>
              </w:rPr>
            </w:pPr>
          </w:p>
        </w:tc>
      </w:tr>
      <w:tr w:rsidR="007A11EF" w:rsidRPr="002F7AA5" w14:paraId="63C205D2" w14:textId="77777777" w:rsidTr="00705040">
        <w:tc>
          <w:tcPr>
            <w:tcW w:w="4508" w:type="dxa"/>
          </w:tcPr>
          <w:p w14:paraId="54167097" w14:textId="2EA70BFB" w:rsidR="007A11EF" w:rsidRPr="00F35E8A" w:rsidRDefault="007A11EF" w:rsidP="00D80017">
            <w:pPr>
              <w:jc w:val="both"/>
              <w:rPr>
                <w:rFonts w:asciiTheme="minorHAnsi" w:hAnsiTheme="minorHAnsi" w:cstheme="minorHAnsi"/>
                <w:sz w:val="22"/>
                <w:lang w:val="fr-BE"/>
              </w:rPr>
            </w:pPr>
            <w:r w:rsidRPr="00F35E8A">
              <w:rPr>
                <w:rFonts w:asciiTheme="minorHAnsi" w:hAnsiTheme="minorHAnsi" w:cstheme="minorHAnsi"/>
                <w:sz w:val="22"/>
                <w:lang w:val="fr-BE"/>
              </w:rPr>
              <w:t>L’utilisation fréquente de fausses données d’identité impose de pouvoir recouper les données d’identification conservées avec d’autres</w:t>
            </w:r>
            <w:r w:rsidR="00D80017">
              <w:rPr>
                <w:rFonts w:asciiTheme="minorHAnsi" w:hAnsiTheme="minorHAnsi" w:cstheme="minorHAnsi"/>
                <w:sz w:val="22"/>
                <w:lang w:val="fr-BE"/>
              </w:rPr>
              <w:t xml:space="preserve"> </w:t>
            </w:r>
            <w:r w:rsidRPr="00F35E8A">
              <w:rPr>
                <w:rFonts w:asciiTheme="minorHAnsi" w:hAnsiTheme="minorHAnsi" w:cstheme="minorHAnsi"/>
                <w:sz w:val="22"/>
                <w:lang w:val="fr-BE"/>
              </w:rPr>
              <w:t>données disponibles</w:t>
            </w:r>
            <w:r w:rsidR="00D80017">
              <w:rPr>
                <w:rFonts w:asciiTheme="minorHAnsi" w:hAnsiTheme="minorHAnsi" w:cstheme="minorHAnsi"/>
                <w:sz w:val="22"/>
                <w:lang w:val="fr-BE"/>
              </w:rPr>
              <w:t xml:space="preserve"> </w:t>
            </w:r>
            <w:r w:rsidRPr="00F35E8A">
              <w:rPr>
                <w:rFonts w:asciiTheme="minorHAnsi" w:hAnsiTheme="minorHAnsi" w:cstheme="minorHAnsi"/>
                <w:sz w:val="22"/>
                <w:lang w:val="fr-BE"/>
              </w:rPr>
              <w:t>chez les opérateurs :</w:t>
            </w:r>
          </w:p>
        </w:tc>
        <w:tc>
          <w:tcPr>
            <w:tcW w:w="4508" w:type="dxa"/>
          </w:tcPr>
          <w:p w14:paraId="7BEA3A0D" w14:textId="6FFFA387" w:rsidR="007A11EF" w:rsidRPr="00F35E8A" w:rsidRDefault="007A11EF" w:rsidP="00D80017">
            <w:pPr>
              <w:jc w:val="both"/>
              <w:rPr>
                <w:rFonts w:asciiTheme="minorHAnsi" w:hAnsiTheme="minorHAnsi" w:cstheme="minorHAnsi"/>
                <w:sz w:val="22"/>
              </w:rPr>
            </w:pPr>
            <w:r w:rsidRPr="00F35E8A">
              <w:rPr>
                <w:rFonts w:asciiTheme="minorHAnsi" w:hAnsiTheme="minorHAnsi" w:cstheme="minorHAnsi"/>
                <w:sz w:val="22"/>
              </w:rPr>
              <w:t>Het frequente gebruik van valse identiteitsgegevens maakt het noodzakelijk de bewaarde identificatiegegevens te kunnen toetsen aan andere bij de operatoren beschikbare gegevens:</w:t>
            </w:r>
          </w:p>
        </w:tc>
      </w:tr>
      <w:tr w:rsidR="007A11EF" w:rsidRPr="002F7AA5" w14:paraId="1E01A88E" w14:textId="77777777" w:rsidTr="00705040">
        <w:tc>
          <w:tcPr>
            <w:tcW w:w="4508" w:type="dxa"/>
          </w:tcPr>
          <w:p w14:paraId="2566484B" w14:textId="77777777" w:rsidR="007A11EF" w:rsidRPr="002F7AA5" w:rsidRDefault="007A11EF" w:rsidP="007A11EF">
            <w:pPr>
              <w:rPr>
                <w:rFonts w:asciiTheme="minorHAnsi" w:hAnsiTheme="minorHAnsi" w:cstheme="minorHAnsi"/>
                <w:sz w:val="22"/>
              </w:rPr>
            </w:pPr>
          </w:p>
        </w:tc>
        <w:tc>
          <w:tcPr>
            <w:tcW w:w="4508" w:type="dxa"/>
          </w:tcPr>
          <w:p w14:paraId="5FF03A83" w14:textId="77777777" w:rsidR="007A11EF" w:rsidRPr="002F7AA5" w:rsidRDefault="007A11EF" w:rsidP="007A11EF">
            <w:pPr>
              <w:rPr>
                <w:rFonts w:asciiTheme="minorHAnsi" w:hAnsiTheme="minorHAnsi" w:cstheme="minorHAnsi"/>
                <w:sz w:val="22"/>
              </w:rPr>
            </w:pPr>
          </w:p>
        </w:tc>
      </w:tr>
      <w:tr w:rsidR="007A11EF" w:rsidRPr="002F7AA5" w14:paraId="06465827" w14:textId="77777777" w:rsidTr="00705040">
        <w:tc>
          <w:tcPr>
            <w:tcW w:w="4508" w:type="dxa"/>
          </w:tcPr>
          <w:p w14:paraId="40AC17D1" w14:textId="1CF98BAA" w:rsidR="007A11EF" w:rsidRPr="008730B1" w:rsidRDefault="007A11EF" w:rsidP="008730B1">
            <w:pPr>
              <w:pStyle w:val="Lijstalinea"/>
              <w:numPr>
                <w:ilvl w:val="0"/>
                <w:numId w:val="2"/>
              </w:numPr>
              <w:jc w:val="both"/>
              <w:rPr>
                <w:rFonts w:asciiTheme="minorHAnsi" w:hAnsiTheme="minorHAnsi" w:cstheme="minorHAnsi"/>
                <w:color w:val="000000"/>
                <w:sz w:val="22"/>
                <w:lang w:val="fr-BE"/>
              </w:rPr>
            </w:pPr>
            <w:r w:rsidRPr="008730B1">
              <w:rPr>
                <w:rFonts w:asciiTheme="minorHAnsi" w:hAnsiTheme="minorHAnsi" w:cstheme="minorHAnsi"/>
                <w:color w:val="000000"/>
                <w:sz w:val="22"/>
                <w:lang w:val="fr-BE"/>
              </w:rPr>
              <w:t xml:space="preserve">les alias (2°) ; </w:t>
            </w:r>
          </w:p>
        </w:tc>
        <w:tc>
          <w:tcPr>
            <w:tcW w:w="4508" w:type="dxa"/>
          </w:tcPr>
          <w:p w14:paraId="251A8AAA" w14:textId="403997A6" w:rsidR="007A11EF" w:rsidRPr="008730B1" w:rsidRDefault="007A11EF" w:rsidP="008730B1">
            <w:pPr>
              <w:pStyle w:val="Lijstalinea"/>
              <w:numPr>
                <w:ilvl w:val="0"/>
                <w:numId w:val="2"/>
              </w:numPr>
              <w:jc w:val="both"/>
              <w:rPr>
                <w:rFonts w:asciiTheme="minorHAnsi" w:hAnsiTheme="minorHAnsi" w:cstheme="minorHAnsi"/>
                <w:color w:val="000000"/>
                <w:sz w:val="22"/>
              </w:rPr>
            </w:pPr>
            <w:r w:rsidRPr="008730B1">
              <w:rPr>
                <w:rFonts w:asciiTheme="minorHAnsi" w:hAnsiTheme="minorHAnsi" w:cstheme="minorHAnsi"/>
                <w:color w:val="000000"/>
                <w:sz w:val="22"/>
              </w:rPr>
              <w:t xml:space="preserve">de aliassen (2°); </w:t>
            </w:r>
          </w:p>
        </w:tc>
      </w:tr>
      <w:tr w:rsidR="007A11EF" w:rsidRPr="002F7AA5" w14:paraId="0A60EFE8" w14:textId="77777777" w:rsidTr="00705040">
        <w:tc>
          <w:tcPr>
            <w:tcW w:w="4508" w:type="dxa"/>
          </w:tcPr>
          <w:p w14:paraId="53B09314" w14:textId="77777777" w:rsidR="007A11EF" w:rsidRPr="008730B1" w:rsidRDefault="007A11EF" w:rsidP="008730B1">
            <w:pPr>
              <w:rPr>
                <w:rFonts w:asciiTheme="minorHAnsi" w:hAnsiTheme="minorHAnsi" w:cstheme="minorHAnsi"/>
                <w:sz w:val="22"/>
              </w:rPr>
            </w:pPr>
          </w:p>
        </w:tc>
        <w:tc>
          <w:tcPr>
            <w:tcW w:w="4508" w:type="dxa"/>
          </w:tcPr>
          <w:p w14:paraId="380747F9" w14:textId="77777777" w:rsidR="007A11EF" w:rsidRPr="008730B1" w:rsidRDefault="007A11EF" w:rsidP="008730B1">
            <w:pPr>
              <w:rPr>
                <w:rFonts w:asciiTheme="minorHAnsi" w:hAnsiTheme="minorHAnsi" w:cstheme="minorHAnsi"/>
                <w:sz w:val="22"/>
              </w:rPr>
            </w:pPr>
          </w:p>
        </w:tc>
      </w:tr>
      <w:tr w:rsidR="007A11EF" w:rsidRPr="002F7AA5" w14:paraId="19E2D77D" w14:textId="77777777" w:rsidTr="00705040">
        <w:tc>
          <w:tcPr>
            <w:tcW w:w="4508" w:type="dxa"/>
          </w:tcPr>
          <w:p w14:paraId="43E03F98" w14:textId="30D4BB00" w:rsidR="007A11EF" w:rsidRPr="008730B1" w:rsidRDefault="007A11EF" w:rsidP="008730B1">
            <w:pPr>
              <w:pStyle w:val="Lijstalinea"/>
              <w:numPr>
                <w:ilvl w:val="0"/>
                <w:numId w:val="2"/>
              </w:numPr>
              <w:jc w:val="both"/>
              <w:rPr>
                <w:rFonts w:asciiTheme="minorHAnsi" w:hAnsiTheme="minorHAnsi" w:cstheme="minorHAnsi"/>
                <w:color w:val="000000"/>
                <w:sz w:val="22"/>
                <w:lang w:val="fr-BE"/>
              </w:rPr>
            </w:pPr>
            <w:r w:rsidRPr="008730B1">
              <w:rPr>
                <w:rFonts w:asciiTheme="minorHAnsi" w:hAnsiTheme="minorHAnsi" w:cstheme="minorHAnsi"/>
                <w:color w:val="000000"/>
                <w:sz w:val="22"/>
                <w:lang w:val="fr-BE"/>
              </w:rPr>
              <w:t xml:space="preserve">les coordonnées de contact de l’abonné (3°) ; </w:t>
            </w:r>
          </w:p>
        </w:tc>
        <w:tc>
          <w:tcPr>
            <w:tcW w:w="4508" w:type="dxa"/>
          </w:tcPr>
          <w:p w14:paraId="0CF4796C" w14:textId="667CE085" w:rsidR="007A11EF" w:rsidRPr="008730B1" w:rsidRDefault="007A11EF" w:rsidP="008730B1">
            <w:pPr>
              <w:pStyle w:val="Lijstalinea"/>
              <w:numPr>
                <w:ilvl w:val="0"/>
                <w:numId w:val="2"/>
              </w:numPr>
              <w:jc w:val="both"/>
              <w:rPr>
                <w:rFonts w:asciiTheme="minorHAnsi" w:hAnsiTheme="minorHAnsi" w:cstheme="minorHAnsi"/>
                <w:color w:val="000000"/>
                <w:sz w:val="22"/>
              </w:rPr>
            </w:pPr>
            <w:r w:rsidRPr="008730B1">
              <w:rPr>
                <w:rFonts w:asciiTheme="minorHAnsi" w:hAnsiTheme="minorHAnsi" w:cstheme="minorHAnsi"/>
                <w:color w:val="000000"/>
                <w:sz w:val="22"/>
              </w:rPr>
              <w:t xml:space="preserve">de contactgegevens van de abonnee (3°); </w:t>
            </w:r>
          </w:p>
        </w:tc>
      </w:tr>
      <w:tr w:rsidR="007A11EF" w:rsidRPr="002F7AA5" w14:paraId="593EB18C" w14:textId="77777777" w:rsidTr="00705040">
        <w:tc>
          <w:tcPr>
            <w:tcW w:w="4508" w:type="dxa"/>
          </w:tcPr>
          <w:p w14:paraId="2E71932E" w14:textId="77777777" w:rsidR="007A11EF" w:rsidRPr="008730B1" w:rsidRDefault="007A11EF" w:rsidP="008730B1">
            <w:pPr>
              <w:rPr>
                <w:rFonts w:asciiTheme="minorHAnsi" w:hAnsiTheme="minorHAnsi" w:cstheme="minorHAnsi"/>
                <w:sz w:val="22"/>
              </w:rPr>
            </w:pPr>
          </w:p>
        </w:tc>
        <w:tc>
          <w:tcPr>
            <w:tcW w:w="4508" w:type="dxa"/>
          </w:tcPr>
          <w:p w14:paraId="56280B19" w14:textId="77777777" w:rsidR="007A11EF" w:rsidRPr="008730B1" w:rsidRDefault="007A11EF" w:rsidP="008730B1">
            <w:pPr>
              <w:rPr>
                <w:rFonts w:asciiTheme="minorHAnsi" w:hAnsiTheme="minorHAnsi" w:cstheme="minorHAnsi"/>
                <w:sz w:val="22"/>
              </w:rPr>
            </w:pPr>
          </w:p>
        </w:tc>
      </w:tr>
      <w:tr w:rsidR="007A11EF" w:rsidRPr="002F7AA5" w14:paraId="2A8DB88F" w14:textId="77777777" w:rsidTr="00705040">
        <w:tc>
          <w:tcPr>
            <w:tcW w:w="4508" w:type="dxa"/>
          </w:tcPr>
          <w:p w14:paraId="552E1E2D" w14:textId="4A603713" w:rsidR="007A11EF" w:rsidRPr="008730B1" w:rsidRDefault="007A11EF" w:rsidP="008730B1">
            <w:pPr>
              <w:pStyle w:val="Lijstalinea"/>
              <w:numPr>
                <w:ilvl w:val="0"/>
                <w:numId w:val="2"/>
              </w:numPr>
              <w:jc w:val="both"/>
              <w:rPr>
                <w:rFonts w:asciiTheme="minorHAnsi" w:hAnsiTheme="minorHAnsi" w:cstheme="minorHAnsi"/>
                <w:color w:val="000000"/>
                <w:sz w:val="22"/>
                <w:lang w:val="fr-BE"/>
              </w:rPr>
            </w:pPr>
            <w:r w:rsidRPr="008730B1">
              <w:rPr>
                <w:rFonts w:asciiTheme="minorHAnsi" w:hAnsiTheme="minorHAnsi" w:cstheme="minorHAnsi"/>
                <w:color w:val="000000"/>
                <w:sz w:val="22"/>
                <w:lang w:val="fr-BE"/>
              </w:rPr>
              <w:t xml:space="preserve">la date et le lieu de souscription au service et de l’activation du service (4°); </w:t>
            </w:r>
          </w:p>
        </w:tc>
        <w:tc>
          <w:tcPr>
            <w:tcW w:w="4508" w:type="dxa"/>
          </w:tcPr>
          <w:p w14:paraId="654887C7" w14:textId="1FFB55F7" w:rsidR="007A11EF" w:rsidRPr="008730B1" w:rsidRDefault="007A11EF" w:rsidP="008730B1">
            <w:pPr>
              <w:pStyle w:val="Lijstalinea"/>
              <w:numPr>
                <w:ilvl w:val="0"/>
                <w:numId w:val="2"/>
              </w:numPr>
              <w:jc w:val="both"/>
              <w:rPr>
                <w:rFonts w:asciiTheme="minorHAnsi" w:hAnsiTheme="minorHAnsi" w:cstheme="minorHAnsi"/>
                <w:color w:val="000000"/>
                <w:sz w:val="22"/>
              </w:rPr>
            </w:pPr>
            <w:r w:rsidRPr="008730B1">
              <w:rPr>
                <w:rFonts w:asciiTheme="minorHAnsi" w:hAnsiTheme="minorHAnsi" w:cstheme="minorHAnsi"/>
                <w:color w:val="000000"/>
                <w:sz w:val="22"/>
              </w:rPr>
              <w:t xml:space="preserve">de datum en de plaats van inschrijving op de dienst of de activering van de dienst (4°); </w:t>
            </w:r>
          </w:p>
        </w:tc>
      </w:tr>
      <w:tr w:rsidR="007A11EF" w:rsidRPr="002F7AA5" w14:paraId="29B4531E" w14:textId="77777777" w:rsidTr="00705040">
        <w:tc>
          <w:tcPr>
            <w:tcW w:w="4508" w:type="dxa"/>
          </w:tcPr>
          <w:p w14:paraId="19EE0292" w14:textId="77777777" w:rsidR="007A11EF" w:rsidRPr="002F7AA5" w:rsidRDefault="007A11EF" w:rsidP="007A11EF">
            <w:pPr>
              <w:rPr>
                <w:rFonts w:asciiTheme="minorHAnsi" w:hAnsiTheme="minorHAnsi" w:cstheme="minorHAnsi"/>
                <w:sz w:val="22"/>
              </w:rPr>
            </w:pPr>
          </w:p>
        </w:tc>
        <w:tc>
          <w:tcPr>
            <w:tcW w:w="4508" w:type="dxa"/>
          </w:tcPr>
          <w:p w14:paraId="5AE54C7E" w14:textId="77777777" w:rsidR="007A11EF" w:rsidRPr="002F7AA5" w:rsidRDefault="007A11EF" w:rsidP="007A11EF">
            <w:pPr>
              <w:rPr>
                <w:rFonts w:asciiTheme="minorHAnsi" w:hAnsiTheme="minorHAnsi" w:cstheme="minorHAnsi"/>
                <w:sz w:val="22"/>
              </w:rPr>
            </w:pPr>
          </w:p>
        </w:tc>
      </w:tr>
      <w:tr w:rsidR="007A11EF" w:rsidRPr="002F7AA5" w14:paraId="4BD1A5A9" w14:textId="77777777" w:rsidTr="00705040">
        <w:tc>
          <w:tcPr>
            <w:tcW w:w="4508" w:type="dxa"/>
          </w:tcPr>
          <w:p w14:paraId="609D0A4B" w14:textId="051D2EE1" w:rsidR="007A11EF" w:rsidRPr="008730B1" w:rsidRDefault="007A11EF" w:rsidP="008730B1">
            <w:pPr>
              <w:pStyle w:val="Lijstalinea"/>
              <w:numPr>
                <w:ilvl w:val="0"/>
                <w:numId w:val="2"/>
              </w:numPr>
              <w:jc w:val="both"/>
              <w:rPr>
                <w:rFonts w:asciiTheme="minorHAnsi" w:hAnsiTheme="minorHAnsi" w:cstheme="minorHAnsi"/>
                <w:color w:val="000000"/>
                <w:sz w:val="22"/>
                <w:lang w:val="fr-BE"/>
              </w:rPr>
            </w:pPr>
            <w:r w:rsidRPr="008730B1">
              <w:rPr>
                <w:rFonts w:asciiTheme="minorHAnsi" w:hAnsiTheme="minorHAnsi" w:cstheme="minorHAnsi"/>
                <w:color w:val="000000"/>
                <w:sz w:val="22"/>
                <w:lang w:val="fr-BE"/>
              </w:rPr>
              <w:t xml:space="preserve">l’adresse physique de livraison du service (5°) ; </w:t>
            </w:r>
          </w:p>
        </w:tc>
        <w:tc>
          <w:tcPr>
            <w:tcW w:w="4508" w:type="dxa"/>
          </w:tcPr>
          <w:p w14:paraId="03A0D32A" w14:textId="10066E6A" w:rsidR="007A11EF" w:rsidRPr="008730B1" w:rsidRDefault="007A11EF" w:rsidP="008730B1">
            <w:pPr>
              <w:pStyle w:val="Lijstalinea"/>
              <w:numPr>
                <w:ilvl w:val="0"/>
                <w:numId w:val="2"/>
              </w:numPr>
              <w:jc w:val="both"/>
              <w:rPr>
                <w:rFonts w:asciiTheme="minorHAnsi" w:hAnsiTheme="minorHAnsi" w:cstheme="minorHAnsi"/>
                <w:color w:val="000000"/>
                <w:sz w:val="22"/>
              </w:rPr>
            </w:pPr>
            <w:r w:rsidRPr="008730B1">
              <w:rPr>
                <w:rFonts w:asciiTheme="minorHAnsi" w:hAnsiTheme="minorHAnsi" w:cstheme="minorHAnsi"/>
                <w:color w:val="000000"/>
                <w:sz w:val="22"/>
              </w:rPr>
              <w:t xml:space="preserve">het fysieke leveringsadres van dienst (5°); </w:t>
            </w:r>
          </w:p>
        </w:tc>
      </w:tr>
      <w:tr w:rsidR="007A11EF" w:rsidRPr="002F7AA5" w14:paraId="01680813" w14:textId="77777777" w:rsidTr="00705040">
        <w:tc>
          <w:tcPr>
            <w:tcW w:w="4508" w:type="dxa"/>
          </w:tcPr>
          <w:p w14:paraId="44CD0F19" w14:textId="77777777" w:rsidR="007A11EF" w:rsidRPr="008730B1" w:rsidRDefault="007A11EF" w:rsidP="008730B1">
            <w:pPr>
              <w:rPr>
                <w:rFonts w:asciiTheme="minorHAnsi" w:hAnsiTheme="minorHAnsi" w:cstheme="minorHAnsi"/>
                <w:sz w:val="22"/>
              </w:rPr>
            </w:pPr>
          </w:p>
        </w:tc>
        <w:tc>
          <w:tcPr>
            <w:tcW w:w="4508" w:type="dxa"/>
          </w:tcPr>
          <w:p w14:paraId="09C90F99" w14:textId="77777777" w:rsidR="007A11EF" w:rsidRPr="008730B1" w:rsidRDefault="007A11EF" w:rsidP="008730B1">
            <w:pPr>
              <w:rPr>
                <w:rFonts w:asciiTheme="minorHAnsi" w:hAnsiTheme="minorHAnsi" w:cstheme="minorHAnsi"/>
                <w:sz w:val="22"/>
              </w:rPr>
            </w:pPr>
          </w:p>
        </w:tc>
      </w:tr>
      <w:tr w:rsidR="007A11EF" w:rsidRPr="002F7AA5" w14:paraId="598C42F3" w14:textId="77777777" w:rsidTr="00705040">
        <w:tc>
          <w:tcPr>
            <w:tcW w:w="4508" w:type="dxa"/>
          </w:tcPr>
          <w:p w14:paraId="0F0A69D1" w14:textId="67A3229E" w:rsidR="007A11EF" w:rsidRPr="008730B1" w:rsidRDefault="007A11EF" w:rsidP="008730B1">
            <w:pPr>
              <w:pStyle w:val="Lijstalinea"/>
              <w:numPr>
                <w:ilvl w:val="0"/>
                <w:numId w:val="2"/>
              </w:numPr>
              <w:rPr>
                <w:rFonts w:asciiTheme="minorHAnsi" w:hAnsiTheme="minorHAnsi" w:cstheme="minorHAnsi"/>
                <w:sz w:val="22"/>
              </w:rPr>
            </w:pPr>
            <w:r w:rsidRPr="008730B1">
              <w:rPr>
                <w:rFonts w:asciiTheme="minorHAnsi" w:hAnsiTheme="minorHAnsi" w:cstheme="minorHAnsi"/>
                <w:color w:val="000000"/>
                <w:sz w:val="22"/>
                <w:lang w:val="fr-BE"/>
              </w:rPr>
              <w:t xml:space="preserve">les données de paiement (6°).  </w:t>
            </w:r>
          </w:p>
        </w:tc>
        <w:tc>
          <w:tcPr>
            <w:tcW w:w="4508" w:type="dxa"/>
          </w:tcPr>
          <w:p w14:paraId="1D8A3126" w14:textId="4ECE167D" w:rsidR="007A11EF" w:rsidRPr="008730B1" w:rsidRDefault="007A11EF" w:rsidP="008730B1">
            <w:pPr>
              <w:pStyle w:val="Lijstalinea"/>
              <w:numPr>
                <w:ilvl w:val="0"/>
                <w:numId w:val="2"/>
              </w:numPr>
              <w:rPr>
                <w:rFonts w:asciiTheme="minorHAnsi" w:hAnsiTheme="minorHAnsi" w:cstheme="minorHAnsi"/>
                <w:sz w:val="22"/>
              </w:rPr>
            </w:pPr>
            <w:r w:rsidRPr="008730B1">
              <w:rPr>
                <w:rFonts w:asciiTheme="minorHAnsi" w:hAnsiTheme="minorHAnsi" w:cstheme="minorHAnsi"/>
                <w:color w:val="000000"/>
                <w:sz w:val="22"/>
              </w:rPr>
              <w:t xml:space="preserve">de betalingsgegevens (6°).  </w:t>
            </w:r>
          </w:p>
        </w:tc>
      </w:tr>
      <w:tr w:rsidR="007A11EF" w:rsidRPr="002F7AA5" w14:paraId="0C5F9C10" w14:textId="77777777" w:rsidTr="00705040">
        <w:tc>
          <w:tcPr>
            <w:tcW w:w="4508" w:type="dxa"/>
          </w:tcPr>
          <w:p w14:paraId="74F1590D" w14:textId="77777777" w:rsidR="007A11EF" w:rsidRPr="002F7AA5" w:rsidRDefault="007A11EF" w:rsidP="007A11EF">
            <w:pPr>
              <w:rPr>
                <w:rFonts w:asciiTheme="minorHAnsi" w:hAnsiTheme="minorHAnsi" w:cstheme="minorHAnsi"/>
                <w:sz w:val="22"/>
              </w:rPr>
            </w:pPr>
          </w:p>
        </w:tc>
        <w:tc>
          <w:tcPr>
            <w:tcW w:w="4508" w:type="dxa"/>
          </w:tcPr>
          <w:p w14:paraId="69F2381D" w14:textId="77777777" w:rsidR="007A11EF" w:rsidRPr="002F7AA5" w:rsidRDefault="007A11EF" w:rsidP="007A11EF">
            <w:pPr>
              <w:rPr>
                <w:rFonts w:asciiTheme="minorHAnsi" w:hAnsiTheme="minorHAnsi" w:cstheme="minorHAnsi"/>
                <w:sz w:val="22"/>
              </w:rPr>
            </w:pPr>
          </w:p>
        </w:tc>
      </w:tr>
      <w:tr w:rsidR="007A11EF" w:rsidRPr="002F7AA5" w14:paraId="4F9FDF54" w14:textId="77777777" w:rsidTr="00705040">
        <w:tc>
          <w:tcPr>
            <w:tcW w:w="4508" w:type="dxa"/>
          </w:tcPr>
          <w:p w14:paraId="4AF2B807" w14:textId="2CE391D0" w:rsidR="007A11EF" w:rsidRPr="00EB6D2B" w:rsidRDefault="007A11EF" w:rsidP="00822D8E">
            <w:pPr>
              <w:jc w:val="both"/>
              <w:rPr>
                <w:rFonts w:asciiTheme="minorHAnsi" w:hAnsiTheme="minorHAnsi" w:cstheme="minorHAnsi"/>
                <w:sz w:val="22"/>
                <w:lang w:val="fr-BE"/>
              </w:rPr>
            </w:pPr>
            <w:r w:rsidRPr="00822D8E">
              <w:rPr>
                <w:rFonts w:asciiTheme="minorHAnsi" w:hAnsiTheme="minorHAnsi" w:cstheme="minorHAnsi"/>
                <w:sz w:val="22"/>
                <w:lang w:val="fr-BE"/>
              </w:rPr>
              <w:t xml:space="preserve">Ces données supplémentaires permettent  d’exclure que les victimes d’une fraude à l’identité soient impliquées à tort en tant qu’auteur dans un dossier judiciaire qui ne les concerne en rien. Les données supplémentaires évitent également la violation ultérieure de la vie privée de ces personnes innocentes par des </w:t>
            </w:r>
            <w:r w:rsidRPr="00822D8E">
              <w:rPr>
                <w:rFonts w:asciiTheme="minorHAnsi" w:hAnsiTheme="minorHAnsi" w:cstheme="minorHAnsi"/>
                <w:sz w:val="22"/>
                <w:lang w:val="fr-BE"/>
              </w:rPr>
              <w:lastRenderedPageBreak/>
              <w:t>mesures d’enquête subséquentes plus intrusives, telles que l’interception de leurs communications ou une perquisition.</w:t>
            </w:r>
          </w:p>
        </w:tc>
        <w:tc>
          <w:tcPr>
            <w:tcW w:w="4508" w:type="dxa"/>
          </w:tcPr>
          <w:p w14:paraId="5C8AB072" w14:textId="1AA3E2AD" w:rsidR="007A11EF" w:rsidRPr="00822D8E" w:rsidRDefault="007A11EF" w:rsidP="00822D8E">
            <w:pPr>
              <w:jc w:val="both"/>
              <w:rPr>
                <w:rFonts w:asciiTheme="minorHAnsi" w:hAnsiTheme="minorHAnsi" w:cstheme="minorHAnsi"/>
                <w:sz w:val="22"/>
              </w:rPr>
            </w:pPr>
            <w:r w:rsidRPr="00822D8E">
              <w:rPr>
                <w:rFonts w:asciiTheme="minorHAnsi" w:hAnsiTheme="minorHAnsi" w:cstheme="minorHAnsi"/>
                <w:sz w:val="22"/>
              </w:rPr>
              <w:lastRenderedPageBreak/>
              <w:t xml:space="preserve">Die bijkomende gegevens kunnen uitsluiten dat slachtoffers van identiteitsfraude onterecht worden betrokken als dader in een gerechtelijk dossier dat geen betrekking heeft op hen. De bijkomende gegevens voorkomen zo ook dat de privacy van deze onschuldige personen verder zou worden geschonden door meer </w:t>
            </w:r>
            <w:r w:rsidRPr="00822D8E">
              <w:rPr>
                <w:rFonts w:asciiTheme="minorHAnsi" w:hAnsiTheme="minorHAnsi" w:cstheme="minorHAnsi"/>
                <w:sz w:val="22"/>
              </w:rPr>
              <w:lastRenderedPageBreak/>
              <w:t>indringende, navolgende onderzoeksmaatregelen zoals een interceptie van hun communicatie of een huiszoeking.</w:t>
            </w:r>
          </w:p>
        </w:tc>
      </w:tr>
      <w:tr w:rsidR="007A11EF" w:rsidRPr="002F7AA5" w14:paraId="5C96B012" w14:textId="77777777" w:rsidTr="00705040">
        <w:tc>
          <w:tcPr>
            <w:tcW w:w="4508" w:type="dxa"/>
          </w:tcPr>
          <w:p w14:paraId="43477228" w14:textId="77777777" w:rsidR="007A11EF" w:rsidRPr="00822D8E" w:rsidRDefault="007A11EF" w:rsidP="00822D8E">
            <w:pPr>
              <w:jc w:val="both"/>
              <w:rPr>
                <w:rFonts w:asciiTheme="minorHAnsi" w:hAnsiTheme="minorHAnsi" w:cstheme="minorHAnsi"/>
                <w:sz w:val="22"/>
              </w:rPr>
            </w:pPr>
          </w:p>
        </w:tc>
        <w:tc>
          <w:tcPr>
            <w:tcW w:w="4508" w:type="dxa"/>
          </w:tcPr>
          <w:p w14:paraId="26F33DCD" w14:textId="77777777" w:rsidR="007A11EF" w:rsidRPr="00822D8E" w:rsidRDefault="007A11EF" w:rsidP="00822D8E">
            <w:pPr>
              <w:jc w:val="both"/>
              <w:rPr>
                <w:rFonts w:asciiTheme="minorHAnsi" w:hAnsiTheme="minorHAnsi" w:cstheme="minorHAnsi"/>
                <w:sz w:val="22"/>
              </w:rPr>
            </w:pPr>
          </w:p>
        </w:tc>
      </w:tr>
      <w:tr w:rsidR="007A11EF" w:rsidRPr="002F7AA5" w14:paraId="7AEAEA19" w14:textId="77777777" w:rsidTr="00705040">
        <w:tc>
          <w:tcPr>
            <w:tcW w:w="4508" w:type="dxa"/>
          </w:tcPr>
          <w:p w14:paraId="1BAE65C0" w14:textId="3687F2C9" w:rsidR="007A11EF" w:rsidRPr="00EB6D2B" w:rsidRDefault="007A11EF" w:rsidP="00822D8E">
            <w:pPr>
              <w:jc w:val="both"/>
              <w:rPr>
                <w:rFonts w:asciiTheme="minorHAnsi" w:hAnsiTheme="minorHAnsi" w:cstheme="minorHAnsi"/>
                <w:sz w:val="22"/>
                <w:lang w:val="fr-BE"/>
              </w:rPr>
            </w:pPr>
            <w:r w:rsidRPr="00822D8E">
              <w:rPr>
                <w:rFonts w:asciiTheme="minorHAnsi" w:hAnsiTheme="minorHAnsi" w:cstheme="minorHAnsi"/>
                <w:sz w:val="22"/>
                <w:lang w:val="fr-BE"/>
              </w:rPr>
              <w:t xml:space="preserve">Ces données supplémentaires (comme l’alias ou l’adresse physique de livraison du service) constituent dans certains cas des pistes pour retrouver l’utilisateur effectif du service.  </w:t>
            </w:r>
          </w:p>
        </w:tc>
        <w:tc>
          <w:tcPr>
            <w:tcW w:w="4508" w:type="dxa"/>
          </w:tcPr>
          <w:p w14:paraId="0C8239AA" w14:textId="1879D36D" w:rsidR="007A11EF" w:rsidRPr="00822D8E" w:rsidRDefault="007A11EF" w:rsidP="00822D8E">
            <w:pPr>
              <w:jc w:val="both"/>
              <w:rPr>
                <w:rFonts w:asciiTheme="minorHAnsi" w:hAnsiTheme="minorHAnsi" w:cstheme="minorHAnsi"/>
                <w:sz w:val="22"/>
              </w:rPr>
            </w:pPr>
            <w:r w:rsidRPr="00822D8E">
              <w:rPr>
                <w:rFonts w:asciiTheme="minorHAnsi" w:hAnsiTheme="minorHAnsi" w:cstheme="minorHAnsi"/>
                <w:sz w:val="22"/>
              </w:rPr>
              <w:t xml:space="preserve">Die bijkomende gegevens (zoals de alias of het fysieke leveringsadres van de dienst) zijn in sommige gevallen een aanwijzing naar het terugvinden van de effectieve gebruiker van de dienst.  </w:t>
            </w:r>
          </w:p>
        </w:tc>
      </w:tr>
      <w:tr w:rsidR="007A11EF" w:rsidRPr="002F7AA5" w14:paraId="5F464BEE" w14:textId="77777777" w:rsidTr="00705040">
        <w:tc>
          <w:tcPr>
            <w:tcW w:w="4508" w:type="dxa"/>
          </w:tcPr>
          <w:p w14:paraId="2123BBE4" w14:textId="77777777" w:rsidR="007A11EF" w:rsidRPr="00822D8E" w:rsidRDefault="007A11EF" w:rsidP="00822D8E">
            <w:pPr>
              <w:jc w:val="both"/>
              <w:rPr>
                <w:rFonts w:asciiTheme="minorHAnsi" w:hAnsiTheme="minorHAnsi" w:cstheme="minorHAnsi"/>
                <w:sz w:val="22"/>
              </w:rPr>
            </w:pPr>
          </w:p>
        </w:tc>
        <w:tc>
          <w:tcPr>
            <w:tcW w:w="4508" w:type="dxa"/>
          </w:tcPr>
          <w:p w14:paraId="72EBE893" w14:textId="77777777" w:rsidR="007A11EF" w:rsidRPr="00822D8E" w:rsidRDefault="007A11EF" w:rsidP="00822D8E">
            <w:pPr>
              <w:jc w:val="both"/>
              <w:rPr>
                <w:rFonts w:asciiTheme="minorHAnsi" w:hAnsiTheme="minorHAnsi" w:cstheme="minorHAnsi"/>
                <w:sz w:val="22"/>
              </w:rPr>
            </w:pPr>
          </w:p>
        </w:tc>
      </w:tr>
      <w:tr w:rsidR="007A11EF" w:rsidRPr="002F7AA5" w14:paraId="3F0BB4C4" w14:textId="77777777" w:rsidTr="00705040">
        <w:tc>
          <w:tcPr>
            <w:tcW w:w="4508" w:type="dxa"/>
          </w:tcPr>
          <w:p w14:paraId="722AE1BC" w14:textId="05EA302B" w:rsidR="007A11EF" w:rsidRPr="00EB6D2B" w:rsidRDefault="007A11EF" w:rsidP="00822D8E">
            <w:pPr>
              <w:jc w:val="both"/>
              <w:rPr>
                <w:rFonts w:asciiTheme="minorHAnsi" w:hAnsiTheme="minorHAnsi" w:cstheme="minorHAnsi"/>
                <w:sz w:val="22"/>
                <w:lang w:val="fr-BE"/>
              </w:rPr>
            </w:pPr>
            <w:r w:rsidRPr="00822D8E">
              <w:rPr>
                <w:rFonts w:asciiTheme="minorHAnsi" w:hAnsiTheme="minorHAnsi" w:cstheme="minorHAnsi"/>
                <w:sz w:val="22"/>
                <w:lang w:val="fr-BE"/>
              </w:rPr>
              <w:t xml:space="preserve">La Justice demande déjà aux opérateurs ces données supplémentaires. </w:t>
            </w:r>
          </w:p>
        </w:tc>
        <w:tc>
          <w:tcPr>
            <w:tcW w:w="4508" w:type="dxa"/>
          </w:tcPr>
          <w:p w14:paraId="7222E081" w14:textId="04468BCF" w:rsidR="007A11EF" w:rsidRPr="00822D8E" w:rsidRDefault="007A11EF" w:rsidP="00822D8E">
            <w:pPr>
              <w:jc w:val="both"/>
              <w:rPr>
                <w:rFonts w:asciiTheme="minorHAnsi" w:hAnsiTheme="minorHAnsi" w:cstheme="minorHAnsi"/>
                <w:sz w:val="22"/>
              </w:rPr>
            </w:pPr>
            <w:r w:rsidRPr="00822D8E">
              <w:rPr>
                <w:rFonts w:asciiTheme="minorHAnsi" w:hAnsiTheme="minorHAnsi" w:cstheme="minorHAnsi"/>
                <w:sz w:val="22"/>
              </w:rPr>
              <w:t>Justitie vraagt al die bijkomende gegevens reeds aan de operatoren.</w:t>
            </w:r>
          </w:p>
        </w:tc>
      </w:tr>
      <w:tr w:rsidR="007A11EF" w:rsidRPr="002F7AA5" w14:paraId="20F53604" w14:textId="77777777" w:rsidTr="00705040">
        <w:tc>
          <w:tcPr>
            <w:tcW w:w="4508" w:type="dxa"/>
          </w:tcPr>
          <w:p w14:paraId="3F229F71" w14:textId="77777777" w:rsidR="007A11EF" w:rsidRPr="00822D8E" w:rsidRDefault="007A11EF" w:rsidP="007A11EF">
            <w:pPr>
              <w:rPr>
                <w:rFonts w:asciiTheme="minorHAnsi" w:hAnsiTheme="minorHAnsi" w:cstheme="minorHAnsi"/>
                <w:sz w:val="22"/>
              </w:rPr>
            </w:pPr>
          </w:p>
        </w:tc>
        <w:tc>
          <w:tcPr>
            <w:tcW w:w="4508" w:type="dxa"/>
          </w:tcPr>
          <w:p w14:paraId="2E4B7C88" w14:textId="77777777" w:rsidR="007A11EF" w:rsidRPr="00822D8E" w:rsidRDefault="007A11EF" w:rsidP="007A11EF">
            <w:pPr>
              <w:rPr>
                <w:rFonts w:asciiTheme="minorHAnsi" w:hAnsiTheme="minorHAnsi" w:cstheme="minorHAnsi"/>
                <w:sz w:val="22"/>
              </w:rPr>
            </w:pPr>
          </w:p>
        </w:tc>
      </w:tr>
      <w:tr w:rsidR="007A11EF" w:rsidRPr="002F7AA5" w14:paraId="50FDC945" w14:textId="77777777" w:rsidTr="00705040">
        <w:tc>
          <w:tcPr>
            <w:tcW w:w="4508" w:type="dxa"/>
          </w:tcPr>
          <w:p w14:paraId="7A25EB4D" w14:textId="7EE62AE5" w:rsidR="007A11EF" w:rsidRPr="00EB6D2B" w:rsidRDefault="007A11EF" w:rsidP="00822D8E">
            <w:pPr>
              <w:jc w:val="both"/>
              <w:rPr>
                <w:rFonts w:asciiTheme="minorHAnsi" w:hAnsiTheme="minorHAnsi" w:cstheme="minorHAnsi"/>
                <w:sz w:val="22"/>
                <w:lang w:val="fr-BE"/>
              </w:rPr>
            </w:pPr>
            <w:bookmarkStart w:id="17" w:name="_Hlk71115109"/>
            <w:r w:rsidRPr="00822D8E">
              <w:rPr>
                <w:rFonts w:asciiTheme="minorHAnsi" w:hAnsiTheme="minorHAnsi" w:cstheme="minorHAnsi"/>
                <w:sz w:val="22"/>
                <w:lang w:val="fr-FR"/>
              </w:rPr>
              <w:t>Le Conseil d’Etat français, qui a été amené à examiner la législation française en matière de conservation de métadonnées  par les opérateurs pour les autorités (arrêt du 21/04/2021 nos 393099, 394922, 397844, 397851, 424717, 424718, FRENCH DATA NETWORK et autres), a considéré à cet égard ce qui suit :</w:t>
            </w:r>
            <w:r w:rsidRPr="00822D8E">
              <w:rPr>
                <w:rFonts w:asciiTheme="minorHAnsi" w:hAnsiTheme="minorHAnsi" w:cstheme="minorHAnsi"/>
                <w:sz w:val="22"/>
                <w:lang w:val="fr-BE"/>
              </w:rPr>
              <w:t xml:space="preserve"> « il résulte clairement de la directive du 12 juillet 2002 et du RGPD qu’ils ne s’opposent pas à une obligation de conservation généralisée et indifférenciée, pour une durée d’un an, des informations autres que celles relatives à l’identité civile fournies lors de la souscription d’un contrat par un utilisateur ou lors de la création d’un compte, d’une part, et des données relatives aux paiements, d’autre part, mentionnées respectivement aux 3° et 4° de l’article 1er du décret du 25 février 2011 » (point 36).</w:t>
            </w:r>
            <w:bookmarkEnd w:id="17"/>
            <w:r w:rsidRPr="00822D8E">
              <w:rPr>
                <w:rFonts w:asciiTheme="minorHAnsi" w:hAnsiTheme="minorHAnsi" w:cstheme="minorHAnsi"/>
                <w:sz w:val="22"/>
                <w:lang w:val="fr-BE"/>
              </w:rPr>
              <w:t xml:space="preserve">  </w:t>
            </w:r>
          </w:p>
        </w:tc>
        <w:tc>
          <w:tcPr>
            <w:tcW w:w="4508" w:type="dxa"/>
          </w:tcPr>
          <w:p w14:paraId="1BC0DD7D" w14:textId="7FAC3D05" w:rsidR="007A11EF" w:rsidRPr="00822D8E" w:rsidRDefault="007A11EF" w:rsidP="00822D8E">
            <w:pPr>
              <w:jc w:val="both"/>
              <w:rPr>
                <w:rFonts w:asciiTheme="minorHAnsi" w:hAnsiTheme="minorHAnsi" w:cstheme="minorHAnsi"/>
                <w:sz w:val="22"/>
              </w:rPr>
            </w:pPr>
            <w:r w:rsidRPr="00822D8E">
              <w:rPr>
                <w:rFonts w:asciiTheme="minorHAnsi" w:hAnsiTheme="minorHAnsi" w:cstheme="minorHAnsi"/>
                <w:sz w:val="22"/>
              </w:rPr>
              <w:t xml:space="preserve">De Franse </w:t>
            </w:r>
            <w:proofErr w:type="spellStart"/>
            <w:r w:rsidRPr="00822D8E">
              <w:rPr>
                <w:rFonts w:asciiTheme="minorHAnsi" w:hAnsiTheme="minorHAnsi" w:cstheme="minorHAnsi"/>
                <w:sz w:val="22"/>
              </w:rPr>
              <w:t>Conseil</w:t>
            </w:r>
            <w:proofErr w:type="spellEnd"/>
            <w:r w:rsidRPr="00822D8E">
              <w:rPr>
                <w:rFonts w:asciiTheme="minorHAnsi" w:hAnsiTheme="minorHAnsi" w:cstheme="minorHAnsi"/>
                <w:sz w:val="22"/>
              </w:rPr>
              <w:t xml:space="preserve"> </w:t>
            </w:r>
            <w:proofErr w:type="spellStart"/>
            <w:r w:rsidRPr="00822D8E">
              <w:rPr>
                <w:rFonts w:asciiTheme="minorHAnsi" w:hAnsiTheme="minorHAnsi" w:cstheme="minorHAnsi"/>
                <w:sz w:val="22"/>
              </w:rPr>
              <w:t>d’Etat</w:t>
            </w:r>
            <w:proofErr w:type="spellEnd"/>
            <w:r w:rsidRPr="00822D8E">
              <w:rPr>
                <w:rFonts w:asciiTheme="minorHAnsi" w:hAnsiTheme="minorHAnsi" w:cstheme="minorHAnsi"/>
                <w:sz w:val="22"/>
              </w:rPr>
              <w:t xml:space="preserve">, die de wetgeving betreffende bewaring door de operatoren van metagegevens voor de autoriteiten moest onderzoeken (arrest van 21/04/2021 </w:t>
            </w:r>
            <w:proofErr w:type="spellStart"/>
            <w:r w:rsidRPr="00822D8E">
              <w:rPr>
                <w:rFonts w:asciiTheme="minorHAnsi" w:hAnsiTheme="minorHAnsi" w:cstheme="minorHAnsi"/>
                <w:sz w:val="22"/>
              </w:rPr>
              <w:t>nrs</w:t>
            </w:r>
            <w:proofErr w:type="spellEnd"/>
            <w:r w:rsidRPr="00822D8E">
              <w:rPr>
                <w:rFonts w:asciiTheme="minorHAnsi" w:hAnsiTheme="minorHAnsi" w:cstheme="minorHAnsi"/>
                <w:sz w:val="22"/>
              </w:rPr>
              <w:t xml:space="preserve">. 393099, 394922, 397844, 397851, 424717, 424718, FRENCH DATA NETWORK et </w:t>
            </w:r>
            <w:proofErr w:type="spellStart"/>
            <w:r w:rsidRPr="00822D8E">
              <w:rPr>
                <w:rFonts w:asciiTheme="minorHAnsi" w:hAnsiTheme="minorHAnsi" w:cstheme="minorHAnsi"/>
                <w:sz w:val="22"/>
              </w:rPr>
              <w:t>autres</w:t>
            </w:r>
            <w:proofErr w:type="spellEnd"/>
            <w:r w:rsidRPr="00822D8E">
              <w:rPr>
                <w:rFonts w:asciiTheme="minorHAnsi" w:hAnsiTheme="minorHAnsi" w:cstheme="minorHAnsi"/>
                <w:sz w:val="22"/>
              </w:rPr>
              <w:t>), heeft daarover het volgende gesteld: “uit de richtlijn van 12 juli 2002 en van de AVG blijkt duidelijk dat zij niet gekant zijn tegen een verplichting tot algemene en ongedifferentieerde bewaring, voor de duur van een jaar, van andere inlichtingen dan die in verband met de burgerlijke identiteit die verstrekt zijn bij het sluiten van een contract door een gebruiker of bij het aanmaken van een account enerzijds, en van de gegevens met betrekking tot de betalingen anderzijds, respectievelijk vermeld in de bepalingen onder 3° en 4° van artikel 1 van het decreet van 25 februari 2011” (punt 36) (vrij vertaald).</w:t>
            </w:r>
          </w:p>
        </w:tc>
      </w:tr>
      <w:tr w:rsidR="007A11EF" w:rsidRPr="002F7AA5" w14:paraId="540CDA13" w14:textId="77777777" w:rsidTr="00705040">
        <w:tc>
          <w:tcPr>
            <w:tcW w:w="4508" w:type="dxa"/>
          </w:tcPr>
          <w:p w14:paraId="331F3322" w14:textId="77777777" w:rsidR="007A11EF" w:rsidRPr="00822D8E" w:rsidRDefault="007A11EF" w:rsidP="007A11EF">
            <w:pPr>
              <w:rPr>
                <w:rFonts w:asciiTheme="minorHAnsi" w:hAnsiTheme="minorHAnsi" w:cstheme="minorHAnsi"/>
                <w:sz w:val="22"/>
              </w:rPr>
            </w:pPr>
          </w:p>
        </w:tc>
        <w:tc>
          <w:tcPr>
            <w:tcW w:w="4508" w:type="dxa"/>
          </w:tcPr>
          <w:p w14:paraId="4EF97BBD" w14:textId="77777777" w:rsidR="007A11EF" w:rsidRPr="00822D8E" w:rsidRDefault="007A11EF" w:rsidP="007A11EF">
            <w:pPr>
              <w:rPr>
                <w:rFonts w:asciiTheme="minorHAnsi" w:hAnsiTheme="minorHAnsi" w:cstheme="minorHAnsi"/>
                <w:sz w:val="22"/>
              </w:rPr>
            </w:pPr>
          </w:p>
        </w:tc>
      </w:tr>
      <w:tr w:rsidR="007A11EF" w:rsidRPr="002F7AA5" w14:paraId="31BF9140" w14:textId="77777777" w:rsidTr="00705040">
        <w:tc>
          <w:tcPr>
            <w:tcW w:w="4508" w:type="dxa"/>
          </w:tcPr>
          <w:p w14:paraId="0C16F1A2" w14:textId="5A86CF60" w:rsidR="007A11EF" w:rsidRPr="00822D8E" w:rsidRDefault="007A11EF" w:rsidP="00822D8E">
            <w:pPr>
              <w:jc w:val="both"/>
              <w:rPr>
                <w:rFonts w:asciiTheme="minorHAnsi" w:hAnsiTheme="minorHAnsi" w:cstheme="minorHAnsi"/>
                <w:sz w:val="22"/>
                <w:u w:val="single"/>
              </w:rPr>
            </w:pPr>
            <w:bookmarkStart w:id="18" w:name="_Toc94811183"/>
            <w:proofErr w:type="spellStart"/>
            <w:r w:rsidRPr="00822D8E">
              <w:rPr>
                <w:rFonts w:asciiTheme="minorHAnsi" w:hAnsiTheme="minorHAnsi" w:cstheme="minorHAnsi"/>
                <w:sz w:val="22"/>
                <w:u w:val="single"/>
              </w:rPr>
              <w:t>L’alias</w:t>
            </w:r>
            <w:proofErr w:type="spellEnd"/>
            <w:r w:rsidRPr="00822D8E">
              <w:rPr>
                <w:rFonts w:asciiTheme="minorHAnsi" w:hAnsiTheme="minorHAnsi" w:cstheme="minorHAnsi"/>
                <w:sz w:val="22"/>
                <w:u w:val="single"/>
              </w:rPr>
              <w:t xml:space="preserve"> (2°)</w:t>
            </w:r>
            <w:bookmarkEnd w:id="18"/>
          </w:p>
        </w:tc>
        <w:tc>
          <w:tcPr>
            <w:tcW w:w="4508" w:type="dxa"/>
          </w:tcPr>
          <w:p w14:paraId="67408873" w14:textId="14349538" w:rsidR="007A11EF" w:rsidRPr="00822D8E" w:rsidRDefault="007A11EF" w:rsidP="00822D8E">
            <w:pPr>
              <w:jc w:val="both"/>
              <w:rPr>
                <w:rFonts w:asciiTheme="minorHAnsi" w:hAnsiTheme="minorHAnsi" w:cstheme="minorHAnsi"/>
                <w:sz w:val="22"/>
                <w:u w:val="single"/>
              </w:rPr>
            </w:pPr>
            <w:r w:rsidRPr="00822D8E">
              <w:rPr>
                <w:rFonts w:asciiTheme="minorHAnsi" w:hAnsiTheme="minorHAnsi" w:cstheme="minorHAnsi"/>
                <w:sz w:val="22"/>
                <w:u w:val="single"/>
                <w:lang w:val="fr-BE"/>
              </w:rPr>
              <w:t>De alias (2°)</w:t>
            </w:r>
          </w:p>
        </w:tc>
      </w:tr>
      <w:tr w:rsidR="007A11EF" w:rsidRPr="002F7AA5" w14:paraId="3A6234D0" w14:textId="77777777" w:rsidTr="00705040">
        <w:tc>
          <w:tcPr>
            <w:tcW w:w="4508" w:type="dxa"/>
          </w:tcPr>
          <w:p w14:paraId="1D340630" w14:textId="77777777" w:rsidR="007A11EF" w:rsidRPr="00822D8E" w:rsidRDefault="007A11EF" w:rsidP="007A11EF">
            <w:pPr>
              <w:rPr>
                <w:rFonts w:asciiTheme="minorHAnsi" w:hAnsiTheme="minorHAnsi" w:cstheme="minorHAnsi"/>
                <w:sz w:val="22"/>
              </w:rPr>
            </w:pPr>
          </w:p>
        </w:tc>
        <w:tc>
          <w:tcPr>
            <w:tcW w:w="4508" w:type="dxa"/>
          </w:tcPr>
          <w:p w14:paraId="6FDE3348" w14:textId="77777777" w:rsidR="007A11EF" w:rsidRPr="00822D8E" w:rsidRDefault="007A11EF" w:rsidP="007A11EF">
            <w:pPr>
              <w:rPr>
                <w:rFonts w:asciiTheme="minorHAnsi" w:hAnsiTheme="minorHAnsi" w:cstheme="minorHAnsi"/>
                <w:sz w:val="22"/>
              </w:rPr>
            </w:pPr>
          </w:p>
        </w:tc>
      </w:tr>
      <w:tr w:rsidR="007A11EF" w:rsidRPr="002F7AA5" w14:paraId="1C7628ED" w14:textId="77777777" w:rsidTr="00705040">
        <w:tc>
          <w:tcPr>
            <w:tcW w:w="4508" w:type="dxa"/>
          </w:tcPr>
          <w:p w14:paraId="6490D984" w14:textId="6060520F" w:rsidR="007A11EF" w:rsidRPr="00EB6D2B" w:rsidRDefault="007A11EF" w:rsidP="00822D8E">
            <w:pPr>
              <w:jc w:val="both"/>
              <w:rPr>
                <w:rFonts w:asciiTheme="minorHAnsi" w:hAnsiTheme="minorHAnsi" w:cstheme="minorHAnsi"/>
                <w:sz w:val="22"/>
                <w:lang w:val="fr-BE"/>
              </w:rPr>
            </w:pPr>
            <w:r w:rsidRPr="00822D8E">
              <w:rPr>
                <w:rFonts w:asciiTheme="minorHAnsi" w:hAnsiTheme="minorHAnsi" w:cstheme="minorHAnsi"/>
                <w:sz w:val="22"/>
                <w:lang w:val="fr-BE"/>
              </w:rPr>
              <w:t xml:space="preserve">L’opérateur doit conserver l’alias (dans ce contexte le nom par lequel l’utilisateur final se fait connaître auprès des autres utilisateurs finaux). Si l’utilisateur final a la possibilité de modifier son alias lors l’activation du service, l’opérateur devra conserver tant l’alias lors de la souscription que celui lors de l’activation.   </w:t>
            </w:r>
          </w:p>
        </w:tc>
        <w:tc>
          <w:tcPr>
            <w:tcW w:w="4508" w:type="dxa"/>
          </w:tcPr>
          <w:p w14:paraId="23F58182" w14:textId="6A38F2A5" w:rsidR="007A11EF" w:rsidRPr="00822D8E" w:rsidRDefault="007A11EF" w:rsidP="00822D8E">
            <w:pPr>
              <w:jc w:val="both"/>
              <w:rPr>
                <w:rFonts w:asciiTheme="minorHAnsi" w:hAnsiTheme="minorHAnsi" w:cstheme="minorHAnsi"/>
                <w:sz w:val="22"/>
              </w:rPr>
            </w:pPr>
            <w:r w:rsidRPr="00822D8E">
              <w:rPr>
                <w:rFonts w:asciiTheme="minorHAnsi" w:hAnsiTheme="minorHAnsi" w:cstheme="minorHAnsi"/>
                <w:sz w:val="22"/>
              </w:rPr>
              <w:t xml:space="preserve">De operator moet de alias bewaren (in die context de naam waarmee de eindgebruiker zich bekendmaakt aan andere eindgebruikers). Indien de eindgebruiker de mogelijkheid heeft om bij de activering van de dienst zijn alias te wijzigen, zal de operator zowel de alias bij de inschrijving als die bij de activering moeten bewaren.   </w:t>
            </w:r>
          </w:p>
        </w:tc>
      </w:tr>
      <w:tr w:rsidR="007A11EF" w:rsidRPr="002F7AA5" w14:paraId="393E4545" w14:textId="77777777" w:rsidTr="00705040">
        <w:tc>
          <w:tcPr>
            <w:tcW w:w="4508" w:type="dxa"/>
          </w:tcPr>
          <w:p w14:paraId="7C0CD79F" w14:textId="77777777" w:rsidR="007A11EF" w:rsidRPr="00822D8E" w:rsidRDefault="007A11EF" w:rsidP="007A11EF">
            <w:pPr>
              <w:rPr>
                <w:rFonts w:asciiTheme="minorHAnsi" w:hAnsiTheme="minorHAnsi" w:cstheme="minorHAnsi"/>
                <w:sz w:val="22"/>
              </w:rPr>
            </w:pPr>
          </w:p>
        </w:tc>
        <w:tc>
          <w:tcPr>
            <w:tcW w:w="4508" w:type="dxa"/>
          </w:tcPr>
          <w:p w14:paraId="13B8F290" w14:textId="77777777" w:rsidR="007A11EF" w:rsidRPr="00822D8E" w:rsidRDefault="007A11EF" w:rsidP="007A11EF">
            <w:pPr>
              <w:rPr>
                <w:rFonts w:asciiTheme="minorHAnsi" w:hAnsiTheme="minorHAnsi" w:cstheme="minorHAnsi"/>
                <w:sz w:val="22"/>
              </w:rPr>
            </w:pPr>
          </w:p>
        </w:tc>
      </w:tr>
      <w:tr w:rsidR="007A11EF" w:rsidRPr="002F7AA5" w14:paraId="66497943" w14:textId="77777777" w:rsidTr="00705040">
        <w:tc>
          <w:tcPr>
            <w:tcW w:w="4508" w:type="dxa"/>
          </w:tcPr>
          <w:p w14:paraId="24F4426F" w14:textId="3C952C1C" w:rsidR="007A11EF" w:rsidRPr="00EB6D2B" w:rsidRDefault="007A11EF" w:rsidP="008C25D4">
            <w:pPr>
              <w:jc w:val="both"/>
              <w:rPr>
                <w:rFonts w:asciiTheme="minorHAnsi" w:hAnsiTheme="minorHAnsi" w:cstheme="minorHAnsi"/>
                <w:sz w:val="22"/>
                <w:u w:val="single"/>
                <w:lang w:val="fr-BE"/>
              </w:rPr>
            </w:pPr>
            <w:bookmarkStart w:id="19" w:name="_Toc94811184"/>
            <w:r w:rsidRPr="00EB6D2B">
              <w:rPr>
                <w:rFonts w:asciiTheme="minorHAnsi" w:hAnsiTheme="minorHAnsi" w:cstheme="minorHAnsi"/>
                <w:sz w:val="22"/>
                <w:u w:val="single"/>
                <w:lang w:val="fr-BE"/>
              </w:rPr>
              <w:t>Les coordonnées de contact de l’abonné (3°)</w:t>
            </w:r>
            <w:bookmarkEnd w:id="19"/>
          </w:p>
        </w:tc>
        <w:tc>
          <w:tcPr>
            <w:tcW w:w="4508" w:type="dxa"/>
          </w:tcPr>
          <w:p w14:paraId="49A5520C" w14:textId="2BC60873" w:rsidR="007A11EF" w:rsidRPr="008C25D4" w:rsidRDefault="007A11EF" w:rsidP="008C25D4">
            <w:pPr>
              <w:jc w:val="both"/>
              <w:rPr>
                <w:rFonts w:asciiTheme="minorHAnsi" w:hAnsiTheme="minorHAnsi" w:cstheme="minorHAnsi"/>
                <w:sz w:val="22"/>
                <w:u w:val="single"/>
              </w:rPr>
            </w:pPr>
            <w:r w:rsidRPr="008C25D4">
              <w:rPr>
                <w:rFonts w:asciiTheme="minorHAnsi" w:hAnsiTheme="minorHAnsi" w:cstheme="minorHAnsi"/>
                <w:sz w:val="22"/>
                <w:u w:val="single"/>
              </w:rPr>
              <w:t>De contactgegevens van de abonnee (3°)</w:t>
            </w:r>
          </w:p>
        </w:tc>
      </w:tr>
      <w:tr w:rsidR="007A11EF" w:rsidRPr="002F7AA5" w14:paraId="225F2D22" w14:textId="77777777" w:rsidTr="00705040">
        <w:tc>
          <w:tcPr>
            <w:tcW w:w="4508" w:type="dxa"/>
          </w:tcPr>
          <w:p w14:paraId="2BBDF68D" w14:textId="77777777" w:rsidR="007A11EF" w:rsidRPr="00822D8E" w:rsidRDefault="007A11EF" w:rsidP="007A11EF">
            <w:pPr>
              <w:rPr>
                <w:rFonts w:asciiTheme="minorHAnsi" w:hAnsiTheme="minorHAnsi" w:cstheme="minorHAnsi"/>
                <w:sz w:val="22"/>
              </w:rPr>
            </w:pPr>
          </w:p>
        </w:tc>
        <w:tc>
          <w:tcPr>
            <w:tcW w:w="4508" w:type="dxa"/>
          </w:tcPr>
          <w:p w14:paraId="31A858B0" w14:textId="77777777" w:rsidR="007A11EF" w:rsidRPr="00822D8E" w:rsidRDefault="007A11EF" w:rsidP="007A11EF">
            <w:pPr>
              <w:rPr>
                <w:rFonts w:asciiTheme="minorHAnsi" w:hAnsiTheme="minorHAnsi" w:cstheme="minorHAnsi"/>
                <w:sz w:val="22"/>
              </w:rPr>
            </w:pPr>
          </w:p>
        </w:tc>
      </w:tr>
      <w:tr w:rsidR="007A11EF" w:rsidRPr="002F7AA5" w14:paraId="6F763FEA" w14:textId="77777777" w:rsidTr="00705040">
        <w:tc>
          <w:tcPr>
            <w:tcW w:w="4508" w:type="dxa"/>
          </w:tcPr>
          <w:p w14:paraId="385338FC" w14:textId="660C5378" w:rsidR="007A11EF" w:rsidRPr="00EB6D2B" w:rsidRDefault="007A11EF" w:rsidP="008C25D4">
            <w:pPr>
              <w:jc w:val="both"/>
              <w:rPr>
                <w:rFonts w:asciiTheme="minorHAnsi" w:hAnsiTheme="minorHAnsi" w:cstheme="minorHAnsi"/>
                <w:sz w:val="22"/>
                <w:lang w:val="fr-BE"/>
              </w:rPr>
            </w:pPr>
            <w:r w:rsidRPr="00822D8E">
              <w:rPr>
                <w:rFonts w:asciiTheme="minorHAnsi" w:hAnsiTheme="minorHAnsi" w:cstheme="minorHAnsi"/>
                <w:sz w:val="22"/>
                <w:lang w:val="fr-BE"/>
              </w:rPr>
              <w:t xml:space="preserve">Le 3° renvoie aux coordonnées de contact de l’abonné, sans donner une liste exhaustive de toutes les manières dont dispose l’opérateur pour pouvoir contacter l’abonné. En effet, avec </w:t>
            </w:r>
            <w:r w:rsidRPr="00822D8E">
              <w:rPr>
                <w:rFonts w:asciiTheme="minorHAnsi" w:hAnsiTheme="minorHAnsi" w:cstheme="minorHAnsi"/>
                <w:sz w:val="22"/>
                <w:lang w:val="fr-BE"/>
              </w:rPr>
              <w:lastRenderedPageBreak/>
              <w:t xml:space="preserve">les évolutions et en particulier le développement des médias sociaux, un numéro de téléphone, une adresse e-mail ou une adresse postale ne sont plus nécessairement les (seuls) moyens à la disposition de l’opérateur pour contacter l’abonné.  </w:t>
            </w:r>
          </w:p>
        </w:tc>
        <w:tc>
          <w:tcPr>
            <w:tcW w:w="4508" w:type="dxa"/>
          </w:tcPr>
          <w:p w14:paraId="6BBDE7E5" w14:textId="7321DFBB" w:rsidR="007A11EF" w:rsidRPr="00822D8E" w:rsidRDefault="007A11EF" w:rsidP="008C25D4">
            <w:pPr>
              <w:jc w:val="both"/>
              <w:rPr>
                <w:rFonts w:asciiTheme="minorHAnsi" w:hAnsiTheme="minorHAnsi" w:cstheme="minorHAnsi"/>
                <w:sz w:val="22"/>
              </w:rPr>
            </w:pPr>
            <w:r w:rsidRPr="00822D8E">
              <w:rPr>
                <w:rFonts w:asciiTheme="minorHAnsi" w:hAnsiTheme="minorHAnsi" w:cstheme="minorHAnsi"/>
                <w:sz w:val="22"/>
              </w:rPr>
              <w:lastRenderedPageBreak/>
              <w:t xml:space="preserve">3° verwijst naar de contactgegevens van de abonnee zonder een volledige lijst te geven van alle manieren waarover de operator beschikt om contact te kunnen opnemen met de </w:t>
            </w:r>
            <w:r w:rsidRPr="00822D8E">
              <w:rPr>
                <w:rFonts w:asciiTheme="minorHAnsi" w:hAnsiTheme="minorHAnsi" w:cstheme="minorHAnsi"/>
                <w:sz w:val="22"/>
              </w:rPr>
              <w:lastRenderedPageBreak/>
              <w:t>abonnee. Door de evoluties en in het bijzonder de ontwikkeling van sociale media zijn een telefoonnummer, een e-mailadres of een postadres immers niet meer noodzakelijkerwijs de (enige) middelen waarover de operator beschikt om contact op te nemen met de abonnee.</w:t>
            </w:r>
          </w:p>
        </w:tc>
      </w:tr>
      <w:tr w:rsidR="007A11EF" w:rsidRPr="002F7AA5" w14:paraId="5D7CBEC1" w14:textId="77777777" w:rsidTr="00705040">
        <w:tc>
          <w:tcPr>
            <w:tcW w:w="4508" w:type="dxa"/>
          </w:tcPr>
          <w:p w14:paraId="267EDA70" w14:textId="77777777" w:rsidR="007A11EF" w:rsidRPr="00822D8E" w:rsidRDefault="007A11EF" w:rsidP="007A11EF">
            <w:pPr>
              <w:rPr>
                <w:rFonts w:asciiTheme="minorHAnsi" w:hAnsiTheme="minorHAnsi" w:cstheme="minorHAnsi"/>
                <w:sz w:val="22"/>
              </w:rPr>
            </w:pPr>
          </w:p>
        </w:tc>
        <w:tc>
          <w:tcPr>
            <w:tcW w:w="4508" w:type="dxa"/>
          </w:tcPr>
          <w:p w14:paraId="6B8EB9DA" w14:textId="77777777" w:rsidR="007A11EF" w:rsidRPr="00822D8E" w:rsidRDefault="007A11EF" w:rsidP="007A11EF">
            <w:pPr>
              <w:rPr>
                <w:rFonts w:asciiTheme="minorHAnsi" w:hAnsiTheme="minorHAnsi" w:cstheme="minorHAnsi"/>
                <w:sz w:val="22"/>
              </w:rPr>
            </w:pPr>
          </w:p>
        </w:tc>
      </w:tr>
      <w:tr w:rsidR="007A11EF" w:rsidRPr="002F7AA5" w14:paraId="08B37656" w14:textId="77777777" w:rsidTr="00705040">
        <w:tc>
          <w:tcPr>
            <w:tcW w:w="4508" w:type="dxa"/>
          </w:tcPr>
          <w:p w14:paraId="15AED4F2" w14:textId="2D421B54" w:rsidR="007A11EF" w:rsidRPr="00EB6D2B" w:rsidRDefault="007A11EF" w:rsidP="008C25D4">
            <w:pPr>
              <w:jc w:val="both"/>
              <w:rPr>
                <w:rFonts w:asciiTheme="minorHAnsi" w:hAnsiTheme="minorHAnsi" w:cstheme="minorHAnsi"/>
                <w:sz w:val="22"/>
                <w:u w:val="single"/>
                <w:lang w:val="fr-BE"/>
              </w:rPr>
            </w:pPr>
            <w:bookmarkStart w:id="20" w:name="_Toc94811185"/>
            <w:r w:rsidRPr="00EB6D2B">
              <w:rPr>
                <w:rFonts w:asciiTheme="minorHAnsi" w:hAnsiTheme="minorHAnsi" w:cstheme="minorHAnsi"/>
                <w:sz w:val="22"/>
                <w:u w:val="single"/>
                <w:lang w:val="fr-BE"/>
              </w:rPr>
              <w:t>La date et le lieu de la souscription au service et de l’activation du service (4°)</w:t>
            </w:r>
            <w:bookmarkEnd w:id="20"/>
          </w:p>
        </w:tc>
        <w:tc>
          <w:tcPr>
            <w:tcW w:w="4508" w:type="dxa"/>
          </w:tcPr>
          <w:p w14:paraId="6F2C11CA" w14:textId="0612F469" w:rsidR="007A11EF" w:rsidRPr="008C25D4" w:rsidRDefault="007A11EF" w:rsidP="008C25D4">
            <w:pPr>
              <w:jc w:val="both"/>
              <w:rPr>
                <w:rFonts w:asciiTheme="minorHAnsi" w:hAnsiTheme="minorHAnsi" w:cstheme="minorHAnsi"/>
                <w:sz w:val="22"/>
                <w:u w:val="single"/>
              </w:rPr>
            </w:pPr>
            <w:r w:rsidRPr="008C25D4">
              <w:rPr>
                <w:rFonts w:asciiTheme="minorHAnsi" w:hAnsiTheme="minorHAnsi" w:cstheme="minorHAnsi"/>
                <w:sz w:val="22"/>
                <w:u w:val="single"/>
              </w:rPr>
              <w:t>De datum en de plaats van inschrijving op de dienst en van de activering van de dienst (4°)</w:t>
            </w:r>
          </w:p>
        </w:tc>
      </w:tr>
      <w:tr w:rsidR="007A11EF" w:rsidRPr="002F7AA5" w14:paraId="4003BC8F" w14:textId="77777777" w:rsidTr="00705040">
        <w:tc>
          <w:tcPr>
            <w:tcW w:w="4508" w:type="dxa"/>
          </w:tcPr>
          <w:p w14:paraId="67CF6FC5" w14:textId="77777777" w:rsidR="007A11EF" w:rsidRPr="00822D8E" w:rsidRDefault="007A11EF" w:rsidP="007A11EF">
            <w:pPr>
              <w:rPr>
                <w:rFonts w:asciiTheme="minorHAnsi" w:hAnsiTheme="minorHAnsi" w:cstheme="minorHAnsi"/>
                <w:sz w:val="22"/>
              </w:rPr>
            </w:pPr>
          </w:p>
        </w:tc>
        <w:tc>
          <w:tcPr>
            <w:tcW w:w="4508" w:type="dxa"/>
          </w:tcPr>
          <w:p w14:paraId="1BFFD10E" w14:textId="77777777" w:rsidR="007A11EF" w:rsidRPr="00822D8E" w:rsidRDefault="007A11EF" w:rsidP="007A11EF">
            <w:pPr>
              <w:rPr>
                <w:rFonts w:asciiTheme="minorHAnsi" w:hAnsiTheme="minorHAnsi" w:cstheme="minorHAnsi"/>
                <w:sz w:val="22"/>
              </w:rPr>
            </w:pPr>
          </w:p>
        </w:tc>
      </w:tr>
      <w:tr w:rsidR="007A11EF" w:rsidRPr="002F7AA5" w14:paraId="3C705B79" w14:textId="77777777" w:rsidTr="00705040">
        <w:tc>
          <w:tcPr>
            <w:tcW w:w="4508" w:type="dxa"/>
          </w:tcPr>
          <w:p w14:paraId="26DBE578" w14:textId="41BA684E" w:rsidR="007A11EF" w:rsidRPr="00EB6D2B" w:rsidRDefault="007A11EF" w:rsidP="008C25D4">
            <w:pPr>
              <w:jc w:val="both"/>
              <w:rPr>
                <w:rFonts w:asciiTheme="minorHAnsi" w:hAnsiTheme="minorHAnsi" w:cstheme="minorHAnsi"/>
                <w:sz w:val="22"/>
                <w:lang w:val="fr-BE"/>
              </w:rPr>
            </w:pPr>
            <w:r w:rsidRPr="00822D8E">
              <w:rPr>
                <w:rFonts w:asciiTheme="minorHAnsi" w:hAnsiTheme="minorHAnsi" w:cstheme="minorHAnsi"/>
                <w:sz w:val="22"/>
                <w:lang w:val="fr-BE"/>
              </w:rPr>
              <w:t xml:space="preserve">La conservation de l’adresse du point de terminaison du réseau (voir définition dans l’article 2, 16°, de la loi télécom) ne permettra de déterminer le lieu de la souscription au service ou de l’activation du service que si cette souscription ou cette activation se fait à partir du même réseau que le réseau de l’opérateur qui offre le service auquel il est souscrit. </w:t>
            </w:r>
          </w:p>
        </w:tc>
        <w:tc>
          <w:tcPr>
            <w:tcW w:w="4508" w:type="dxa"/>
          </w:tcPr>
          <w:p w14:paraId="5CFEF7AC" w14:textId="274055D9" w:rsidR="007A11EF" w:rsidRPr="00822D8E" w:rsidRDefault="007A11EF" w:rsidP="008C25D4">
            <w:pPr>
              <w:jc w:val="both"/>
              <w:rPr>
                <w:rFonts w:asciiTheme="minorHAnsi" w:hAnsiTheme="minorHAnsi" w:cstheme="minorHAnsi"/>
                <w:sz w:val="22"/>
              </w:rPr>
            </w:pPr>
            <w:r w:rsidRPr="00822D8E">
              <w:rPr>
                <w:rFonts w:asciiTheme="minorHAnsi" w:hAnsiTheme="minorHAnsi" w:cstheme="minorHAnsi"/>
                <w:sz w:val="22"/>
              </w:rPr>
              <w:t>De bewaring van het adres van het netwerkaansluitpunt (zie definitie in artikel 2, 16°, van de telecomwet) zal het maar mogelijk maken om de plaats van de inschrijving op de dienst of de activering van de dienst te bepalen wanneer die inschrijving of die activering gebeurt op hetzelfde netwerk als het netwerk van de operator die de dienst aanbiedt waarop hij ingeschreven is.</w:t>
            </w:r>
          </w:p>
        </w:tc>
      </w:tr>
      <w:tr w:rsidR="007A11EF" w:rsidRPr="002F7AA5" w14:paraId="7BB97CA0" w14:textId="77777777" w:rsidTr="00705040">
        <w:tc>
          <w:tcPr>
            <w:tcW w:w="4508" w:type="dxa"/>
          </w:tcPr>
          <w:p w14:paraId="3D721091" w14:textId="77777777" w:rsidR="007A11EF" w:rsidRPr="002F7AA5" w:rsidRDefault="007A11EF" w:rsidP="007A11EF">
            <w:pPr>
              <w:rPr>
                <w:rFonts w:asciiTheme="minorHAnsi" w:hAnsiTheme="minorHAnsi" w:cstheme="minorHAnsi"/>
                <w:sz w:val="22"/>
              </w:rPr>
            </w:pPr>
          </w:p>
        </w:tc>
        <w:tc>
          <w:tcPr>
            <w:tcW w:w="4508" w:type="dxa"/>
          </w:tcPr>
          <w:p w14:paraId="5BF25BD2" w14:textId="77777777" w:rsidR="007A11EF" w:rsidRPr="002F7AA5" w:rsidRDefault="007A11EF" w:rsidP="007A11EF">
            <w:pPr>
              <w:rPr>
                <w:rFonts w:asciiTheme="minorHAnsi" w:hAnsiTheme="minorHAnsi" w:cstheme="minorHAnsi"/>
                <w:sz w:val="22"/>
              </w:rPr>
            </w:pPr>
          </w:p>
        </w:tc>
      </w:tr>
      <w:tr w:rsidR="007A11EF" w:rsidRPr="002F7AA5" w14:paraId="694AC387" w14:textId="77777777" w:rsidTr="00705040">
        <w:tc>
          <w:tcPr>
            <w:tcW w:w="4508" w:type="dxa"/>
          </w:tcPr>
          <w:p w14:paraId="15EEF133" w14:textId="4C72AD34" w:rsidR="007A11EF" w:rsidRPr="00EB6D2B" w:rsidRDefault="007A11EF" w:rsidP="008C25D4">
            <w:pPr>
              <w:jc w:val="both"/>
              <w:rPr>
                <w:rFonts w:asciiTheme="minorHAnsi" w:hAnsiTheme="minorHAnsi" w:cstheme="minorHAnsi"/>
                <w:sz w:val="22"/>
                <w:lang w:val="fr-BE"/>
              </w:rPr>
            </w:pPr>
            <w:r w:rsidRPr="008C25D4">
              <w:rPr>
                <w:rFonts w:asciiTheme="minorHAnsi" w:hAnsiTheme="minorHAnsi" w:cstheme="minorHAnsi"/>
                <w:sz w:val="22"/>
                <w:lang w:val="fr-BE"/>
              </w:rPr>
              <w:t>Dans certain</w:t>
            </w:r>
            <w:r w:rsidR="008F1F7F">
              <w:rPr>
                <w:rFonts w:asciiTheme="minorHAnsi" w:hAnsiTheme="minorHAnsi" w:cstheme="minorHAnsi"/>
                <w:sz w:val="22"/>
                <w:lang w:val="fr-BE"/>
              </w:rPr>
              <w:t>s</w:t>
            </w:r>
            <w:r w:rsidRPr="008C25D4">
              <w:rPr>
                <w:rFonts w:asciiTheme="minorHAnsi" w:hAnsiTheme="minorHAnsi" w:cstheme="minorHAnsi"/>
                <w:sz w:val="22"/>
                <w:lang w:val="fr-BE"/>
              </w:rPr>
              <w:t xml:space="preserve"> cas, un service de communications électroniques est activé par SMS. Dans ce cas, l’opérateur devra conserver la localisation géographique de l’antenne qui a servi à l’envoi du SMS.  </w:t>
            </w:r>
          </w:p>
        </w:tc>
        <w:tc>
          <w:tcPr>
            <w:tcW w:w="4508" w:type="dxa"/>
          </w:tcPr>
          <w:p w14:paraId="0AA7FABC" w14:textId="75A67FBF" w:rsidR="007A11EF" w:rsidRPr="008C25D4" w:rsidRDefault="007A11EF" w:rsidP="008C25D4">
            <w:pPr>
              <w:jc w:val="both"/>
              <w:rPr>
                <w:rFonts w:asciiTheme="minorHAnsi" w:hAnsiTheme="minorHAnsi" w:cstheme="minorHAnsi"/>
                <w:sz w:val="22"/>
              </w:rPr>
            </w:pPr>
            <w:r w:rsidRPr="008C25D4">
              <w:rPr>
                <w:rFonts w:asciiTheme="minorHAnsi" w:hAnsiTheme="minorHAnsi" w:cstheme="minorHAnsi"/>
                <w:sz w:val="22"/>
              </w:rPr>
              <w:t xml:space="preserve">In sommige gevallen wordt een elektronische-communicatiedienst via sms geactiveerd. In dat geval zal de operator de geografische locatie van de antenne die gebruikt is voor het versturen van de sms moeten bewaren.  </w:t>
            </w:r>
          </w:p>
        </w:tc>
      </w:tr>
      <w:tr w:rsidR="007A11EF" w:rsidRPr="002F7AA5" w14:paraId="1B5DA4AD" w14:textId="77777777" w:rsidTr="00705040">
        <w:tc>
          <w:tcPr>
            <w:tcW w:w="4508" w:type="dxa"/>
          </w:tcPr>
          <w:p w14:paraId="743C0BF3" w14:textId="77777777" w:rsidR="007A11EF" w:rsidRPr="002F7AA5" w:rsidRDefault="007A11EF" w:rsidP="007A11EF">
            <w:pPr>
              <w:rPr>
                <w:rFonts w:asciiTheme="minorHAnsi" w:hAnsiTheme="minorHAnsi" w:cstheme="minorHAnsi"/>
                <w:sz w:val="22"/>
              </w:rPr>
            </w:pPr>
          </w:p>
        </w:tc>
        <w:tc>
          <w:tcPr>
            <w:tcW w:w="4508" w:type="dxa"/>
          </w:tcPr>
          <w:p w14:paraId="3EA3576C" w14:textId="77777777" w:rsidR="007A11EF" w:rsidRPr="002F7AA5" w:rsidRDefault="007A11EF" w:rsidP="007A11EF">
            <w:pPr>
              <w:rPr>
                <w:rFonts w:asciiTheme="minorHAnsi" w:hAnsiTheme="minorHAnsi" w:cstheme="minorHAnsi"/>
                <w:sz w:val="22"/>
              </w:rPr>
            </w:pPr>
          </w:p>
        </w:tc>
      </w:tr>
      <w:tr w:rsidR="007A11EF" w:rsidRPr="002F7AA5" w14:paraId="413BC9AB" w14:textId="77777777" w:rsidTr="00705040">
        <w:tc>
          <w:tcPr>
            <w:tcW w:w="4508" w:type="dxa"/>
          </w:tcPr>
          <w:p w14:paraId="72833D89" w14:textId="04FD402E" w:rsidR="007A11EF" w:rsidRPr="00EB6D2B" w:rsidRDefault="007A11EF" w:rsidP="008C25D4">
            <w:pPr>
              <w:jc w:val="both"/>
              <w:rPr>
                <w:rFonts w:asciiTheme="minorHAnsi" w:hAnsiTheme="minorHAnsi" w:cstheme="minorHAnsi"/>
                <w:sz w:val="22"/>
                <w:u w:val="single"/>
                <w:lang w:val="fr-BE"/>
              </w:rPr>
            </w:pPr>
            <w:bookmarkStart w:id="21" w:name="_Toc94811186"/>
            <w:r w:rsidRPr="00EB6D2B">
              <w:rPr>
                <w:rFonts w:asciiTheme="minorHAnsi" w:hAnsiTheme="minorHAnsi" w:cstheme="minorHAnsi"/>
                <w:sz w:val="22"/>
                <w:u w:val="single"/>
                <w:lang w:val="fr-BE"/>
              </w:rPr>
              <w:t>Adresse de livraison et de facturation du service (5° et 6°)</w:t>
            </w:r>
            <w:bookmarkEnd w:id="21"/>
            <w:r w:rsidRPr="00EB6D2B">
              <w:rPr>
                <w:rFonts w:asciiTheme="minorHAnsi" w:hAnsiTheme="minorHAnsi" w:cstheme="minorHAnsi"/>
                <w:sz w:val="22"/>
                <w:u w:val="single"/>
                <w:lang w:val="fr-BE"/>
              </w:rPr>
              <w:t xml:space="preserve">  </w:t>
            </w:r>
          </w:p>
        </w:tc>
        <w:tc>
          <w:tcPr>
            <w:tcW w:w="4508" w:type="dxa"/>
          </w:tcPr>
          <w:p w14:paraId="2FDCB5EB" w14:textId="365D8A1F" w:rsidR="007A11EF" w:rsidRPr="008C25D4" w:rsidRDefault="007A11EF" w:rsidP="008C25D4">
            <w:pPr>
              <w:jc w:val="both"/>
              <w:rPr>
                <w:rFonts w:asciiTheme="minorHAnsi" w:hAnsiTheme="minorHAnsi" w:cstheme="minorHAnsi"/>
                <w:sz w:val="22"/>
                <w:u w:val="single"/>
              </w:rPr>
            </w:pPr>
            <w:bookmarkStart w:id="22" w:name="_Toc94539121"/>
            <w:r w:rsidRPr="008C25D4">
              <w:rPr>
                <w:rFonts w:asciiTheme="minorHAnsi" w:hAnsiTheme="minorHAnsi" w:cstheme="minorHAnsi"/>
                <w:sz w:val="22"/>
                <w:u w:val="single"/>
              </w:rPr>
              <w:t>Leverings- en het facturatieadres van de dienst (5° en 6°)</w:t>
            </w:r>
            <w:bookmarkEnd w:id="22"/>
            <w:r w:rsidRPr="008C25D4">
              <w:rPr>
                <w:rFonts w:asciiTheme="minorHAnsi" w:hAnsiTheme="minorHAnsi" w:cstheme="minorHAnsi"/>
                <w:sz w:val="22"/>
                <w:u w:val="single"/>
              </w:rPr>
              <w:t xml:space="preserve">  </w:t>
            </w:r>
          </w:p>
        </w:tc>
      </w:tr>
      <w:tr w:rsidR="007A11EF" w:rsidRPr="002F7AA5" w14:paraId="2B18CF8B" w14:textId="77777777" w:rsidTr="00705040">
        <w:tc>
          <w:tcPr>
            <w:tcW w:w="4508" w:type="dxa"/>
          </w:tcPr>
          <w:p w14:paraId="2DB48209" w14:textId="77777777" w:rsidR="007A11EF" w:rsidRPr="002F7AA5" w:rsidRDefault="007A11EF" w:rsidP="007A11EF">
            <w:pPr>
              <w:rPr>
                <w:rFonts w:asciiTheme="minorHAnsi" w:hAnsiTheme="minorHAnsi" w:cstheme="minorHAnsi"/>
                <w:sz w:val="22"/>
              </w:rPr>
            </w:pPr>
          </w:p>
        </w:tc>
        <w:tc>
          <w:tcPr>
            <w:tcW w:w="4508" w:type="dxa"/>
          </w:tcPr>
          <w:p w14:paraId="00ED4FBE" w14:textId="77777777" w:rsidR="007A11EF" w:rsidRPr="002F7AA5" w:rsidRDefault="007A11EF" w:rsidP="007A11EF">
            <w:pPr>
              <w:rPr>
                <w:rFonts w:asciiTheme="minorHAnsi" w:hAnsiTheme="minorHAnsi" w:cstheme="minorHAnsi"/>
                <w:sz w:val="22"/>
              </w:rPr>
            </w:pPr>
          </w:p>
        </w:tc>
      </w:tr>
      <w:tr w:rsidR="007A11EF" w:rsidRPr="002F7AA5" w14:paraId="24D47F81" w14:textId="77777777" w:rsidTr="00705040">
        <w:tc>
          <w:tcPr>
            <w:tcW w:w="4508" w:type="dxa"/>
          </w:tcPr>
          <w:p w14:paraId="16001A1A" w14:textId="024DE2FC" w:rsidR="007A11EF" w:rsidRPr="00EB6D2B" w:rsidRDefault="007A11EF" w:rsidP="008C25D4">
            <w:pPr>
              <w:jc w:val="both"/>
              <w:rPr>
                <w:rFonts w:asciiTheme="minorHAnsi" w:hAnsiTheme="minorHAnsi" w:cstheme="minorHAnsi"/>
                <w:sz w:val="22"/>
                <w:lang w:val="fr-BE"/>
              </w:rPr>
            </w:pPr>
            <w:r w:rsidRPr="008C25D4">
              <w:rPr>
                <w:rFonts w:asciiTheme="minorHAnsi" w:hAnsiTheme="minorHAnsi" w:cstheme="minorHAnsi"/>
                <w:sz w:val="22"/>
                <w:lang w:val="fr-BE"/>
              </w:rPr>
              <w:t>Les adresses de livraison et de facturation ne sont pas toujours les mêmes. L'adresse de livraison est évidemment primordiale et indispensable. L'adresse de facturation est tout aussi essentielle car elle permet également de dépister la personne ou l'organisation qui paie l'abonnement. Les autorités ont constaté dans différents dossiers qu'une personne morale se chargeait de régler les factures des connexions téléphoniques ou Internet utilisées par des criminels. L'adresse de facturation a conduit les autorités à cette personne morale.</w:t>
            </w:r>
          </w:p>
        </w:tc>
        <w:tc>
          <w:tcPr>
            <w:tcW w:w="4508" w:type="dxa"/>
          </w:tcPr>
          <w:p w14:paraId="1CF602C2" w14:textId="0109832A" w:rsidR="007A11EF" w:rsidRPr="008C25D4" w:rsidRDefault="007A11EF" w:rsidP="008C25D4">
            <w:pPr>
              <w:jc w:val="both"/>
              <w:rPr>
                <w:rFonts w:asciiTheme="minorHAnsi" w:hAnsiTheme="minorHAnsi" w:cstheme="minorHAnsi"/>
                <w:sz w:val="22"/>
              </w:rPr>
            </w:pPr>
            <w:r w:rsidRPr="008C25D4">
              <w:rPr>
                <w:rFonts w:asciiTheme="minorHAnsi" w:hAnsiTheme="minorHAnsi" w:cstheme="minorHAnsi"/>
                <w:sz w:val="22"/>
              </w:rPr>
              <w:t>Het leveringsadres en het facturatieadres zijn niet steeds gelijk. Het leveringsadres is natuurlijk primordiaal en noodzakelijk. Het facturatieadres is even belangrijk en noodzakelijk omdat we op deze manier ook een spoor vinden naar de persoon of organisatie die dit abonnement betaalt. In diverse dossiers stelden de autoriteiten vast dat een rechtspersoon instond voor de afhandeling van de facturen voor telefoon- of internetaansluitingen die werden gebruikt door criminelen. Het facturatieadres leidde de autoriteiten naar deze rechtspersoon.</w:t>
            </w:r>
          </w:p>
        </w:tc>
      </w:tr>
      <w:tr w:rsidR="007A11EF" w:rsidRPr="002F7AA5" w14:paraId="649C7A26" w14:textId="77777777" w:rsidTr="00705040">
        <w:tc>
          <w:tcPr>
            <w:tcW w:w="4508" w:type="dxa"/>
          </w:tcPr>
          <w:p w14:paraId="072C4618" w14:textId="77777777" w:rsidR="007A11EF" w:rsidRPr="002F7AA5" w:rsidRDefault="007A11EF" w:rsidP="007A11EF">
            <w:pPr>
              <w:rPr>
                <w:rFonts w:asciiTheme="minorHAnsi" w:hAnsiTheme="minorHAnsi" w:cstheme="minorHAnsi"/>
                <w:sz w:val="22"/>
              </w:rPr>
            </w:pPr>
          </w:p>
        </w:tc>
        <w:tc>
          <w:tcPr>
            <w:tcW w:w="4508" w:type="dxa"/>
          </w:tcPr>
          <w:p w14:paraId="4889AC1C" w14:textId="77777777" w:rsidR="007A11EF" w:rsidRPr="002F7AA5" w:rsidRDefault="007A11EF" w:rsidP="007A11EF">
            <w:pPr>
              <w:rPr>
                <w:rFonts w:asciiTheme="minorHAnsi" w:hAnsiTheme="minorHAnsi" w:cstheme="minorHAnsi"/>
                <w:sz w:val="22"/>
              </w:rPr>
            </w:pPr>
          </w:p>
        </w:tc>
      </w:tr>
      <w:tr w:rsidR="007A11EF" w:rsidRPr="002F7AA5" w14:paraId="73D14625" w14:textId="77777777" w:rsidTr="00705040">
        <w:tc>
          <w:tcPr>
            <w:tcW w:w="4508" w:type="dxa"/>
          </w:tcPr>
          <w:p w14:paraId="6206E4AF" w14:textId="027DDF08" w:rsidR="007A11EF" w:rsidRPr="008C25D4" w:rsidRDefault="007A11EF" w:rsidP="008C25D4">
            <w:pPr>
              <w:jc w:val="both"/>
              <w:rPr>
                <w:rFonts w:asciiTheme="minorHAnsi" w:hAnsiTheme="minorHAnsi" w:cstheme="minorHAnsi"/>
                <w:sz w:val="22"/>
                <w:u w:val="single"/>
              </w:rPr>
            </w:pPr>
            <w:bookmarkStart w:id="23" w:name="_Toc94811187"/>
            <w:proofErr w:type="spellStart"/>
            <w:r w:rsidRPr="008C25D4">
              <w:rPr>
                <w:rFonts w:asciiTheme="minorHAnsi" w:hAnsiTheme="minorHAnsi" w:cstheme="minorHAnsi"/>
                <w:sz w:val="22"/>
                <w:u w:val="single"/>
              </w:rPr>
              <w:t>Données</w:t>
            </w:r>
            <w:proofErr w:type="spellEnd"/>
            <w:r w:rsidRPr="008C25D4">
              <w:rPr>
                <w:rFonts w:asciiTheme="minorHAnsi" w:hAnsiTheme="minorHAnsi" w:cstheme="minorHAnsi"/>
                <w:sz w:val="22"/>
                <w:u w:val="single"/>
              </w:rPr>
              <w:t xml:space="preserve"> de </w:t>
            </w:r>
            <w:proofErr w:type="spellStart"/>
            <w:r w:rsidRPr="008C25D4">
              <w:rPr>
                <w:rFonts w:asciiTheme="minorHAnsi" w:hAnsiTheme="minorHAnsi" w:cstheme="minorHAnsi"/>
                <w:sz w:val="22"/>
                <w:u w:val="single"/>
              </w:rPr>
              <w:t>paiement</w:t>
            </w:r>
            <w:proofErr w:type="spellEnd"/>
            <w:r w:rsidRPr="008C25D4">
              <w:rPr>
                <w:rFonts w:asciiTheme="minorHAnsi" w:hAnsiTheme="minorHAnsi" w:cstheme="minorHAnsi"/>
                <w:sz w:val="22"/>
                <w:u w:val="single"/>
              </w:rPr>
              <w:t xml:space="preserve"> (6°)</w:t>
            </w:r>
            <w:bookmarkEnd w:id="23"/>
          </w:p>
        </w:tc>
        <w:tc>
          <w:tcPr>
            <w:tcW w:w="4508" w:type="dxa"/>
          </w:tcPr>
          <w:p w14:paraId="3D800875" w14:textId="22777F1C" w:rsidR="007A11EF" w:rsidRPr="008C25D4" w:rsidRDefault="007A11EF" w:rsidP="008C25D4">
            <w:pPr>
              <w:jc w:val="both"/>
              <w:rPr>
                <w:rFonts w:asciiTheme="minorHAnsi" w:hAnsiTheme="minorHAnsi" w:cstheme="minorHAnsi"/>
                <w:sz w:val="22"/>
                <w:u w:val="single"/>
              </w:rPr>
            </w:pPr>
            <w:bookmarkStart w:id="24" w:name="_Toc94539122"/>
            <w:bookmarkStart w:id="25" w:name="_Toc94811188"/>
            <w:r w:rsidRPr="008C25D4">
              <w:rPr>
                <w:rFonts w:asciiTheme="minorHAnsi" w:hAnsiTheme="minorHAnsi" w:cstheme="minorHAnsi"/>
                <w:sz w:val="22"/>
                <w:u w:val="single"/>
              </w:rPr>
              <w:t>Betalingsgegevens (6°)</w:t>
            </w:r>
            <w:bookmarkEnd w:id="24"/>
            <w:bookmarkEnd w:id="25"/>
          </w:p>
        </w:tc>
      </w:tr>
      <w:tr w:rsidR="007A11EF" w:rsidRPr="002F7AA5" w14:paraId="4934A3B5" w14:textId="77777777" w:rsidTr="00705040">
        <w:tc>
          <w:tcPr>
            <w:tcW w:w="4508" w:type="dxa"/>
          </w:tcPr>
          <w:p w14:paraId="3E7CEAE2" w14:textId="77777777" w:rsidR="007A11EF" w:rsidRPr="002F7AA5" w:rsidRDefault="007A11EF" w:rsidP="007A11EF">
            <w:pPr>
              <w:rPr>
                <w:rFonts w:asciiTheme="minorHAnsi" w:hAnsiTheme="minorHAnsi" w:cstheme="minorHAnsi"/>
                <w:sz w:val="22"/>
              </w:rPr>
            </w:pPr>
          </w:p>
        </w:tc>
        <w:tc>
          <w:tcPr>
            <w:tcW w:w="4508" w:type="dxa"/>
          </w:tcPr>
          <w:p w14:paraId="594BBA3D" w14:textId="77777777" w:rsidR="007A11EF" w:rsidRPr="002F7AA5" w:rsidRDefault="007A11EF" w:rsidP="007A11EF">
            <w:pPr>
              <w:rPr>
                <w:rFonts w:asciiTheme="minorHAnsi" w:hAnsiTheme="minorHAnsi" w:cstheme="minorHAnsi"/>
                <w:sz w:val="22"/>
              </w:rPr>
            </w:pPr>
          </w:p>
        </w:tc>
      </w:tr>
      <w:tr w:rsidR="007A11EF" w:rsidRPr="002F7AA5" w14:paraId="681A70ED" w14:textId="77777777" w:rsidTr="00705040">
        <w:tc>
          <w:tcPr>
            <w:tcW w:w="4508" w:type="dxa"/>
          </w:tcPr>
          <w:p w14:paraId="03791FAA" w14:textId="356E9ECB" w:rsidR="007A11EF" w:rsidRPr="008C25D4" w:rsidRDefault="007A11EF" w:rsidP="008C25D4">
            <w:pPr>
              <w:jc w:val="both"/>
              <w:rPr>
                <w:rFonts w:asciiTheme="minorHAnsi" w:hAnsiTheme="minorHAnsi" w:cstheme="minorHAnsi"/>
                <w:sz w:val="22"/>
                <w:lang w:val="fr-BE"/>
              </w:rPr>
            </w:pPr>
            <w:bookmarkStart w:id="26" w:name="_Toc94810967"/>
            <w:bookmarkStart w:id="27" w:name="_Toc94811189"/>
            <w:r w:rsidRPr="00EB6D2B">
              <w:rPr>
                <w:rFonts w:asciiTheme="minorHAnsi" w:hAnsiTheme="minorHAnsi" w:cstheme="minorHAnsi"/>
                <w:sz w:val="22"/>
                <w:lang w:val="fr-BE"/>
              </w:rPr>
              <w:t>Les données de paiement sont parfois pour les autorités judiciaires et les services de renseignement et de sécurité la seule trace conduisant à l'utilisateur final d'un service de communications déterminé.</w:t>
            </w:r>
            <w:bookmarkEnd w:id="26"/>
            <w:bookmarkEnd w:id="27"/>
          </w:p>
        </w:tc>
        <w:tc>
          <w:tcPr>
            <w:tcW w:w="4508" w:type="dxa"/>
          </w:tcPr>
          <w:p w14:paraId="58C0661E" w14:textId="2BF39B1D" w:rsidR="007A11EF" w:rsidRPr="008C25D4" w:rsidRDefault="007A11EF" w:rsidP="008C25D4">
            <w:pPr>
              <w:jc w:val="both"/>
              <w:rPr>
                <w:rFonts w:asciiTheme="minorHAnsi" w:hAnsiTheme="minorHAnsi" w:cstheme="minorHAnsi"/>
                <w:sz w:val="22"/>
              </w:rPr>
            </w:pPr>
            <w:bookmarkStart w:id="28" w:name="_Toc94810968"/>
            <w:bookmarkStart w:id="29" w:name="_Toc94811190"/>
            <w:r w:rsidRPr="008C25D4">
              <w:rPr>
                <w:rFonts w:asciiTheme="minorHAnsi" w:hAnsiTheme="minorHAnsi" w:cstheme="minorHAnsi"/>
                <w:sz w:val="22"/>
              </w:rPr>
              <w:t>De betalingsgegevens vormen voor de gerechtelijke autoriteiten en de inlichtingen- en veiligheidsdiensten soms het enige spoor naar de eindgebruiker van een bepaalde communicatiedienst.</w:t>
            </w:r>
            <w:bookmarkEnd w:id="28"/>
            <w:bookmarkEnd w:id="29"/>
          </w:p>
        </w:tc>
      </w:tr>
      <w:tr w:rsidR="007A11EF" w:rsidRPr="002F7AA5" w14:paraId="494680DE" w14:textId="77777777" w:rsidTr="00705040">
        <w:tc>
          <w:tcPr>
            <w:tcW w:w="4508" w:type="dxa"/>
          </w:tcPr>
          <w:p w14:paraId="596B20BE" w14:textId="77777777" w:rsidR="007A11EF" w:rsidRPr="008C25D4" w:rsidRDefault="007A11EF" w:rsidP="008C25D4">
            <w:pPr>
              <w:jc w:val="both"/>
              <w:rPr>
                <w:rFonts w:asciiTheme="minorHAnsi" w:hAnsiTheme="minorHAnsi" w:cstheme="minorHAnsi"/>
                <w:sz w:val="22"/>
              </w:rPr>
            </w:pPr>
          </w:p>
        </w:tc>
        <w:tc>
          <w:tcPr>
            <w:tcW w:w="4508" w:type="dxa"/>
          </w:tcPr>
          <w:p w14:paraId="7DD40165" w14:textId="77777777" w:rsidR="007A11EF" w:rsidRPr="008C25D4" w:rsidRDefault="007A11EF" w:rsidP="008C25D4">
            <w:pPr>
              <w:jc w:val="both"/>
              <w:rPr>
                <w:rFonts w:asciiTheme="minorHAnsi" w:hAnsiTheme="minorHAnsi" w:cstheme="minorHAnsi"/>
                <w:sz w:val="22"/>
              </w:rPr>
            </w:pPr>
          </w:p>
        </w:tc>
      </w:tr>
      <w:tr w:rsidR="007A11EF" w:rsidRPr="002F7AA5" w14:paraId="0736A221" w14:textId="77777777" w:rsidTr="00705040">
        <w:tc>
          <w:tcPr>
            <w:tcW w:w="4508" w:type="dxa"/>
          </w:tcPr>
          <w:p w14:paraId="703981EF" w14:textId="331C7967" w:rsidR="007A11EF" w:rsidRPr="00EB6D2B" w:rsidRDefault="007A11EF" w:rsidP="008C25D4">
            <w:pPr>
              <w:jc w:val="both"/>
              <w:rPr>
                <w:rFonts w:asciiTheme="minorHAnsi" w:hAnsiTheme="minorHAnsi" w:cstheme="minorHAnsi"/>
                <w:sz w:val="22"/>
                <w:lang w:val="fr-BE"/>
              </w:rPr>
            </w:pPr>
            <w:bookmarkStart w:id="30" w:name="_Toc94810969"/>
            <w:bookmarkStart w:id="31" w:name="_Toc94811191"/>
            <w:r w:rsidRPr="00EB6D2B">
              <w:rPr>
                <w:rFonts w:asciiTheme="minorHAnsi" w:hAnsiTheme="minorHAnsi" w:cstheme="minorHAnsi"/>
                <w:sz w:val="22"/>
                <w:lang w:val="fr-BE"/>
              </w:rPr>
              <w:lastRenderedPageBreak/>
              <w:t>En effet, les abonnements télécom sont souvent souscrits sous un faux nom mais doivent néanmoins être payés. Il importe dès lors de conserver le numéro de compte ou de carte de paiement utilisé pour régler l'abonnement ou pour recharger le crédit d'utilisation.</w:t>
            </w:r>
            <w:bookmarkEnd w:id="30"/>
            <w:bookmarkEnd w:id="31"/>
          </w:p>
        </w:tc>
        <w:tc>
          <w:tcPr>
            <w:tcW w:w="4508" w:type="dxa"/>
          </w:tcPr>
          <w:p w14:paraId="693A936D" w14:textId="587DD73B" w:rsidR="007A11EF" w:rsidRPr="008C25D4" w:rsidRDefault="007A11EF" w:rsidP="008C25D4">
            <w:pPr>
              <w:jc w:val="both"/>
              <w:rPr>
                <w:rFonts w:asciiTheme="minorHAnsi" w:hAnsiTheme="minorHAnsi" w:cstheme="minorHAnsi"/>
                <w:sz w:val="22"/>
              </w:rPr>
            </w:pPr>
            <w:bookmarkStart w:id="32" w:name="_Toc94810970"/>
            <w:bookmarkStart w:id="33" w:name="_Toc94811192"/>
            <w:r w:rsidRPr="008C25D4">
              <w:rPr>
                <w:rFonts w:asciiTheme="minorHAnsi" w:hAnsiTheme="minorHAnsi" w:cstheme="minorHAnsi"/>
                <w:sz w:val="22"/>
              </w:rPr>
              <w:t>Telecomabonnementen zijn immers vaak afgesloten op valse naam maar dienen wel betaald te worden. Het is dan ook van belang dat er wordt bijgehouden vanaf welk rekeningnummer of betaalkaartnummer betaald wordt voor het abonnement of voor het herladen van het gebruikskrediet.</w:t>
            </w:r>
            <w:bookmarkEnd w:id="32"/>
            <w:bookmarkEnd w:id="33"/>
          </w:p>
        </w:tc>
      </w:tr>
      <w:tr w:rsidR="007A11EF" w:rsidRPr="002F7AA5" w14:paraId="60968B6B" w14:textId="77777777" w:rsidTr="00705040">
        <w:tc>
          <w:tcPr>
            <w:tcW w:w="4508" w:type="dxa"/>
          </w:tcPr>
          <w:p w14:paraId="55F6842F" w14:textId="77777777" w:rsidR="007A11EF" w:rsidRPr="002F7AA5" w:rsidRDefault="007A11EF" w:rsidP="007A11EF">
            <w:pPr>
              <w:rPr>
                <w:rFonts w:asciiTheme="minorHAnsi" w:hAnsiTheme="minorHAnsi" w:cstheme="minorHAnsi"/>
                <w:sz w:val="22"/>
              </w:rPr>
            </w:pPr>
          </w:p>
        </w:tc>
        <w:tc>
          <w:tcPr>
            <w:tcW w:w="4508" w:type="dxa"/>
          </w:tcPr>
          <w:p w14:paraId="6D39E1C1" w14:textId="77777777" w:rsidR="007A11EF" w:rsidRPr="002F7AA5" w:rsidRDefault="007A11EF" w:rsidP="007A11EF">
            <w:pPr>
              <w:rPr>
                <w:rFonts w:asciiTheme="minorHAnsi" w:hAnsiTheme="minorHAnsi" w:cstheme="minorHAnsi"/>
                <w:sz w:val="22"/>
              </w:rPr>
            </w:pPr>
          </w:p>
        </w:tc>
      </w:tr>
      <w:tr w:rsidR="007A11EF" w:rsidRPr="002F7AA5" w14:paraId="2337D148" w14:textId="77777777" w:rsidTr="00705040">
        <w:tc>
          <w:tcPr>
            <w:tcW w:w="4508" w:type="dxa"/>
          </w:tcPr>
          <w:p w14:paraId="0A6F6DB4" w14:textId="479D1FF3" w:rsidR="007A11EF" w:rsidRPr="008C25D4" w:rsidRDefault="007A11EF" w:rsidP="008C25D4">
            <w:pPr>
              <w:jc w:val="both"/>
              <w:rPr>
                <w:rFonts w:asciiTheme="minorHAnsi" w:hAnsiTheme="minorHAnsi" w:cstheme="minorHAnsi"/>
                <w:sz w:val="22"/>
                <w:lang w:val="fr-BE"/>
              </w:rPr>
            </w:pPr>
            <w:r w:rsidRPr="008C25D4">
              <w:rPr>
                <w:rFonts w:asciiTheme="minorHAnsi" w:hAnsiTheme="minorHAnsi" w:cstheme="minorHAnsi"/>
                <w:sz w:val="22"/>
                <w:lang w:val="fr-BE"/>
              </w:rPr>
              <w:t>Il est demandé aux opérateurs de conserver les données suivantes :</w:t>
            </w:r>
          </w:p>
        </w:tc>
        <w:tc>
          <w:tcPr>
            <w:tcW w:w="4508" w:type="dxa"/>
          </w:tcPr>
          <w:p w14:paraId="6FD04018" w14:textId="71DF7DAC" w:rsidR="007A11EF" w:rsidRPr="008C25D4" w:rsidRDefault="007A11EF" w:rsidP="008C25D4">
            <w:pPr>
              <w:jc w:val="both"/>
              <w:rPr>
                <w:rFonts w:asciiTheme="minorHAnsi" w:hAnsiTheme="minorHAnsi" w:cstheme="minorHAnsi"/>
                <w:sz w:val="22"/>
              </w:rPr>
            </w:pPr>
            <w:r w:rsidRPr="008C25D4">
              <w:rPr>
                <w:rFonts w:asciiTheme="minorHAnsi" w:hAnsiTheme="minorHAnsi" w:cstheme="minorHAnsi"/>
                <w:sz w:val="22"/>
              </w:rPr>
              <w:t>Aan de operatoren wordt gevraagd de volgende gegevens te bewaren :</w:t>
            </w:r>
          </w:p>
        </w:tc>
      </w:tr>
      <w:tr w:rsidR="007A11EF" w:rsidRPr="002F7AA5" w14:paraId="201F4D6C" w14:textId="77777777" w:rsidTr="00705040">
        <w:tc>
          <w:tcPr>
            <w:tcW w:w="4508" w:type="dxa"/>
          </w:tcPr>
          <w:p w14:paraId="2F6474AC" w14:textId="77777777" w:rsidR="007A11EF" w:rsidRPr="008C25D4" w:rsidRDefault="007A11EF" w:rsidP="007A11EF">
            <w:pPr>
              <w:rPr>
                <w:rFonts w:asciiTheme="minorHAnsi" w:hAnsiTheme="minorHAnsi" w:cstheme="minorHAnsi"/>
                <w:sz w:val="22"/>
              </w:rPr>
            </w:pPr>
          </w:p>
        </w:tc>
        <w:tc>
          <w:tcPr>
            <w:tcW w:w="4508" w:type="dxa"/>
          </w:tcPr>
          <w:p w14:paraId="3BDCC932" w14:textId="77777777" w:rsidR="007A11EF" w:rsidRPr="008C25D4" w:rsidRDefault="007A11EF" w:rsidP="007A11EF">
            <w:pPr>
              <w:rPr>
                <w:rFonts w:asciiTheme="minorHAnsi" w:hAnsiTheme="minorHAnsi" w:cstheme="minorHAnsi"/>
                <w:sz w:val="22"/>
              </w:rPr>
            </w:pPr>
          </w:p>
        </w:tc>
      </w:tr>
      <w:tr w:rsidR="007A11EF" w:rsidRPr="002F7AA5" w14:paraId="7D44AA84" w14:textId="77777777" w:rsidTr="00705040">
        <w:tc>
          <w:tcPr>
            <w:tcW w:w="4508" w:type="dxa"/>
          </w:tcPr>
          <w:p w14:paraId="6BE9DBEF" w14:textId="5663D01E" w:rsidR="007A11EF" w:rsidRPr="008C25D4" w:rsidRDefault="00B1764E" w:rsidP="008C25D4">
            <w:pPr>
              <w:pStyle w:val="Lijstalinea"/>
              <w:numPr>
                <w:ilvl w:val="0"/>
                <w:numId w:val="2"/>
              </w:numPr>
              <w:jc w:val="both"/>
              <w:rPr>
                <w:rFonts w:asciiTheme="minorHAnsi" w:hAnsiTheme="minorHAnsi" w:cstheme="minorHAnsi"/>
                <w:color w:val="000000"/>
                <w:sz w:val="22"/>
                <w:lang w:val="fr-BE"/>
              </w:rPr>
            </w:pPr>
            <w:r w:rsidRPr="008C25D4">
              <w:rPr>
                <w:rFonts w:asciiTheme="minorHAnsi" w:hAnsiTheme="minorHAnsi" w:cstheme="minorHAnsi"/>
                <w:color w:val="000000"/>
                <w:sz w:val="22"/>
                <w:lang w:val="fr-BE"/>
              </w:rPr>
              <w:t>type de paiement (PayPal, virement, ATM, paiement par carte de crédit, etc.)</w:t>
            </w:r>
            <w:r w:rsidR="001053A3">
              <w:rPr>
                <w:rFonts w:asciiTheme="minorHAnsi" w:hAnsiTheme="minorHAnsi" w:cstheme="minorHAnsi"/>
                <w:color w:val="000000"/>
                <w:sz w:val="22"/>
                <w:lang w:val="fr-BE"/>
              </w:rPr>
              <w:t> </w:t>
            </w:r>
            <w:r w:rsidRPr="008C25D4">
              <w:rPr>
                <w:rFonts w:asciiTheme="minorHAnsi" w:hAnsiTheme="minorHAnsi" w:cstheme="minorHAnsi"/>
                <w:color w:val="000000"/>
                <w:sz w:val="22"/>
                <w:lang w:val="fr-BE"/>
              </w:rPr>
              <w:t>;</w:t>
            </w:r>
          </w:p>
        </w:tc>
        <w:tc>
          <w:tcPr>
            <w:tcW w:w="4508" w:type="dxa"/>
          </w:tcPr>
          <w:p w14:paraId="05A74668" w14:textId="6F37C209" w:rsidR="007A11EF" w:rsidRPr="008C25D4" w:rsidRDefault="00B1764E" w:rsidP="008C25D4">
            <w:pPr>
              <w:pStyle w:val="Lijstalinea"/>
              <w:numPr>
                <w:ilvl w:val="0"/>
                <w:numId w:val="2"/>
              </w:numPr>
              <w:jc w:val="both"/>
              <w:rPr>
                <w:rFonts w:asciiTheme="minorHAnsi" w:hAnsiTheme="minorHAnsi" w:cstheme="minorHAnsi"/>
                <w:color w:val="000000"/>
                <w:sz w:val="22"/>
              </w:rPr>
            </w:pPr>
            <w:r w:rsidRPr="008C25D4">
              <w:rPr>
                <w:rFonts w:asciiTheme="minorHAnsi" w:hAnsiTheme="minorHAnsi" w:cstheme="minorHAnsi"/>
                <w:color w:val="000000"/>
                <w:sz w:val="22"/>
              </w:rPr>
              <w:t>type betaling (PayPal, overschrijving, ATM, kredietkaartbetaling, enz.);</w:t>
            </w:r>
          </w:p>
        </w:tc>
      </w:tr>
      <w:tr w:rsidR="007A11EF" w:rsidRPr="002F7AA5" w14:paraId="6A691D6B" w14:textId="77777777" w:rsidTr="00705040">
        <w:tc>
          <w:tcPr>
            <w:tcW w:w="4508" w:type="dxa"/>
          </w:tcPr>
          <w:p w14:paraId="4E4E86A2" w14:textId="77777777" w:rsidR="007A11EF" w:rsidRPr="008C25D4" w:rsidRDefault="007A11EF" w:rsidP="008C25D4">
            <w:pPr>
              <w:rPr>
                <w:rFonts w:asciiTheme="minorHAnsi" w:hAnsiTheme="minorHAnsi" w:cstheme="minorHAnsi"/>
                <w:sz w:val="22"/>
              </w:rPr>
            </w:pPr>
          </w:p>
        </w:tc>
        <w:tc>
          <w:tcPr>
            <w:tcW w:w="4508" w:type="dxa"/>
          </w:tcPr>
          <w:p w14:paraId="358FD848" w14:textId="77777777" w:rsidR="007A11EF" w:rsidRPr="008C25D4" w:rsidRDefault="007A11EF" w:rsidP="008C25D4">
            <w:pPr>
              <w:rPr>
                <w:rFonts w:asciiTheme="minorHAnsi" w:hAnsiTheme="minorHAnsi" w:cstheme="minorHAnsi"/>
                <w:sz w:val="22"/>
              </w:rPr>
            </w:pPr>
          </w:p>
        </w:tc>
      </w:tr>
      <w:tr w:rsidR="007A11EF" w:rsidRPr="002F7AA5" w14:paraId="4DF0F36F" w14:textId="77777777" w:rsidTr="00705040">
        <w:tc>
          <w:tcPr>
            <w:tcW w:w="4508" w:type="dxa"/>
          </w:tcPr>
          <w:p w14:paraId="5D9A74DA" w14:textId="2F6C40EC" w:rsidR="007A11EF" w:rsidRPr="008C25D4" w:rsidRDefault="00B1764E" w:rsidP="008C25D4">
            <w:pPr>
              <w:pStyle w:val="Lijstalinea"/>
              <w:numPr>
                <w:ilvl w:val="0"/>
                <w:numId w:val="2"/>
              </w:numPr>
              <w:jc w:val="both"/>
              <w:rPr>
                <w:rFonts w:asciiTheme="minorHAnsi" w:hAnsiTheme="minorHAnsi" w:cstheme="minorHAnsi"/>
                <w:color w:val="000000"/>
                <w:sz w:val="22"/>
                <w:lang w:val="fr-BE"/>
              </w:rPr>
            </w:pPr>
            <w:r w:rsidRPr="008C25D4">
              <w:rPr>
                <w:rFonts w:asciiTheme="minorHAnsi" w:hAnsiTheme="minorHAnsi" w:cstheme="minorHAnsi"/>
                <w:color w:val="000000"/>
                <w:sz w:val="22"/>
                <w:lang w:val="fr-BE"/>
              </w:rPr>
              <w:t>identification du moyen de paiement (organisme émetteur de la carte de crédit, etc.)</w:t>
            </w:r>
            <w:r w:rsidR="001053A3">
              <w:rPr>
                <w:rFonts w:asciiTheme="minorHAnsi" w:hAnsiTheme="minorHAnsi" w:cstheme="minorHAnsi"/>
                <w:color w:val="000000"/>
                <w:sz w:val="22"/>
                <w:lang w:val="fr-BE"/>
              </w:rPr>
              <w:t xml:space="preserve"> </w:t>
            </w:r>
            <w:r w:rsidRPr="008C25D4">
              <w:rPr>
                <w:rFonts w:asciiTheme="minorHAnsi" w:hAnsiTheme="minorHAnsi" w:cstheme="minorHAnsi"/>
                <w:color w:val="000000"/>
                <w:sz w:val="22"/>
                <w:lang w:val="fr-BE"/>
              </w:rPr>
              <w:t xml:space="preserve">; </w:t>
            </w:r>
          </w:p>
        </w:tc>
        <w:tc>
          <w:tcPr>
            <w:tcW w:w="4508" w:type="dxa"/>
          </w:tcPr>
          <w:p w14:paraId="0981A704" w14:textId="2DC079AA" w:rsidR="007A11EF" w:rsidRPr="008C25D4" w:rsidRDefault="00B1764E" w:rsidP="008C25D4">
            <w:pPr>
              <w:pStyle w:val="Lijstalinea"/>
              <w:numPr>
                <w:ilvl w:val="0"/>
                <w:numId w:val="2"/>
              </w:numPr>
              <w:jc w:val="both"/>
              <w:rPr>
                <w:rFonts w:asciiTheme="minorHAnsi" w:hAnsiTheme="minorHAnsi" w:cstheme="minorHAnsi"/>
                <w:color w:val="000000"/>
                <w:sz w:val="22"/>
              </w:rPr>
            </w:pPr>
            <w:r w:rsidRPr="008C25D4">
              <w:rPr>
                <w:rFonts w:asciiTheme="minorHAnsi" w:hAnsiTheme="minorHAnsi" w:cstheme="minorHAnsi"/>
                <w:color w:val="000000"/>
                <w:sz w:val="22"/>
              </w:rPr>
              <w:t xml:space="preserve">identificatie van het betalingsmiddel (instantie van afgifte van de kredietkaart, enz.); </w:t>
            </w:r>
          </w:p>
        </w:tc>
      </w:tr>
      <w:tr w:rsidR="007A11EF" w:rsidRPr="002F7AA5" w14:paraId="58DB3715" w14:textId="77777777" w:rsidTr="00705040">
        <w:tc>
          <w:tcPr>
            <w:tcW w:w="4508" w:type="dxa"/>
          </w:tcPr>
          <w:p w14:paraId="2FB7BEE5" w14:textId="77777777" w:rsidR="007A11EF" w:rsidRPr="008C25D4" w:rsidRDefault="007A11EF" w:rsidP="008C25D4">
            <w:pPr>
              <w:rPr>
                <w:rFonts w:asciiTheme="minorHAnsi" w:hAnsiTheme="minorHAnsi" w:cstheme="minorHAnsi"/>
                <w:sz w:val="22"/>
              </w:rPr>
            </w:pPr>
          </w:p>
        </w:tc>
        <w:tc>
          <w:tcPr>
            <w:tcW w:w="4508" w:type="dxa"/>
          </w:tcPr>
          <w:p w14:paraId="37231B4D" w14:textId="77777777" w:rsidR="007A11EF" w:rsidRPr="008C25D4" w:rsidRDefault="007A11EF" w:rsidP="008C25D4">
            <w:pPr>
              <w:rPr>
                <w:rFonts w:asciiTheme="minorHAnsi" w:hAnsiTheme="minorHAnsi" w:cstheme="minorHAnsi"/>
                <w:sz w:val="22"/>
              </w:rPr>
            </w:pPr>
          </w:p>
        </w:tc>
      </w:tr>
      <w:tr w:rsidR="007A11EF" w:rsidRPr="002F7AA5" w14:paraId="2F95955F" w14:textId="77777777" w:rsidTr="00705040">
        <w:tc>
          <w:tcPr>
            <w:tcW w:w="4508" w:type="dxa"/>
          </w:tcPr>
          <w:p w14:paraId="6CDCFFDC" w14:textId="42028439" w:rsidR="007A11EF" w:rsidRPr="008C25D4" w:rsidRDefault="00B1764E" w:rsidP="008C25D4">
            <w:pPr>
              <w:pStyle w:val="Lijstalinea"/>
              <w:numPr>
                <w:ilvl w:val="0"/>
                <w:numId w:val="2"/>
              </w:numPr>
              <w:jc w:val="both"/>
              <w:rPr>
                <w:rFonts w:asciiTheme="minorHAnsi" w:hAnsiTheme="minorHAnsi" w:cstheme="minorHAnsi"/>
                <w:color w:val="000000"/>
                <w:sz w:val="22"/>
                <w:lang w:val="fr-BE"/>
              </w:rPr>
            </w:pPr>
            <w:r w:rsidRPr="008C25D4">
              <w:rPr>
                <w:rFonts w:asciiTheme="minorHAnsi" w:hAnsiTheme="minorHAnsi" w:cstheme="minorHAnsi"/>
                <w:color w:val="000000"/>
                <w:sz w:val="22"/>
                <w:lang w:val="fr-BE"/>
              </w:rPr>
              <w:t xml:space="preserve">date et heure du paiement ; </w:t>
            </w:r>
          </w:p>
        </w:tc>
        <w:tc>
          <w:tcPr>
            <w:tcW w:w="4508" w:type="dxa"/>
          </w:tcPr>
          <w:p w14:paraId="755095F4" w14:textId="6E5508F2" w:rsidR="007A11EF" w:rsidRPr="008C25D4" w:rsidRDefault="00B1764E" w:rsidP="008C25D4">
            <w:pPr>
              <w:pStyle w:val="Lijstalinea"/>
              <w:numPr>
                <w:ilvl w:val="0"/>
                <w:numId w:val="2"/>
              </w:numPr>
              <w:jc w:val="both"/>
              <w:rPr>
                <w:rFonts w:asciiTheme="minorHAnsi" w:hAnsiTheme="minorHAnsi" w:cstheme="minorHAnsi"/>
                <w:color w:val="000000"/>
                <w:sz w:val="22"/>
              </w:rPr>
            </w:pPr>
            <w:r w:rsidRPr="008C25D4">
              <w:rPr>
                <w:rFonts w:asciiTheme="minorHAnsi" w:hAnsiTheme="minorHAnsi" w:cstheme="minorHAnsi"/>
                <w:color w:val="000000"/>
                <w:sz w:val="22"/>
              </w:rPr>
              <w:t xml:space="preserve">datum en tijdstip van de betaling; </w:t>
            </w:r>
          </w:p>
        </w:tc>
      </w:tr>
      <w:tr w:rsidR="007A11EF" w:rsidRPr="002F7AA5" w14:paraId="7511D1A8" w14:textId="77777777" w:rsidTr="00705040">
        <w:tc>
          <w:tcPr>
            <w:tcW w:w="4508" w:type="dxa"/>
          </w:tcPr>
          <w:p w14:paraId="18902E5D" w14:textId="77777777" w:rsidR="007A11EF" w:rsidRPr="008C25D4" w:rsidRDefault="007A11EF" w:rsidP="008C25D4">
            <w:pPr>
              <w:rPr>
                <w:rFonts w:asciiTheme="minorHAnsi" w:hAnsiTheme="minorHAnsi" w:cstheme="minorHAnsi"/>
                <w:sz w:val="22"/>
              </w:rPr>
            </w:pPr>
          </w:p>
        </w:tc>
        <w:tc>
          <w:tcPr>
            <w:tcW w:w="4508" w:type="dxa"/>
          </w:tcPr>
          <w:p w14:paraId="6E4F58E2" w14:textId="77777777" w:rsidR="007A11EF" w:rsidRPr="008C25D4" w:rsidRDefault="007A11EF" w:rsidP="008C25D4">
            <w:pPr>
              <w:rPr>
                <w:rFonts w:asciiTheme="minorHAnsi" w:hAnsiTheme="minorHAnsi" w:cstheme="minorHAnsi"/>
                <w:sz w:val="22"/>
              </w:rPr>
            </w:pPr>
          </w:p>
        </w:tc>
      </w:tr>
      <w:tr w:rsidR="007A11EF" w:rsidRPr="002F7AA5" w14:paraId="7B0B384F" w14:textId="77777777" w:rsidTr="00705040">
        <w:tc>
          <w:tcPr>
            <w:tcW w:w="4508" w:type="dxa"/>
          </w:tcPr>
          <w:p w14:paraId="47A5081A" w14:textId="278AAEFD" w:rsidR="007A11EF" w:rsidRPr="00EB6D2B" w:rsidRDefault="00B1764E" w:rsidP="008C25D4">
            <w:pPr>
              <w:pStyle w:val="Lijstalinea"/>
              <w:numPr>
                <w:ilvl w:val="0"/>
                <w:numId w:val="2"/>
              </w:numPr>
              <w:rPr>
                <w:rFonts w:asciiTheme="minorHAnsi" w:hAnsiTheme="minorHAnsi" w:cstheme="minorHAnsi"/>
                <w:sz w:val="22"/>
                <w:lang w:val="fr-BE"/>
              </w:rPr>
            </w:pPr>
            <w:r w:rsidRPr="008C25D4">
              <w:rPr>
                <w:rFonts w:asciiTheme="minorHAnsi" w:hAnsiTheme="minorHAnsi" w:cstheme="minorHAnsi"/>
                <w:color w:val="000000"/>
                <w:sz w:val="22"/>
                <w:lang w:val="fr-BE"/>
              </w:rPr>
              <w:t>référence de l’opération de paiement en cas de paiement en ligne.</w:t>
            </w:r>
          </w:p>
        </w:tc>
        <w:tc>
          <w:tcPr>
            <w:tcW w:w="4508" w:type="dxa"/>
          </w:tcPr>
          <w:p w14:paraId="2134A0D8" w14:textId="7798CCF0" w:rsidR="007A11EF" w:rsidRPr="008C25D4" w:rsidRDefault="00B1764E" w:rsidP="008C25D4">
            <w:pPr>
              <w:pStyle w:val="Lijstalinea"/>
              <w:numPr>
                <w:ilvl w:val="0"/>
                <w:numId w:val="2"/>
              </w:numPr>
              <w:rPr>
                <w:rFonts w:asciiTheme="minorHAnsi" w:hAnsiTheme="minorHAnsi" w:cstheme="minorHAnsi"/>
                <w:sz w:val="22"/>
              </w:rPr>
            </w:pPr>
            <w:r w:rsidRPr="008C25D4">
              <w:rPr>
                <w:rFonts w:asciiTheme="minorHAnsi" w:hAnsiTheme="minorHAnsi" w:cstheme="minorHAnsi"/>
                <w:color w:val="000000"/>
                <w:sz w:val="22"/>
              </w:rPr>
              <w:t>referentie van de betalingstransactie in geval van onlinebetaling.</w:t>
            </w:r>
          </w:p>
        </w:tc>
      </w:tr>
      <w:tr w:rsidR="007A11EF" w:rsidRPr="002F7AA5" w14:paraId="1739C683" w14:textId="77777777" w:rsidTr="00705040">
        <w:tc>
          <w:tcPr>
            <w:tcW w:w="4508" w:type="dxa"/>
          </w:tcPr>
          <w:p w14:paraId="787C3797" w14:textId="77777777" w:rsidR="007A11EF" w:rsidRPr="002F7AA5" w:rsidRDefault="007A11EF" w:rsidP="007A11EF">
            <w:pPr>
              <w:rPr>
                <w:rFonts w:asciiTheme="minorHAnsi" w:hAnsiTheme="minorHAnsi" w:cstheme="minorHAnsi"/>
                <w:sz w:val="22"/>
              </w:rPr>
            </w:pPr>
          </w:p>
        </w:tc>
        <w:tc>
          <w:tcPr>
            <w:tcW w:w="4508" w:type="dxa"/>
          </w:tcPr>
          <w:p w14:paraId="506D96AA" w14:textId="77777777" w:rsidR="007A11EF" w:rsidRPr="002F7AA5" w:rsidRDefault="007A11EF" w:rsidP="007A11EF">
            <w:pPr>
              <w:rPr>
                <w:rFonts w:asciiTheme="minorHAnsi" w:hAnsiTheme="minorHAnsi" w:cstheme="minorHAnsi"/>
                <w:sz w:val="22"/>
              </w:rPr>
            </w:pPr>
          </w:p>
        </w:tc>
      </w:tr>
      <w:tr w:rsidR="00B1764E" w:rsidRPr="002F7AA5" w14:paraId="7B0A7D93" w14:textId="77777777" w:rsidTr="00705040">
        <w:tc>
          <w:tcPr>
            <w:tcW w:w="4508" w:type="dxa"/>
          </w:tcPr>
          <w:p w14:paraId="1E813F65" w14:textId="34A03366" w:rsidR="00B1764E" w:rsidRPr="00EB6D2B" w:rsidRDefault="00B1764E" w:rsidP="008C25D4">
            <w:pPr>
              <w:jc w:val="both"/>
              <w:rPr>
                <w:rFonts w:asciiTheme="minorHAnsi" w:hAnsiTheme="minorHAnsi" w:cstheme="minorHAnsi"/>
                <w:sz w:val="22"/>
                <w:lang w:val="fr-BE"/>
              </w:rPr>
            </w:pPr>
            <w:r w:rsidRPr="008C25D4">
              <w:rPr>
                <w:rFonts w:asciiTheme="minorHAnsi" w:hAnsiTheme="minorHAnsi" w:cstheme="minorHAnsi"/>
                <w:sz w:val="22"/>
                <w:lang w:val="fr-BE"/>
              </w:rPr>
              <w:t>Les données demandées sont actuellement disponibles chez les opérateurs et sont régulièrement demandées par les autorités judiciaires. Ces données de paiement constituent pour le magistrat une trace susceptible de le mener à l'utilisateur final pour lequel il pourra ensuite ouvrir une enquête auprès des organismes bancaires concernés.</w:t>
            </w:r>
          </w:p>
        </w:tc>
        <w:tc>
          <w:tcPr>
            <w:tcW w:w="4508" w:type="dxa"/>
          </w:tcPr>
          <w:p w14:paraId="5F69DB2F" w14:textId="00E0AFE4" w:rsidR="00B1764E" w:rsidRPr="008C25D4" w:rsidRDefault="00B1764E" w:rsidP="008C25D4">
            <w:pPr>
              <w:jc w:val="both"/>
              <w:rPr>
                <w:rFonts w:asciiTheme="minorHAnsi" w:hAnsiTheme="minorHAnsi" w:cstheme="minorHAnsi"/>
                <w:sz w:val="22"/>
              </w:rPr>
            </w:pPr>
            <w:r w:rsidRPr="008C25D4">
              <w:rPr>
                <w:rFonts w:asciiTheme="minorHAnsi" w:hAnsiTheme="minorHAnsi" w:cstheme="minorHAnsi"/>
                <w:sz w:val="22"/>
              </w:rPr>
              <w:t>De gegevens die worden gevraagd zijn vandaag beschikbaar bij de operatoren en worden regelmatig opgevraagd door de gerechtelijke overheden. Deze betalingsgegevens vormen voor de magistraat dus het spoor naar de eindgebruiker waarvoor hij dan vervolgens een onderzoek kan instellen bij de betrokken bankinstellingen.</w:t>
            </w:r>
          </w:p>
        </w:tc>
      </w:tr>
      <w:tr w:rsidR="00B1764E" w:rsidRPr="002F7AA5" w14:paraId="13459933" w14:textId="77777777" w:rsidTr="00705040">
        <w:tc>
          <w:tcPr>
            <w:tcW w:w="4508" w:type="dxa"/>
          </w:tcPr>
          <w:p w14:paraId="5C8078FF" w14:textId="77777777" w:rsidR="00B1764E" w:rsidRPr="008C25D4" w:rsidRDefault="00B1764E" w:rsidP="008C25D4">
            <w:pPr>
              <w:jc w:val="both"/>
              <w:rPr>
                <w:rFonts w:asciiTheme="minorHAnsi" w:hAnsiTheme="minorHAnsi" w:cstheme="minorHAnsi"/>
                <w:sz w:val="22"/>
              </w:rPr>
            </w:pPr>
          </w:p>
        </w:tc>
        <w:tc>
          <w:tcPr>
            <w:tcW w:w="4508" w:type="dxa"/>
          </w:tcPr>
          <w:p w14:paraId="47AEAD92" w14:textId="77777777" w:rsidR="00B1764E" w:rsidRPr="008C25D4" w:rsidRDefault="00B1764E" w:rsidP="008C25D4">
            <w:pPr>
              <w:jc w:val="both"/>
              <w:rPr>
                <w:rFonts w:asciiTheme="minorHAnsi" w:hAnsiTheme="minorHAnsi" w:cstheme="minorHAnsi"/>
                <w:sz w:val="22"/>
              </w:rPr>
            </w:pPr>
          </w:p>
        </w:tc>
      </w:tr>
      <w:tr w:rsidR="00B1764E" w:rsidRPr="002F7AA5" w14:paraId="6AAE2564" w14:textId="77777777" w:rsidTr="00705040">
        <w:tc>
          <w:tcPr>
            <w:tcW w:w="4508" w:type="dxa"/>
          </w:tcPr>
          <w:p w14:paraId="7013073A" w14:textId="7DB10F19" w:rsidR="00B1764E" w:rsidRPr="00EB6D2B" w:rsidRDefault="00B1764E" w:rsidP="008C25D4">
            <w:pPr>
              <w:jc w:val="both"/>
              <w:rPr>
                <w:rFonts w:asciiTheme="minorHAnsi" w:hAnsiTheme="minorHAnsi" w:cstheme="minorHAnsi"/>
                <w:sz w:val="22"/>
                <w:lang w:val="fr-BE"/>
              </w:rPr>
            </w:pPr>
            <w:r w:rsidRPr="008C25D4">
              <w:rPr>
                <w:rFonts w:asciiTheme="minorHAnsi" w:hAnsiTheme="minorHAnsi" w:cstheme="minorHAnsi"/>
                <w:sz w:val="22"/>
                <w:lang w:val="fr-BE"/>
              </w:rPr>
              <w:t xml:space="preserve">Il convient de noter qu’il n’est pas demandé aux opérateurs de conserver des données qui ne pourraient pas l’être en vertu de la législation bancaire (comme par exemple des informations confidentielles sur la carte de crédit). </w:t>
            </w:r>
          </w:p>
        </w:tc>
        <w:tc>
          <w:tcPr>
            <w:tcW w:w="4508" w:type="dxa"/>
          </w:tcPr>
          <w:p w14:paraId="250923C6" w14:textId="0C9D2DA4" w:rsidR="00B1764E" w:rsidRPr="008C25D4" w:rsidRDefault="00B1764E" w:rsidP="008C25D4">
            <w:pPr>
              <w:jc w:val="both"/>
              <w:rPr>
                <w:rFonts w:asciiTheme="minorHAnsi" w:hAnsiTheme="minorHAnsi" w:cstheme="minorHAnsi"/>
                <w:sz w:val="22"/>
              </w:rPr>
            </w:pPr>
            <w:r w:rsidRPr="008C25D4">
              <w:rPr>
                <w:rFonts w:asciiTheme="minorHAnsi" w:hAnsiTheme="minorHAnsi" w:cstheme="minorHAnsi"/>
                <w:sz w:val="22"/>
              </w:rPr>
              <w:t>Er dient te worden opgemerkt dat de operatoren niet gevraagd wordt om gegevens te bewaren die krachtens de bankwetgeving (zoals de vertrouwelijke informatie op de kredietkaart) niet zouden mogen bewaard worden.</w:t>
            </w:r>
          </w:p>
        </w:tc>
      </w:tr>
      <w:tr w:rsidR="00B1764E" w:rsidRPr="002F7AA5" w14:paraId="586B942F" w14:textId="77777777" w:rsidTr="00705040">
        <w:tc>
          <w:tcPr>
            <w:tcW w:w="4508" w:type="dxa"/>
          </w:tcPr>
          <w:p w14:paraId="35DD4B97" w14:textId="77777777" w:rsidR="00B1764E" w:rsidRPr="002F7AA5" w:rsidRDefault="00B1764E" w:rsidP="00B1764E">
            <w:pPr>
              <w:rPr>
                <w:rFonts w:asciiTheme="minorHAnsi" w:hAnsiTheme="minorHAnsi" w:cstheme="minorHAnsi"/>
                <w:sz w:val="22"/>
              </w:rPr>
            </w:pPr>
          </w:p>
        </w:tc>
        <w:tc>
          <w:tcPr>
            <w:tcW w:w="4508" w:type="dxa"/>
          </w:tcPr>
          <w:p w14:paraId="05A9A6AB" w14:textId="77777777" w:rsidR="00B1764E" w:rsidRPr="002F7AA5" w:rsidRDefault="00B1764E" w:rsidP="00B1764E">
            <w:pPr>
              <w:rPr>
                <w:rFonts w:asciiTheme="minorHAnsi" w:hAnsiTheme="minorHAnsi" w:cstheme="minorHAnsi"/>
                <w:sz w:val="22"/>
              </w:rPr>
            </w:pPr>
          </w:p>
        </w:tc>
      </w:tr>
      <w:tr w:rsidR="00B1764E" w:rsidRPr="002F7AA5" w14:paraId="3545D74B" w14:textId="77777777" w:rsidTr="00705040">
        <w:tc>
          <w:tcPr>
            <w:tcW w:w="4508" w:type="dxa"/>
          </w:tcPr>
          <w:p w14:paraId="3220B368" w14:textId="59D7BD2C" w:rsidR="00B1764E" w:rsidRPr="00EB6D2B" w:rsidRDefault="00B1764E" w:rsidP="008C25D4">
            <w:pPr>
              <w:jc w:val="both"/>
              <w:rPr>
                <w:rFonts w:asciiTheme="minorHAnsi" w:hAnsiTheme="minorHAnsi" w:cstheme="minorHAnsi"/>
                <w:sz w:val="22"/>
                <w:u w:val="single"/>
                <w:lang w:val="fr-BE"/>
              </w:rPr>
            </w:pPr>
            <w:bookmarkStart w:id="34" w:name="_Toc94811193"/>
            <w:r w:rsidRPr="00EB6D2B">
              <w:rPr>
                <w:rFonts w:asciiTheme="minorHAnsi" w:hAnsiTheme="minorHAnsi" w:cstheme="minorHAnsi"/>
                <w:sz w:val="22"/>
                <w:u w:val="single"/>
                <w:lang w:val="fr-BE"/>
              </w:rPr>
              <w:t>Données sur le service et sur l’opérateur qui l’offre (7°, 8° et 9°)</w:t>
            </w:r>
            <w:bookmarkEnd w:id="34"/>
          </w:p>
        </w:tc>
        <w:tc>
          <w:tcPr>
            <w:tcW w:w="4508" w:type="dxa"/>
          </w:tcPr>
          <w:p w14:paraId="2B8F5893" w14:textId="6F9C73DF" w:rsidR="00B1764E" w:rsidRPr="008C25D4" w:rsidRDefault="00B1764E" w:rsidP="008C25D4">
            <w:pPr>
              <w:jc w:val="both"/>
              <w:rPr>
                <w:rFonts w:asciiTheme="minorHAnsi" w:hAnsiTheme="minorHAnsi" w:cstheme="minorHAnsi"/>
                <w:sz w:val="22"/>
                <w:u w:val="single"/>
              </w:rPr>
            </w:pPr>
            <w:r w:rsidRPr="008C25D4">
              <w:rPr>
                <w:rFonts w:asciiTheme="minorHAnsi" w:hAnsiTheme="minorHAnsi" w:cstheme="minorHAnsi"/>
                <w:sz w:val="22"/>
                <w:u w:val="single"/>
              </w:rPr>
              <w:t>Gegevens over de dienst en over de aanbiedende operator (7°, 8° en 9°)</w:t>
            </w:r>
          </w:p>
        </w:tc>
      </w:tr>
      <w:tr w:rsidR="00B1764E" w:rsidRPr="002F7AA5" w14:paraId="129CC48B" w14:textId="77777777" w:rsidTr="00705040">
        <w:tc>
          <w:tcPr>
            <w:tcW w:w="4508" w:type="dxa"/>
          </w:tcPr>
          <w:p w14:paraId="5361348F" w14:textId="77777777" w:rsidR="00B1764E" w:rsidRPr="002F7AA5" w:rsidRDefault="00B1764E" w:rsidP="00B1764E">
            <w:pPr>
              <w:rPr>
                <w:rFonts w:asciiTheme="minorHAnsi" w:hAnsiTheme="minorHAnsi" w:cstheme="minorHAnsi"/>
                <w:sz w:val="22"/>
              </w:rPr>
            </w:pPr>
          </w:p>
        </w:tc>
        <w:tc>
          <w:tcPr>
            <w:tcW w:w="4508" w:type="dxa"/>
          </w:tcPr>
          <w:p w14:paraId="532A2365" w14:textId="77777777" w:rsidR="00B1764E" w:rsidRPr="002F7AA5" w:rsidRDefault="00B1764E" w:rsidP="00B1764E">
            <w:pPr>
              <w:rPr>
                <w:rFonts w:asciiTheme="minorHAnsi" w:hAnsiTheme="minorHAnsi" w:cstheme="minorHAnsi"/>
                <w:sz w:val="22"/>
              </w:rPr>
            </w:pPr>
          </w:p>
        </w:tc>
      </w:tr>
      <w:tr w:rsidR="00B1764E" w:rsidRPr="002F7AA5" w14:paraId="65421B48" w14:textId="77777777" w:rsidTr="00705040">
        <w:tc>
          <w:tcPr>
            <w:tcW w:w="4508" w:type="dxa"/>
          </w:tcPr>
          <w:p w14:paraId="232CBCB9" w14:textId="0B6E2EB6" w:rsidR="00B1764E" w:rsidRPr="00EB6D2B" w:rsidRDefault="00B1764E" w:rsidP="008C25D4">
            <w:pPr>
              <w:jc w:val="both"/>
              <w:rPr>
                <w:rFonts w:asciiTheme="minorHAnsi" w:hAnsiTheme="minorHAnsi" w:cstheme="minorHAnsi"/>
                <w:sz w:val="22"/>
                <w:lang w:val="fr-BE"/>
              </w:rPr>
            </w:pPr>
            <w:r w:rsidRPr="008C25D4">
              <w:rPr>
                <w:rFonts w:asciiTheme="minorHAnsi" w:hAnsiTheme="minorHAnsi" w:cstheme="minorHAnsi"/>
                <w:sz w:val="22"/>
                <w:lang w:val="fr-BE"/>
              </w:rPr>
              <w:t xml:space="preserve">Certaines données supplémentaires concernant l'abonnement au service de communications électroniques considéré doivent fournir aux autorités des indices complémentaires quant à l'utilité d'une demande d'information auprès d'un opérateur : les services supplémentaires ou annexes auxquels l'utilisateur final est abonné, le commencement et la fin de l'abonnement et  </w:t>
            </w:r>
            <w:r w:rsidRPr="008C25D4">
              <w:rPr>
                <w:rFonts w:asciiTheme="minorHAnsi" w:hAnsiTheme="minorHAnsi" w:cstheme="minorHAnsi"/>
                <w:sz w:val="22"/>
                <w:lang w:val="fr-BE"/>
              </w:rPr>
              <w:lastRenderedPageBreak/>
              <w:t>l'opérateur précédent en cas de portabilité du numéro.</w:t>
            </w:r>
          </w:p>
        </w:tc>
        <w:tc>
          <w:tcPr>
            <w:tcW w:w="4508" w:type="dxa"/>
          </w:tcPr>
          <w:p w14:paraId="0650CFD7" w14:textId="1D02AF12" w:rsidR="00B1764E" w:rsidRPr="008C25D4" w:rsidRDefault="00B1764E" w:rsidP="008C25D4">
            <w:pPr>
              <w:jc w:val="both"/>
              <w:rPr>
                <w:rFonts w:asciiTheme="minorHAnsi" w:hAnsiTheme="minorHAnsi" w:cstheme="minorHAnsi"/>
                <w:sz w:val="22"/>
              </w:rPr>
            </w:pPr>
            <w:r w:rsidRPr="008C25D4">
              <w:rPr>
                <w:rFonts w:asciiTheme="minorHAnsi" w:hAnsiTheme="minorHAnsi" w:cstheme="minorHAnsi"/>
                <w:sz w:val="22"/>
              </w:rPr>
              <w:lastRenderedPageBreak/>
              <w:t>Een aantal bijkomende gegevens over het abonnement voor de beschouwde elektronische-communicatiedienst moeten de autoriteiten bijkomende aanwijzingen geven over het nut van een bevraging bij een operator: de bijkomende diensten waarop de eindgebruiker is geabonneerd, het begin en einde van een abonnement, de vorige operator bij nummeroverdraagbaarheid.</w:t>
            </w:r>
          </w:p>
        </w:tc>
      </w:tr>
      <w:tr w:rsidR="00B1764E" w:rsidRPr="002F7AA5" w14:paraId="180D7397" w14:textId="77777777" w:rsidTr="00705040">
        <w:tc>
          <w:tcPr>
            <w:tcW w:w="4508" w:type="dxa"/>
          </w:tcPr>
          <w:p w14:paraId="341D917E" w14:textId="77777777" w:rsidR="00B1764E" w:rsidRPr="002F7AA5" w:rsidRDefault="00B1764E" w:rsidP="00B1764E">
            <w:pPr>
              <w:rPr>
                <w:rFonts w:asciiTheme="minorHAnsi" w:hAnsiTheme="minorHAnsi" w:cstheme="minorHAnsi"/>
                <w:sz w:val="22"/>
              </w:rPr>
            </w:pPr>
          </w:p>
        </w:tc>
        <w:tc>
          <w:tcPr>
            <w:tcW w:w="4508" w:type="dxa"/>
          </w:tcPr>
          <w:p w14:paraId="6D635DAC" w14:textId="77777777" w:rsidR="00B1764E" w:rsidRPr="002F7AA5" w:rsidRDefault="00B1764E" w:rsidP="00B1764E">
            <w:pPr>
              <w:rPr>
                <w:rFonts w:asciiTheme="minorHAnsi" w:hAnsiTheme="minorHAnsi" w:cstheme="minorHAnsi"/>
                <w:sz w:val="22"/>
              </w:rPr>
            </w:pPr>
          </w:p>
        </w:tc>
      </w:tr>
      <w:tr w:rsidR="00B1764E" w:rsidRPr="002F7AA5" w14:paraId="3FF90E00" w14:textId="77777777" w:rsidTr="00705040">
        <w:tc>
          <w:tcPr>
            <w:tcW w:w="4508" w:type="dxa"/>
          </w:tcPr>
          <w:p w14:paraId="5718351B" w14:textId="337A0320" w:rsidR="00B1764E" w:rsidRPr="006F1905" w:rsidRDefault="00B1764E" w:rsidP="006F1905">
            <w:pPr>
              <w:jc w:val="both"/>
              <w:rPr>
                <w:rFonts w:asciiTheme="minorHAnsi" w:hAnsiTheme="minorHAnsi" w:cstheme="minorHAnsi"/>
                <w:sz w:val="22"/>
                <w:u w:val="single"/>
              </w:rPr>
            </w:pPr>
            <w:bookmarkStart w:id="35" w:name="_Toc94811194"/>
            <w:r w:rsidRPr="006F1905">
              <w:rPr>
                <w:rFonts w:asciiTheme="minorHAnsi" w:hAnsiTheme="minorHAnsi" w:cstheme="minorHAnsi"/>
                <w:sz w:val="22"/>
                <w:u w:val="single"/>
              </w:rPr>
              <w:t xml:space="preserve">Services </w:t>
            </w:r>
            <w:proofErr w:type="spellStart"/>
            <w:r w:rsidRPr="006F1905">
              <w:rPr>
                <w:rFonts w:asciiTheme="minorHAnsi" w:hAnsiTheme="minorHAnsi" w:cstheme="minorHAnsi"/>
                <w:sz w:val="22"/>
                <w:u w:val="single"/>
              </w:rPr>
              <w:t>annexes</w:t>
            </w:r>
            <w:proofErr w:type="spellEnd"/>
            <w:r w:rsidRPr="006F1905">
              <w:rPr>
                <w:rFonts w:asciiTheme="minorHAnsi" w:hAnsiTheme="minorHAnsi" w:cstheme="minorHAnsi"/>
                <w:sz w:val="22"/>
                <w:u w:val="single"/>
              </w:rPr>
              <w:t xml:space="preserve"> (7°)</w:t>
            </w:r>
            <w:bookmarkEnd w:id="35"/>
            <w:r w:rsidRPr="006F1905">
              <w:rPr>
                <w:rFonts w:asciiTheme="minorHAnsi" w:hAnsiTheme="minorHAnsi" w:cstheme="minorHAnsi"/>
                <w:sz w:val="22"/>
                <w:u w:val="single"/>
              </w:rPr>
              <w:t xml:space="preserve"> </w:t>
            </w:r>
          </w:p>
        </w:tc>
        <w:tc>
          <w:tcPr>
            <w:tcW w:w="4508" w:type="dxa"/>
          </w:tcPr>
          <w:p w14:paraId="56BA3110" w14:textId="62D3EE6B" w:rsidR="00B1764E" w:rsidRPr="006F1905" w:rsidRDefault="00B1764E" w:rsidP="006F1905">
            <w:pPr>
              <w:jc w:val="both"/>
              <w:rPr>
                <w:rFonts w:asciiTheme="minorHAnsi" w:hAnsiTheme="minorHAnsi" w:cstheme="minorHAnsi"/>
                <w:sz w:val="22"/>
                <w:u w:val="single"/>
              </w:rPr>
            </w:pPr>
            <w:bookmarkStart w:id="36" w:name="_Toc94539123"/>
            <w:proofErr w:type="spellStart"/>
            <w:r w:rsidRPr="006F1905">
              <w:rPr>
                <w:rFonts w:asciiTheme="minorHAnsi" w:hAnsiTheme="minorHAnsi" w:cstheme="minorHAnsi"/>
                <w:sz w:val="22"/>
                <w:u w:val="single"/>
                <w:lang w:val="fr-BE"/>
              </w:rPr>
              <w:t>Aanvullende</w:t>
            </w:r>
            <w:proofErr w:type="spellEnd"/>
            <w:r w:rsidRPr="006F1905">
              <w:rPr>
                <w:rFonts w:asciiTheme="minorHAnsi" w:hAnsiTheme="minorHAnsi" w:cstheme="minorHAnsi"/>
                <w:sz w:val="22"/>
                <w:u w:val="single"/>
                <w:lang w:val="fr-BE"/>
              </w:rPr>
              <w:t xml:space="preserve"> </w:t>
            </w:r>
            <w:proofErr w:type="spellStart"/>
            <w:r w:rsidRPr="006F1905">
              <w:rPr>
                <w:rFonts w:asciiTheme="minorHAnsi" w:hAnsiTheme="minorHAnsi" w:cstheme="minorHAnsi"/>
                <w:sz w:val="22"/>
                <w:u w:val="single"/>
                <w:lang w:val="fr-BE"/>
              </w:rPr>
              <w:t>diensten</w:t>
            </w:r>
            <w:proofErr w:type="spellEnd"/>
            <w:r w:rsidRPr="006F1905">
              <w:rPr>
                <w:rFonts w:asciiTheme="minorHAnsi" w:hAnsiTheme="minorHAnsi" w:cstheme="minorHAnsi"/>
                <w:sz w:val="22"/>
                <w:u w:val="single"/>
                <w:lang w:val="fr-BE"/>
              </w:rPr>
              <w:t xml:space="preserve"> (7°)</w:t>
            </w:r>
            <w:bookmarkEnd w:id="36"/>
          </w:p>
        </w:tc>
      </w:tr>
      <w:tr w:rsidR="00B1764E" w:rsidRPr="002F7AA5" w14:paraId="24EF9683" w14:textId="77777777" w:rsidTr="00705040">
        <w:tc>
          <w:tcPr>
            <w:tcW w:w="4508" w:type="dxa"/>
          </w:tcPr>
          <w:p w14:paraId="509AF203" w14:textId="77777777" w:rsidR="00B1764E" w:rsidRPr="002F7AA5" w:rsidRDefault="00B1764E" w:rsidP="00B1764E">
            <w:pPr>
              <w:rPr>
                <w:rFonts w:asciiTheme="minorHAnsi" w:hAnsiTheme="minorHAnsi" w:cstheme="minorHAnsi"/>
                <w:sz w:val="22"/>
              </w:rPr>
            </w:pPr>
          </w:p>
        </w:tc>
        <w:tc>
          <w:tcPr>
            <w:tcW w:w="4508" w:type="dxa"/>
          </w:tcPr>
          <w:p w14:paraId="63433906" w14:textId="77777777" w:rsidR="00B1764E" w:rsidRPr="002F7AA5" w:rsidRDefault="00B1764E" w:rsidP="00B1764E">
            <w:pPr>
              <w:rPr>
                <w:rFonts w:asciiTheme="minorHAnsi" w:hAnsiTheme="minorHAnsi" w:cstheme="minorHAnsi"/>
                <w:sz w:val="22"/>
              </w:rPr>
            </w:pPr>
          </w:p>
        </w:tc>
      </w:tr>
      <w:tr w:rsidR="00B1764E" w:rsidRPr="002F7AA5" w14:paraId="13A57756" w14:textId="77777777" w:rsidTr="00705040">
        <w:tc>
          <w:tcPr>
            <w:tcW w:w="4508" w:type="dxa"/>
          </w:tcPr>
          <w:p w14:paraId="166DF8AF" w14:textId="66ECE02E" w:rsidR="00B1764E" w:rsidRPr="00EB6D2B" w:rsidRDefault="00B1764E" w:rsidP="006F1905">
            <w:pPr>
              <w:jc w:val="both"/>
              <w:rPr>
                <w:rFonts w:asciiTheme="minorHAnsi" w:hAnsiTheme="minorHAnsi" w:cstheme="minorHAnsi"/>
                <w:sz w:val="22"/>
                <w:lang w:val="fr-BE"/>
              </w:rPr>
            </w:pPr>
            <w:bookmarkStart w:id="37" w:name="_Toc94810973"/>
            <w:bookmarkStart w:id="38" w:name="_Toc94811195"/>
            <w:r w:rsidRPr="00EB6D2B">
              <w:rPr>
                <w:rFonts w:asciiTheme="minorHAnsi" w:hAnsiTheme="minorHAnsi" w:cstheme="minorHAnsi"/>
                <w:sz w:val="22"/>
                <w:lang w:val="fr-BE"/>
              </w:rPr>
              <w:t>Par " services annexes ", on entend les services supplémentaires auxquels un client peut souscrire gratuitement, ou contre paiement. Pour la téléphonie, il s’agit par exemple des exemples suivants</w:t>
            </w:r>
            <w:r w:rsidR="001053A3">
              <w:rPr>
                <w:rFonts w:asciiTheme="minorHAnsi" w:hAnsiTheme="minorHAnsi" w:cstheme="minorHAnsi"/>
                <w:sz w:val="22"/>
                <w:lang w:val="fr-BE"/>
              </w:rPr>
              <w:t xml:space="preserve"> </w:t>
            </w:r>
            <w:r w:rsidRPr="00EB6D2B">
              <w:rPr>
                <w:rFonts w:asciiTheme="minorHAnsi" w:hAnsiTheme="minorHAnsi" w:cstheme="minorHAnsi"/>
                <w:sz w:val="22"/>
                <w:lang w:val="fr-BE"/>
              </w:rPr>
              <w:t xml:space="preserve">: service de répondeur, fax, service SMS, déviation d'appel, formule particulière pour appeler à tarif avantageux certains numéros ou destinations, service de Calling </w:t>
            </w:r>
            <w:proofErr w:type="spellStart"/>
            <w:r w:rsidRPr="00EB6D2B">
              <w:rPr>
                <w:rFonts w:asciiTheme="minorHAnsi" w:hAnsiTheme="minorHAnsi" w:cstheme="minorHAnsi"/>
                <w:sz w:val="22"/>
                <w:lang w:val="fr-BE"/>
              </w:rPr>
              <w:t>Card</w:t>
            </w:r>
            <w:proofErr w:type="spellEnd"/>
            <w:r w:rsidRPr="00EB6D2B">
              <w:rPr>
                <w:rFonts w:asciiTheme="minorHAnsi" w:hAnsiTheme="minorHAnsi" w:cstheme="minorHAnsi"/>
                <w:sz w:val="22"/>
                <w:lang w:val="fr-BE"/>
              </w:rPr>
              <w:t>, conversation à plusieurs, etc.</w:t>
            </w:r>
            <w:bookmarkEnd w:id="37"/>
            <w:bookmarkEnd w:id="38"/>
          </w:p>
        </w:tc>
        <w:tc>
          <w:tcPr>
            <w:tcW w:w="4508" w:type="dxa"/>
          </w:tcPr>
          <w:p w14:paraId="13EA03EE" w14:textId="5BEF1402"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 xml:space="preserve">Onder "aanvullende diensten" wordt verstaan de aanvullende diensten waarop een klant gratis of tegen betaling kan intekenen. Voor de telefonie gaat het bijvoorbeeld over de volgende voorbeelden: antwoorddienst, fax, sms-dienst, doorschakeling van oproepen, bijzondere formule om bepaalde nummers of bestemmingen tegen voordeeltarief te bellen, </w:t>
            </w:r>
            <w:proofErr w:type="spellStart"/>
            <w:r w:rsidRPr="006F1905">
              <w:rPr>
                <w:rFonts w:asciiTheme="minorHAnsi" w:hAnsiTheme="minorHAnsi" w:cstheme="minorHAnsi"/>
                <w:sz w:val="22"/>
              </w:rPr>
              <w:t>Calling</w:t>
            </w:r>
            <w:proofErr w:type="spellEnd"/>
            <w:r w:rsidRPr="006F1905">
              <w:rPr>
                <w:rFonts w:asciiTheme="minorHAnsi" w:hAnsiTheme="minorHAnsi" w:cstheme="minorHAnsi"/>
                <w:sz w:val="22"/>
              </w:rPr>
              <w:t xml:space="preserve"> Card-dienst, groepsgesprek, enz.</w:t>
            </w:r>
          </w:p>
        </w:tc>
      </w:tr>
      <w:tr w:rsidR="00B1764E" w:rsidRPr="002F7AA5" w14:paraId="071E0AC8" w14:textId="77777777" w:rsidTr="00705040">
        <w:tc>
          <w:tcPr>
            <w:tcW w:w="4508" w:type="dxa"/>
          </w:tcPr>
          <w:p w14:paraId="4DDFE8B8" w14:textId="77777777" w:rsidR="00B1764E" w:rsidRPr="006F1905" w:rsidRDefault="00B1764E" w:rsidP="006F1905">
            <w:pPr>
              <w:jc w:val="both"/>
              <w:rPr>
                <w:rFonts w:asciiTheme="minorHAnsi" w:hAnsiTheme="minorHAnsi" w:cstheme="minorHAnsi"/>
                <w:sz w:val="22"/>
              </w:rPr>
            </w:pPr>
          </w:p>
        </w:tc>
        <w:tc>
          <w:tcPr>
            <w:tcW w:w="4508" w:type="dxa"/>
          </w:tcPr>
          <w:p w14:paraId="21EFC9D1" w14:textId="77777777" w:rsidR="00B1764E" w:rsidRPr="006F1905" w:rsidRDefault="00B1764E" w:rsidP="006F1905">
            <w:pPr>
              <w:jc w:val="both"/>
              <w:rPr>
                <w:rFonts w:asciiTheme="minorHAnsi" w:hAnsiTheme="minorHAnsi" w:cstheme="minorHAnsi"/>
                <w:sz w:val="22"/>
              </w:rPr>
            </w:pPr>
          </w:p>
        </w:tc>
      </w:tr>
      <w:tr w:rsidR="00B1764E" w:rsidRPr="002F7AA5" w14:paraId="26D088E5" w14:textId="77777777" w:rsidTr="00705040">
        <w:tc>
          <w:tcPr>
            <w:tcW w:w="4508" w:type="dxa"/>
          </w:tcPr>
          <w:p w14:paraId="694678A0" w14:textId="6502A047"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Ces services annexes fournissent aux autorités  bénéficiaires de la conservation des données des indices utiles quant à l'utilité d'une demande d'information auprès d'un opérateur. Ainsi, à titre d'illustration, il est intéressant pour les autorités de savoir qu'un utilisateur final a souscrit un service de déviation d'appel. Cela pourrait, par exemple, indiquer que les recherches des autorités doivent plutôt s'orienter vers le numéro vers lequel la déviation d'appel est effectuée.</w:t>
            </w:r>
          </w:p>
        </w:tc>
        <w:tc>
          <w:tcPr>
            <w:tcW w:w="4508" w:type="dxa"/>
          </w:tcPr>
          <w:p w14:paraId="4F8E72A2" w14:textId="088390C2"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Deze andere soorten van diensten verstrekken de overheden die gebaat zijn bij de gegevensbewaring nuttige aanwijzingen over het nut van een verzoek om informatie bij een operator. Het is bijvoorbeeld interessant dat de autoriteiten weten dat een eindgebruiker geabonneerd is op een dienst voor oproepdoorschakeling. Dit zou bijvoorbeeld erop kunnen duiden dat het onderzoek van de autoriteiten eerder gericht moet zijn op het nummer waarnaar de oproep doorgeschakeld is.</w:t>
            </w:r>
          </w:p>
        </w:tc>
      </w:tr>
      <w:tr w:rsidR="00B1764E" w:rsidRPr="002F7AA5" w14:paraId="5155B431" w14:textId="77777777" w:rsidTr="00705040">
        <w:tc>
          <w:tcPr>
            <w:tcW w:w="4508" w:type="dxa"/>
          </w:tcPr>
          <w:p w14:paraId="29207D14" w14:textId="77777777" w:rsidR="00B1764E" w:rsidRPr="006F1905" w:rsidRDefault="00B1764E" w:rsidP="006F1905">
            <w:pPr>
              <w:jc w:val="both"/>
              <w:rPr>
                <w:rFonts w:asciiTheme="minorHAnsi" w:hAnsiTheme="minorHAnsi" w:cstheme="minorHAnsi"/>
                <w:sz w:val="22"/>
              </w:rPr>
            </w:pPr>
          </w:p>
        </w:tc>
        <w:tc>
          <w:tcPr>
            <w:tcW w:w="4508" w:type="dxa"/>
          </w:tcPr>
          <w:p w14:paraId="5E6B3178" w14:textId="77777777" w:rsidR="00B1764E" w:rsidRPr="006F1905" w:rsidRDefault="00B1764E" w:rsidP="006F1905">
            <w:pPr>
              <w:jc w:val="both"/>
              <w:rPr>
                <w:rFonts w:asciiTheme="minorHAnsi" w:hAnsiTheme="minorHAnsi" w:cstheme="minorHAnsi"/>
                <w:sz w:val="22"/>
              </w:rPr>
            </w:pPr>
          </w:p>
        </w:tc>
      </w:tr>
      <w:tr w:rsidR="00B1764E" w:rsidRPr="002F7AA5" w14:paraId="76E35FD2" w14:textId="77777777" w:rsidTr="00705040">
        <w:tc>
          <w:tcPr>
            <w:tcW w:w="4508" w:type="dxa"/>
          </w:tcPr>
          <w:p w14:paraId="5FEE8F58" w14:textId="30CB9EAF"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Pour le service d’accès à internet, il est par exemple intéressant de savoir que l’abonné bénéficie d'une bande passante particulièrement importante. Il est aussi par exemple intéressant pour les autorités de savoir que l'utilisateur final a souscrit un service similaire à Skype, mais offert par le fournisseur de l'accès à Internet, ce qui pourrait indiquer que les recherches doivent s'orienter vers les communications sur ce type de service.</w:t>
            </w:r>
          </w:p>
        </w:tc>
        <w:tc>
          <w:tcPr>
            <w:tcW w:w="4508" w:type="dxa"/>
          </w:tcPr>
          <w:p w14:paraId="5DFE111D" w14:textId="67B41DA1"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Voor de internettoegangsdienst is het bijvoorbeeld interessant om te weten dat de abonnee een bijzonder grote bandbreedte krijgt. Zo is het bijvoorbeeld ook voor de autoriteiten interessant te weten of de eindgebruiker zich heeft ingeschreven voor een dienst zoals Skype, maar die door de internetprovider wordt aangeboden, wat erop zou kunnen wijzen dat het onderzoek zich moet toespitsen op de communicatie via dit soort van dienst.</w:t>
            </w:r>
          </w:p>
        </w:tc>
      </w:tr>
      <w:tr w:rsidR="00B1764E" w:rsidRPr="002F7AA5" w14:paraId="7B0AF9B0" w14:textId="77777777" w:rsidTr="00705040">
        <w:tc>
          <w:tcPr>
            <w:tcW w:w="4508" w:type="dxa"/>
          </w:tcPr>
          <w:p w14:paraId="0BDFF6C6" w14:textId="77777777" w:rsidR="00B1764E" w:rsidRPr="006F1905" w:rsidRDefault="00B1764E" w:rsidP="006F1905">
            <w:pPr>
              <w:jc w:val="both"/>
              <w:rPr>
                <w:rFonts w:asciiTheme="minorHAnsi" w:hAnsiTheme="minorHAnsi" w:cstheme="minorHAnsi"/>
                <w:sz w:val="22"/>
              </w:rPr>
            </w:pPr>
          </w:p>
        </w:tc>
        <w:tc>
          <w:tcPr>
            <w:tcW w:w="4508" w:type="dxa"/>
          </w:tcPr>
          <w:p w14:paraId="2A0ACA98" w14:textId="77777777" w:rsidR="00B1764E" w:rsidRPr="006F1905" w:rsidRDefault="00B1764E" w:rsidP="006F1905">
            <w:pPr>
              <w:jc w:val="both"/>
              <w:rPr>
                <w:rFonts w:asciiTheme="minorHAnsi" w:hAnsiTheme="minorHAnsi" w:cstheme="minorHAnsi"/>
                <w:sz w:val="22"/>
              </w:rPr>
            </w:pPr>
          </w:p>
        </w:tc>
      </w:tr>
      <w:tr w:rsidR="00B1764E" w:rsidRPr="002F7AA5" w14:paraId="74E4B97D" w14:textId="77777777" w:rsidTr="00705040">
        <w:tc>
          <w:tcPr>
            <w:tcW w:w="4508" w:type="dxa"/>
          </w:tcPr>
          <w:p w14:paraId="6F19D849" w14:textId="55C25C06" w:rsidR="00B1764E" w:rsidRPr="00EB6D2B" w:rsidRDefault="00B1764E" w:rsidP="006F1905">
            <w:pPr>
              <w:jc w:val="both"/>
              <w:rPr>
                <w:rFonts w:asciiTheme="minorHAnsi" w:hAnsiTheme="minorHAnsi" w:cstheme="minorHAnsi"/>
                <w:sz w:val="22"/>
                <w:u w:val="single"/>
                <w:lang w:val="fr-BE"/>
              </w:rPr>
            </w:pPr>
            <w:bookmarkStart w:id="39" w:name="_Toc94811196"/>
            <w:r w:rsidRPr="00EB6D2B">
              <w:rPr>
                <w:rFonts w:asciiTheme="minorHAnsi" w:hAnsiTheme="minorHAnsi" w:cstheme="minorHAnsi"/>
                <w:sz w:val="22"/>
                <w:u w:val="single"/>
                <w:lang w:val="fr-BE"/>
              </w:rPr>
              <w:t>La date à partir de laquelle ces services peuvent être utilisés, la date de la première utilisation du service et la date de fin des services (8°)</w:t>
            </w:r>
            <w:bookmarkEnd w:id="39"/>
            <w:r w:rsidRPr="00EB6D2B">
              <w:rPr>
                <w:rFonts w:asciiTheme="minorHAnsi" w:hAnsiTheme="minorHAnsi" w:cstheme="minorHAnsi"/>
                <w:sz w:val="22"/>
                <w:u w:val="single"/>
                <w:lang w:val="fr-BE"/>
              </w:rPr>
              <w:t xml:space="preserve"> </w:t>
            </w:r>
          </w:p>
        </w:tc>
        <w:tc>
          <w:tcPr>
            <w:tcW w:w="4508" w:type="dxa"/>
          </w:tcPr>
          <w:p w14:paraId="4D8B5265" w14:textId="44951F28" w:rsidR="00B1764E" w:rsidRPr="006F1905" w:rsidRDefault="00B1764E" w:rsidP="006F1905">
            <w:pPr>
              <w:jc w:val="both"/>
              <w:rPr>
                <w:rFonts w:asciiTheme="minorHAnsi" w:hAnsiTheme="minorHAnsi" w:cstheme="minorHAnsi"/>
                <w:sz w:val="22"/>
                <w:u w:val="single"/>
              </w:rPr>
            </w:pPr>
            <w:bookmarkStart w:id="40" w:name="_Toc94539124"/>
            <w:r w:rsidRPr="006F1905">
              <w:rPr>
                <w:rFonts w:asciiTheme="minorHAnsi" w:hAnsiTheme="minorHAnsi" w:cstheme="minorHAnsi"/>
                <w:sz w:val="22"/>
                <w:u w:val="single"/>
              </w:rPr>
              <w:t>De datum vanaf waarop die diensten gebruikt kunnen worden, de datum van het eerste gebruik van de dienst en de datum van beëindiging van de diensten (8°)</w:t>
            </w:r>
            <w:bookmarkEnd w:id="40"/>
          </w:p>
        </w:tc>
      </w:tr>
      <w:tr w:rsidR="00B1764E" w:rsidRPr="002F7AA5" w14:paraId="1DF8D8FA" w14:textId="77777777" w:rsidTr="00705040">
        <w:tc>
          <w:tcPr>
            <w:tcW w:w="4508" w:type="dxa"/>
          </w:tcPr>
          <w:p w14:paraId="05ACF796" w14:textId="77777777" w:rsidR="00B1764E" w:rsidRPr="002F7AA5" w:rsidRDefault="00B1764E" w:rsidP="00B1764E">
            <w:pPr>
              <w:rPr>
                <w:rFonts w:asciiTheme="minorHAnsi" w:hAnsiTheme="minorHAnsi" w:cstheme="minorHAnsi"/>
                <w:sz w:val="22"/>
              </w:rPr>
            </w:pPr>
          </w:p>
        </w:tc>
        <w:tc>
          <w:tcPr>
            <w:tcW w:w="4508" w:type="dxa"/>
          </w:tcPr>
          <w:p w14:paraId="57A2DCAE" w14:textId="77777777" w:rsidR="00B1764E" w:rsidRPr="002F7AA5" w:rsidRDefault="00B1764E" w:rsidP="00B1764E">
            <w:pPr>
              <w:rPr>
                <w:rFonts w:asciiTheme="minorHAnsi" w:hAnsiTheme="minorHAnsi" w:cstheme="minorHAnsi"/>
                <w:sz w:val="22"/>
              </w:rPr>
            </w:pPr>
          </w:p>
        </w:tc>
      </w:tr>
      <w:tr w:rsidR="00B1764E" w:rsidRPr="002F7AA5" w14:paraId="540650A6" w14:textId="77777777" w:rsidTr="00705040">
        <w:tc>
          <w:tcPr>
            <w:tcW w:w="4508" w:type="dxa"/>
          </w:tcPr>
          <w:p w14:paraId="6EA8B985" w14:textId="3CC9B195"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 xml:space="preserve">Il est intéressant pour les autorités de connaître la date à laquelle le service peut être utilisé et la date à laquelle il est utilisé pour la première fois. Ainsi, par exemple, l'utilisation du service peut indiquer qu'un acte a été commis avec préméditation. L'absence d'utilisation du service ou une utilisation très sporadique peut indiquer </w:t>
            </w:r>
            <w:r w:rsidRPr="006F1905">
              <w:rPr>
                <w:rFonts w:asciiTheme="minorHAnsi" w:hAnsiTheme="minorHAnsi" w:cstheme="minorHAnsi"/>
                <w:sz w:val="22"/>
                <w:lang w:val="fr-BE"/>
              </w:rPr>
              <w:lastRenderedPageBreak/>
              <w:t>un cas de fraude et une tentative de création d'une fausse identité.</w:t>
            </w:r>
          </w:p>
        </w:tc>
        <w:tc>
          <w:tcPr>
            <w:tcW w:w="4508" w:type="dxa"/>
          </w:tcPr>
          <w:p w14:paraId="59E22730" w14:textId="20AE6AA3"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lastRenderedPageBreak/>
              <w:t xml:space="preserve">Het is interessant voor de autoriteiten om de datum te kennen waarop de dienst kan gebruikt worden en de datum waarop hij voor de eerste keer gebruikt is. Het gebruik van de dienst kan bijvoorbeeld erop wijzen dat een daad is gepleegd met voorbedachten rade. Het niet gebruiken van de dienst of een erg sporadisch </w:t>
            </w:r>
            <w:r w:rsidRPr="006F1905">
              <w:rPr>
                <w:rFonts w:asciiTheme="minorHAnsi" w:hAnsiTheme="minorHAnsi" w:cstheme="minorHAnsi"/>
                <w:sz w:val="22"/>
              </w:rPr>
              <w:lastRenderedPageBreak/>
              <w:t>gebruik kan wijzen op een geval van fraude en een poging om een valse identiteit te creëren.</w:t>
            </w:r>
          </w:p>
        </w:tc>
      </w:tr>
      <w:tr w:rsidR="00B1764E" w:rsidRPr="002F7AA5" w14:paraId="6E270A5C" w14:textId="77777777" w:rsidTr="00705040">
        <w:tc>
          <w:tcPr>
            <w:tcW w:w="4508" w:type="dxa"/>
          </w:tcPr>
          <w:p w14:paraId="1150E5F2" w14:textId="77777777" w:rsidR="00B1764E" w:rsidRPr="006F1905" w:rsidRDefault="00B1764E" w:rsidP="006F1905">
            <w:pPr>
              <w:jc w:val="both"/>
              <w:rPr>
                <w:rFonts w:asciiTheme="minorHAnsi" w:hAnsiTheme="minorHAnsi" w:cstheme="minorHAnsi"/>
                <w:sz w:val="22"/>
              </w:rPr>
            </w:pPr>
          </w:p>
        </w:tc>
        <w:tc>
          <w:tcPr>
            <w:tcW w:w="4508" w:type="dxa"/>
          </w:tcPr>
          <w:p w14:paraId="67922F22" w14:textId="77777777" w:rsidR="00B1764E" w:rsidRPr="006F1905" w:rsidRDefault="00B1764E" w:rsidP="006F1905">
            <w:pPr>
              <w:jc w:val="both"/>
              <w:rPr>
                <w:rFonts w:asciiTheme="minorHAnsi" w:hAnsiTheme="minorHAnsi" w:cstheme="minorHAnsi"/>
                <w:sz w:val="22"/>
              </w:rPr>
            </w:pPr>
          </w:p>
        </w:tc>
      </w:tr>
      <w:tr w:rsidR="00B1764E" w:rsidRPr="002F7AA5" w14:paraId="6FF61B7E" w14:textId="77777777" w:rsidTr="00705040">
        <w:tc>
          <w:tcPr>
            <w:tcW w:w="4508" w:type="dxa"/>
          </w:tcPr>
          <w:p w14:paraId="6AC5518C" w14:textId="0F0F4BE8" w:rsidR="00B1764E" w:rsidRPr="006F1905" w:rsidRDefault="00B1764E" w:rsidP="006F1905">
            <w:pPr>
              <w:jc w:val="both"/>
              <w:rPr>
                <w:rFonts w:asciiTheme="minorHAnsi" w:hAnsiTheme="minorHAnsi" w:cstheme="minorHAnsi"/>
                <w:sz w:val="22"/>
                <w:u w:val="single"/>
              </w:rPr>
            </w:pPr>
            <w:bookmarkStart w:id="41" w:name="_Toc94811197"/>
            <w:r w:rsidRPr="006F1905">
              <w:rPr>
                <w:rFonts w:asciiTheme="minorHAnsi" w:hAnsiTheme="minorHAnsi" w:cstheme="minorHAnsi"/>
                <w:sz w:val="22"/>
                <w:u w:val="single"/>
              </w:rPr>
              <w:t xml:space="preserve">Transfert de </w:t>
            </w:r>
            <w:proofErr w:type="spellStart"/>
            <w:r w:rsidRPr="006F1905">
              <w:rPr>
                <w:rFonts w:asciiTheme="minorHAnsi" w:hAnsiTheme="minorHAnsi" w:cstheme="minorHAnsi"/>
                <w:sz w:val="22"/>
                <w:u w:val="single"/>
              </w:rPr>
              <w:t>l’identifiant</w:t>
            </w:r>
            <w:proofErr w:type="spellEnd"/>
            <w:r w:rsidRPr="006F1905">
              <w:rPr>
                <w:rFonts w:asciiTheme="minorHAnsi" w:hAnsiTheme="minorHAnsi" w:cstheme="minorHAnsi"/>
                <w:sz w:val="22"/>
                <w:u w:val="single"/>
              </w:rPr>
              <w:t xml:space="preserve"> (9°)</w:t>
            </w:r>
            <w:bookmarkEnd w:id="41"/>
          </w:p>
        </w:tc>
        <w:tc>
          <w:tcPr>
            <w:tcW w:w="4508" w:type="dxa"/>
          </w:tcPr>
          <w:p w14:paraId="2ED657E1" w14:textId="48B57429" w:rsidR="00B1764E" w:rsidRPr="006F1905" w:rsidRDefault="00B1764E" w:rsidP="006F1905">
            <w:pPr>
              <w:jc w:val="both"/>
              <w:rPr>
                <w:rFonts w:asciiTheme="minorHAnsi" w:hAnsiTheme="minorHAnsi" w:cstheme="minorHAnsi"/>
                <w:sz w:val="22"/>
                <w:u w:val="single"/>
              </w:rPr>
            </w:pPr>
            <w:bookmarkStart w:id="42" w:name="_Toc94539125"/>
            <w:proofErr w:type="spellStart"/>
            <w:r w:rsidRPr="006F1905">
              <w:rPr>
                <w:rFonts w:asciiTheme="minorHAnsi" w:hAnsiTheme="minorHAnsi" w:cstheme="minorHAnsi"/>
                <w:sz w:val="22"/>
                <w:u w:val="single"/>
                <w:lang w:val="fr-BE"/>
              </w:rPr>
              <w:t>Overdracht</w:t>
            </w:r>
            <w:proofErr w:type="spellEnd"/>
            <w:r w:rsidRPr="006F1905">
              <w:rPr>
                <w:rFonts w:asciiTheme="minorHAnsi" w:hAnsiTheme="minorHAnsi" w:cstheme="minorHAnsi"/>
                <w:sz w:val="22"/>
                <w:u w:val="single"/>
                <w:lang w:val="fr-BE"/>
              </w:rPr>
              <w:t xml:space="preserve"> van de </w:t>
            </w:r>
            <w:bookmarkEnd w:id="42"/>
            <w:r w:rsidR="00D169DD">
              <w:rPr>
                <w:rFonts w:asciiTheme="minorHAnsi" w:hAnsiTheme="minorHAnsi" w:cstheme="minorHAnsi"/>
                <w:sz w:val="22"/>
                <w:u w:val="single"/>
                <w:lang w:val="fr-BE"/>
              </w:rPr>
              <w:t>identifi</w:t>
            </w:r>
            <w:r w:rsidR="0005635B">
              <w:rPr>
                <w:rFonts w:asciiTheme="minorHAnsi" w:hAnsiTheme="minorHAnsi" w:cstheme="minorHAnsi"/>
                <w:sz w:val="22"/>
                <w:u w:val="single"/>
                <w:lang w:val="fr-BE"/>
              </w:rPr>
              <w:t>er</w:t>
            </w:r>
            <w:r w:rsidRPr="006F1905">
              <w:rPr>
                <w:rFonts w:asciiTheme="minorHAnsi" w:hAnsiTheme="minorHAnsi" w:cstheme="minorHAnsi"/>
                <w:sz w:val="22"/>
                <w:u w:val="single"/>
                <w:lang w:val="fr-BE"/>
              </w:rPr>
              <w:t xml:space="preserve"> (9°)</w:t>
            </w:r>
          </w:p>
        </w:tc>
      </w:tr>
      <w:tr w:rsidR="00B1764E" w:rsidRPr="002F7AA5" w14:paraId="16DA0C01" w14:textId="77777777" w:rsidTr="00705040">
        <w:tc>
          <w:tcPr>
            <w:tcW w:w="4508" w:type="dxa"/>
          </w:tcPr>
          <w:p w14:paraId="4F8998EC" w14:textId="77777777" w:rsidR="00B1764E" w:rsidRPr="002F7AA5" w:rsidRDefault="00B1764E" w:rsidP="00B1764E">
            <w:pPr>
              <w:rPr>
                <w:rFonts w:asciiTheme="minorHAnsi" w:hAnsiTheme="minorHAnsi" w:cstheme="minorHAnsi"/>
                <w:sz w:val="22"/>
              </w:rPr>
            </w:pPr>
          </w:p>
        </w:tc>
        <w:tc>
          <w:tcPr>
            <w:tcW w:w="4508" w:type="dxa"/>
          </w:tcPr>
          <w:p w14:paraId="6CBC8227" w14:textId="77777777" w:rsidR="00B1764E" w:rsidRPr="002F7AA5" w:rsidRDefault="00B1764E" w:rsidP="00B1764E">
            <w:pPr>
              <w:rPr>
                <w:rFonts w:asciiTheme="minorHAnsi" w:hAnsiTheme="minorHAnsi" w:cstheme="minorHAnsi"/>
                <w:sz w:val="22"/>
              </w:rPr>
            </w:pPr>
          </w:p>
        </w:tc>
      </w:tr>
      <w:tr w:rsidR="00B1764E" w:rsidRPr="002F7AA5" w14:paraId="034D0201" w14:textId="77777777" w:rsidTr="00705040">
        <w:tc>
          <w:tcPr>
            <w:tcW w:w="4508" w:type="dxa"/>
          </w:tcPr>
          <w:p w14:paraId="460B4353" w14:textId="4DE6338C"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lang w:val="fr-BE"/>
              </w:rPr>
              <w:t>Grâce à la libéralisation du marché des télécommunications, il est beaucoup plus facile pour les utilisateurs finaux de téléphonie de changer d'opérateur tout en conservant leur numéro. Avec l’évolution, on ne peut pas exclure qu’il soit également possible de changer d’opérateur en gardant son adresse de messagerie. Pour pouvoir s'informer auprès du bon opérateur, il importe que les services publics bénéficiaires de la conservation des données sachent précisément depuis quand l'utilisateur final est affilié à son opérateur actuel et quel était son opérateur d'origine en cas de transfert de numéro. Grâce à ces informations, les autorités (par exemple le juge d'instruction ou le procureur du Roi) peuvent adresser des réquisitions supplémentaires aux bons opérateurs. Demander des informations à un mauvais opérateur n'a, en effet, aucun sens. Ces données permettront donc d'interroger plus efficacement et de manière plus ciblée les opérateurs. Elles éviteront en outre des demandes inutiles auprès des opérateurs et les frais de justice plus élevés générés par celles-ci.</w:t>
            </w:r>
            <w:r w:rsidRPr="006F1905">
              <w:rPr>
                <w:rFonts w:asciiTheme="minorHAnsi" w:hAnsiTheme="minorHAnsi" w:cstheme="minorHAnsi"/>
                <w:sz w:val="22"/>
                <w:lang w:val="fr-BE"/>
              </w:rPr>
              <w:br/>
              <w:t>Il n'est pas suffisant de savoir que le numéro a été porté d'un opérateur à un autre. Encore faut-il savoir quand cela a eu lieu.   </w:t>
            </w:r>
          </w:p>
        </w:tc>
        <w:tc>
          <w:tcPr>
            <w:tcW w:w="4508" w:type="dxa"/>
          </w:tcPr>
          <w:p w14:paraId="3922B380" w14:textId="135465BE"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Met de liberalisering van de telecommunicatiemarkt is het voor telefonie-eindgebruikers veel makkelijker om over te schakelen van één operator naar een andere met behoud van hun nummer. Dankzij de ontwikkelingen kan er niet worden uitgesloten dat het eveneens mogelijk is om over te schakelen van één operator naar een andere met behoud van het e-mailadres. Om bij de juiste operator een bevraging te doen is het van belang voor de openbare diensten die baat hebben bij de bewaring van de gegevens om precies te weten sinds wanneer de eindgebruiker bij zijn huidige operator is aangesloten en van welke operator hij bij nummeroverdracht afkomstig was. Met deze informatie kunnen de autoriteiten (bijvoorbeeld de onderzoeksrechter of de procureur des Konings) bijkomende vorderingen gericht naar de correcte operatoren zenden. Het heeft immers geen zin om gegevens bij een verkeerde operator te gaan opvragen. Deze gegevens zullen dus mee zorgen voor een efficiëntere en gerichtere vraagstelling aan de operatoren. Ze zullen bijkomend voorkomen dat onnodige vraagstellingen de operatoren belasten en dat hierdoor hogere gerechtskosten worden gegenereerd. Het volstaat niet om het nummer te kennen dat van de ene operator naar de andere is overgedragen. Bovendien moet bekend zijn wanneer dat is gebeurd.   </w:t>
            </w:r>
          </w:p>
        </w:tc>
      </w:tr>
      <w:tr w:rsidR="00B1764E" w:rsidRPr="002F7AA5" w14:paraId="084FD337" w14:textId="77777777" w:rsidTr="00705040">
        <w:tc>
          <w:tcPr>
            <w:tcW w:w="4508" w:type="dxa"/>
          </w:tcPr>
          <w:p w14:paraId="3C52A54C" w14:textId="77777777" w:rsidR="00B1764E" w:rsidRPr="006F1905" w:rsidRDefault="00B1764E" w:rsidP="006F1905">
            <w:pPr>
              <w:jc w:val="both"/>
              <w:rPr>
                <w:rFonts w:asciiTheme="minorHAnsi" w:hAnsiTheme="minorHAnsi" w:cstheme="minorHAnsi"/>
                <w:sz w:val="22"/>
              </w:rPr>
            </w:pPr>
          </w:p>
        </w:tc>
        <w:tc>
          <w:tcPr>
            <w:tcW w:w="4508" w:type="dxa"/>
          </w:tcPr>
          <w:p w14:paraId="499C32A5" w14:textId="77777777" w:rsidR="00B1764E" w:rsidRPr="006F1905" w:rsidRDefault="00B1764E" w:rsidP="006F1905">
            <w:pPr>
              <w:jc w:val="both"/>
              <w:rPr>
                <w:rFonts w:asciiTheme="minorHAnsi" w:hAnsiTheme="minorHAnsi" w:cstheme="minorHAnsi"/>
                <w:sz w:val="22"/>
              </w:rPr>
            </w:pPr>
          </w:p>
        </w:tc>
      </w:tr>
      <w:tr w:rsidR="00B1764E" w:rsidRPr="002F7AA5" w14:paraId="4719CA93" w14:textId="77777777" w:rsidTr="00705040">
        <w:tc>
          <w:tcPr>
            <w:tcW w:w="4508" w:type="dxa"/>
          </w:tcPr>
          <w:p w14:paraId="79668E56" w14:textId="1C8BF099"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En ce qui concerne la portabilité des numéros, l’opérateur auquel un numéro est transféré devra pouvoir fournir l'identité de l’opérateur duquel il a reçu le numéro. L’opérateur qui transfère le numéro doit également pouvoir identifier l’opérateur qui le reçoit. En d'autres termes, lorsqu'un numéro a été porté plusieurs fois, le dernier opérateur à qui un numéro est transféré doit savoir de qui il reçoit ce numéro mais ne doit pas savoir qui est le premier opérateur de la chaîne.</w:t>
            </w:r>
          </w:p>
        </w:tc>
        <w:tc>
          <w:tcPr>
            <w:tcW w:w="4508" w:type="dxa"/>
          </w:tcPr>
          <w:p w14:paraId="6E6F83A2" w14:textId="3F99E763"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Wat de nummeroverdraagbaarheid betreft, zal elke operator naar wie een nummer is overgedragen de identiteit van de operator van wie hij het nummer heeft ontvangen, moeten kunnen verstrekken. De operator die het nummer overdraagt, moet ook de operator die het ontvangt kunnen identificeren. Met andere woorden, wanneer een nummer meermaals overgedragen is, moet de laatste operator naar wie een nummer is overgedragen, weten van wie hij dat nummer ontvangt, maar hoeft hij niet te weten wie de eerste operator in de rij is.</w:t>
            </w:r>
          </w:p>
        </w:tc>
      </w:tr>
      <w:tr w:rsidR="00B1764E" w:rsidRPr="002F7AA5" w14:paraId="3178770C" w14:textId="77777777" w:rsidTr="00705040">
        <w:tc>
          <w:tcPr>
            <w:tcW w:w="4508" w:type="dxa"/>
          </w:tcPr>
          <w:p w14:paraId="437D3275" w14:textId="77777777" w:rsidR="00B1764E" w:rsidRPr="002F7AA5" w:rsidRDefault="00B1764E" w:rsidP="00B1764E">
            <w:pPr>
              <w:rPr>
                <w:rFonts w:asciiTheme="minorHAnsi" w:hAnsiTheme="minorHAnsi" w:cstheme="minorHAnsi"/>
                <w:sz w:val="22"/>
              </w:rPr>
            </w:pPr>
          </w:p>
        </w:tc>
        <w:tc>
          <w:tcPr>
            <w:tcW w:w="4508" w:type="dxa"/>
          </w:tcPr>
          <w:p w14:paraId="3505902A" w14:textId="77777777" w:rsidR="00B1764E" w:rsidRPr="002F7AA5" w:rsidRDefault="00B1764E" w:rsidP="00B1764E">
            <w:pPr>
              <w:rPr>
                <w:rFonts w:asciiTheme="minorHAnsi" w:hAnsiTheme="minorHAnsi" w:cstheme="minorHAnsi"/>
                <w:sz w:val="22"/>
              </w:rPr>
            </w:pPr>
          </w:p>
        </w:tc>
      </w:tr>
      <w:tr w:rsidR="00B1764E" w:rsidRPr="002F7AA5" w14:paraId="6E5E326F" w14:textId="77777777" w:rsidTr="00705040">
        <w:tc>
          <w:tcPr>
            <w:tcW w:w="4508" w:type="dxa"/>
          </w:tcPr>
          <w:p w14:paraId="757BCE63" w14:textId="7CE7DC7B"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u w:val="single"/>
                <w:lang w:val="fr-BE"/>
              </w:rPr>
              <w:lastRenderedPageBreak/>
              <w:t>L’adresse de messagerie principale et les adresses de messageries employées comme alias (11°)</w:t>
            </w:r>
          </w:p>
        </w:tc>
        <w:tc>
          <w:tcPr>
            <w:tcW w:w="4508" w:type="dxa"/>
          </w:tcPr>
          <w:p w14:paraId="29A9B3A9" w14:textId="66026320"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u w:val="single"/>
              </w:rPr>
              <w:t>Het voornaamste e-mailadres en de e-mailadressen die als alias gebruikt worden (11°)</w:t>
            </w:r>
          </w:p>
        </w:tc>
      </w:tr>
      <w:tr w:rsidR="00B1764E" w:rsidRPr="002F7AA5" w14:paraId="25255BA6" w14:textId="77777777" w:rsidTr="00705040">
        <w:tc>
          <w:tcPr>
            <w:tcW w:w="4508" w:type="dxa"/>
          </w:tcPr>
          <w:p w14:paraId="2EC1B693" w14:textId="77777777" w:rsidR="00B1764E" w:rsidRPr="006F1905" w:rsidRDefault="00B1764E" w:rsidP="006F1905">
            <w:pPr>
              <w:jc w:val="both"/>
              <w:rPr>
                <w:rFonts w:asciiTheme="minorHAnsi" w:hAnsiTheme="minorHAnsi" w:cstheme="minorHAnsi"/>
                <w:sz w:val="22"/>
              </w:rPr>
            </w:pPr>
          </w:p>
        </w:tc>
        <w:tc>
          <w:tcPr>
            <w:tcW w:w="4508" w:type="dxa"/>
          </w:tcPr>
          <w:p w14:paraId="5885EEC2" w14:textId="77777777" w:rsidR="00B1764E" w:rsidRPr="006F1905" w:rsidRDefault="00B1764E" w:rsidP="006F1905">
            <w:pPr>
              <w:jc w:val="both"/>
              <w:rPr>
                <w:rFonts w:asciiTheme="minorHAnsi" w:hAnsiTheme="minorHAnsi" w:cstheme="minorHAnsi"/>
                <w:sz w:val="22"/>
              </w:rPr>
            </w:pPr>
          </w:p>
        </w:tc>
      </w:tr>
      <w:tr w:rsidR="00B1764E" w:rsidRPr="002F7AA5" w14:paraId="73F28D22" w14:textId="77777777" w:rsidTr="00705040">
        <w:tc>
          <w:tcPr>
            <w:tcW w:w="4508" w:type="dxa"/>
          </w:tcPr>
          <w:p w14:paraId="2539BA9C" w14:textId="010B3FC3"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L’adresse de messagerie doit être entendue au sens large du terme. Pour certains services de communications interpersonnelles qui ne sont pas fondés sur la numérotation, cette adresse peut par exemple être composée d’une série de lettres et de chiffres.</w:t>
            </w:r>
          </w:p>
        </w:tc>
        <w:tc>
          <w:tcPr>
            <w:tcW w:w="4508" w:type="dxa"/>
          </w:tcPr>
          <w:p w14:paraId="32B8BB34" w14:textId="2799D5E9"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E-mailadres moet in de ruime betekenis van het woord worden opgevat. Voor sommige nummeronafhankelijke interpersoonlijke communicatiediensten kan dit adres bijvoorbeeld samengesteld zijn uit een reeks letters en cijfers.</w:t>
            </w:r>
          </w:p>
        </w:tc>
      </w:tr>
      <w:tr w:rsidR="00B1764E" w:rsidRPr="002F7AA5" w14:paraId="023F6428" w14:textId="77777777" w:rsidTr="00705040">
        <w:tc>
          <w:tcPr>
            <w:tcW w:w="4508" w:type="dxa"/>
          </w:tcPr>
          <w:p w14:paraId="3B1D49FD" w14:textId="77777777" w:rsidR="00B1764E" w:rsidRPr="006F1905" w:rsidRDefault="00B1764E" w:rsidP="006F1905">
            <w:pPr>
              <w:jc w:val="both"/>
              <w:rPr>
                <w:rFonts w:asciiTheme="minorHAnsi" w:hAnsiTheme="minorHAnsi" w:cstheme="minorHAnsi"/>
                <w:sz w:val="22"/>
              </w:rPr>
            </w:pPr>
          </w:p>
        </w:tc>
        <w:tc>
          <w:tcPr>
            <w:tcW w:w="4508" w:type="dxa"/>
          </w:tcPr>
          <w:p w14:paraId="6DAC3378" w14:textId="77777777" w:rsidR="00B1764E" w:rsidRPr="006F1905" w:rsidRDefault="00B1764E" w:rsidP="006F1905">
            <w:pPr>
              <w:jc w:val="both"/>
              <w:rPr>
                <w:rFonts w:asciiTheme="minorHAnsi" w:hAnsiTheme="minorHAnsi" w:cstheme="minorHAnsi"/>
                <w:sz w:val="22"/>
              </w:rPr>
            </w:pPr>
          </w:p>
        </w:tc>
      </w:tr>
      <w:tr w:rsidR="00B1764E" w:rsidRPr="002F7AA5" w14:paraId="755EF16F" w14:textId="77777777" w:rsidTr="00705040">
        <w:tc>
          <w:tcPr>
            <w:tcW w:w="4508" w:type="dxa"/>
          </w:tcPr>
          <w:p w14:paraId="54F1F2D3" w14:textId="188A80EA"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 xml:space="preserve">Certains opérateurs offrent la possibilité de créer des adresses de messagerie alias, par exemple des adresses de messagerie anonymes.  </w:t>
            </w:r>
          </w:p>
        </w:tc>
        <w:tc>
          <w:tcPr>
            <w:tcW w:w="4508" w:type="dxa"/>
          </w:tcPr>
          <w:p w14:paraId="60FD6D82" w14:textId="14804EE7"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 xml:space="preserve">Sommige operatoren bieden de mogelijkheid om aliasmailadressen te creëren, bijvoorbeeld anonieme e-mailadressen.  </w:t>
            </w:r>
          </w:p>
        </w:tc>
      </w:tr>
      <w:tr w:rsidR="00B1764E" w:rsidRPr="002F7AA5" w14:paraId="637522ED" w14:textId="77777777" w:rsidTr="00705040">
        <w:tc>
          <w:tcPr>
            <w:tcW w:w="4508" w:type="dxa"/>
          </w:tcPr>
          <w:p w14:paraId="56612E07" w14:textId="77777777" w:rsidR="00B1764E" w:rsidRPr="002F7AA5" w:rsidRDefault="00B1764E" w:rsidP="00B1764E">
            <w:pPr>
              <w:rPr>
                <w:rFonts w:asciiTheme="minorHAnsi" w:hAnsiTheme="minorHAnsi" w:cstheme="minorHAnsi"/>
                <w:sz w:val="22"/>
              </w:rPr>
            </w:pPr>
          </w:p>
        </w:tc>
        <w:tc>
          <w:tcPr>
            <w:tcW w:w="4508" w:type="dxa"/>
          </w:tcPr>
          <w:p w14:paraId="692FA260" w14:textId="77777777" w:rsidR="00B1764E" w:rsidRPr="002F7AA5" w:rsidRDefault="00B1764E" w:rsidP="00B1764E">
            <w:pPr>
              <w:rPr>
                <w:rFonts w:asciiTheme="minorHAnsi" w:hAnsiTheme="minorHAnsi" w:cstheme="minorHAnsi"/>
                <w:sz w:val="22"/>
              </w:rPr>
            </w:pPr>
          </w:p>
        </w:tc>
      </w:tr>
      <w:tr w:rsidR="00B1764E" w:rsidRPr="00A33A52" w14:paraId="27A1B63A" w14:textId="77777777" w:rsidTr="00705040">
        <w:tc>
          <w:tcPr>
            <w:tcW w:w="4508" w:type="dxa"/>
          </w:tcPr>
          <w:p w14:paraId="1FC9C713" w14:textId="534EF9B8" w:rsidR="00B1764E" w:rsidRPr="00EB6D2B" w:rsidRDefault="00B1764E" w:rsidP="006F1905">
            <w:pPr>
              <w:jc w:val="both"/>
              <w:rPr>
                <w:rFonts w:asciiTheme="minorHAnsi" w:hAnsiTheme="minorHAnsi" w:cstheme="minorHAnsi"/>
                <w:sz w:val="22"/>
                <w:u w:val="single"/>
                <w:lang w:val="fr-BE"/>
              </w:rPr>
            </w:pPr>
            <w:bookmarkStart w:id="43" w:name="_Toc94811198"/>
            <w:r w:rsidRPr="00EB6D2B">
              <w:rPr>
                <w:rFonts w:asciiTheme="minorHAnsi" w:hAnsiTheme="minorHAnsi" w:cstheme="minorHAnsi"/>
                <w:sz w:val="22"/>
                <w:u w:val="single"/>
                <w:lang w:val="fr-BE"/>
              </w:rPr>
              <w:t>L’IMSI (12°), le SUPI (13°) et le SUCI (14°)</w:t>
            </w:r>
            <w:bookmarkEnd w:id="43"/>
          </w:p>
        </w:tc>
        <w:tc>
          <w:tcPr>
            <w:tcW w:w="4508" w:type="dxa"/>
          </w:tcPr>
          <w:p w14:paraId="1AE6E9BD" w14:textId="4CFA8686" w:rsidR="00B1764E" w:rsidRPr="00EB6D2B" w:rsidRDefault="00B1764E" w:rsidP="006F1905">
            <w:pPr>
              <w:jc w:val="both"/>
              <w:rPr>
                <w:rFonts w:asciiTheme="minorHAnsi" w:hAnsiTheme="minorHAnsi" w:cstheme="minorHAnsi"/>
                <w:sz w:val="22"/>
                <w:u w:val="single"/>
                <w:lang w:val="fr-BE"/>
              </w:rPr>
            </w:pPr>
            <w:bookmarkStart w:id="44" w:name="_Toc94539126"/>
            <w:r w:rsidRPr="006F1905">
              <w:rPr>
                <w:rFonts w:asciiTheme="minorHAnsi" w:hAnsiTheme="minorHAnsi" w:cstheme="minorHAnsi"/>
                <w:sz w:val="22"/>
                <w:u w:val="single"/>
                <w:lang w:val="fr-BE"/>
              </w:rPr>
              <w:t>De IMSI (12°), de SUPI (13°) en de SUCI (14°)</w:t>
            </w:r>
            <w:bookmarkEnd w:id="44"/>
          </w:p>
        </w:tc>
      </w:tr>
      <w:tr w:rsidR="00B1764E" w:rsidRPr="00A33A52" w14:paraId="0400494D" w14:textId="77777777" w:rsidTr="00705040">
        <w:tc>
          <w:tcPr>
            <w:tcW w:w="4508" w:type="dxa"/>
          </w:tcPr>
          <w:p w14:paraId="01D89C40" w14:textId="77777777" w:rsidR="00B1764E" w:rsidRPr="00EB6D2B" w:rsidRDefault="00B1764E" w:rsidP="006F1905">
            <w:pPr>
              <w:jc w:val="both"/>
              <w:rPr>
                <w:rFonts w:asciiTheme="minorHAnsi" w:hAnsiTheme="minorHAnsi" w:cstheme="minorHAnsi"/>
                <w:sz w:val="22"/>
                <w:lang w:val="fr-BE"/>
              </w:rPr>
            </w:pPr>
          </w:p>
        </w:tc>
        <w:tc>
          <w:tcPr>
            <w:tcW w:w="4508" w:type="dxa"/>
          </w:tcPr>
          <w:p w14:paraId="6DEEFA2C" w14:textId="77777777" w:rsidR="00B1764E" w:rsidRPr="00EB6D2B" w:rsidRDefault="00B1764E" w:rsidP="006F1905">
            <w:pPr>
              <w:jc w:val="both"/>
              <w:rPr>
                <w:rFonts w:asciiTheme="minorHAnsi" w:hAnsiTheme="minorHAnsi" w:cstheme="minorHAnsi"/>
                <w:sz w:val="22"/>
                <w:lang w:val="fr-BE"/>
              </w:rPr>
            </w:pPr>
          </w:p>
        </w:tc>
      </w:tr>
      <w:tr w:rsidR="00B1764E" w:rsidRPr="002F7AA5" w14:paraId="078EABDA" w14:textId="77777777" w:rsidTr="00705040">
        <w:tc>
          <w:tcPr>
            <w:tcW w:w="4508" w:type="dxa"/>
          </w:tcPr>
          <w:p w14:paraId="1A08B4F7" w14:textId="197FD959"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L’IMSI ou l'identité internationale d'abonné mobile (</w:t>
            </w:r>
            <w:r w:rsidRPr="006F1905">
              <w:rPr>
                <w:rFonts w:asciiTheme="minorHAnsi" w:hAnsiTheme="minorHAnsi" w:cstheme="minorHAnsi"/>
                <w:color w:val="000000"/>
                <w:sz w:val="22"/>
                <w:lang w:val="fr-BE"/>
              </w:rPr>
              <w:t>"</w:t>
            </w:r>
            <w:r w:rsidRPr="006F1905">
              <w:rPr>
                <w:rFonts w:asciiTheme="minorHAnsi" w:hAnsiTheme="minorHAnsi" w:cstheme="minorHAnsi"/>
                <w:sz w:val="22"/>
                <w:lang w:val="fr-BE"/>
              </w:rPr>
              <w:t xml:space="preserve">International Mobile </w:t>
            </w:r>
            <w:proofErr w:type="spellStart"/>
            <w:r w:rsidRPr="006F1905">
              <w:rPr>
                <w:rFonts w:asciiTheme="minorHAnsi" w:hAnsiTheme="minorHAnsi" w:cstheme="minorHAnsi"/>
                <w:sz w:val="22"/>
                <w:lang w:val="fr-BE"/>
              </w:rPr>
              <w:t>Subscriber</w:t>
            </w:r>
            <w:proofErr w:type="spellEnd"/>
            <w:r w:rsidRPr="006F1905">
              <w:rPr>
                <w:rFonts w:asciiTheme="minorHAnsi" w:hAnsiTheme="minorHAnsi" w:cstheme="minorHAnsi"/>
                <w:sz w:val="22"/>
                <w:lang w:val="fr-BE"/>
              </w:rPr>
              <w:t xml:space="preserve"> Identity</w:t>
            </w:r>
            <w:r w:rsidRPr="006F1905">
              <w:rPr>
                <w:rFonts w:asciiTheme="minorHAnsi" w:hAnsiTheme="minorHAnsi" w:cstheme="minorHAnsi"/>
                <w:color w:val="000000"/>
                <w:sz w:val="22"/>
                <w:lang w:val="fr-BE"/>
              </w:rPr>
              <w:t>"</w:t>
            </w:r>
            <w:r w:rsidRPr="006F1905">
              <w:rPr>
                <w:rFonts w:asciiTheme="minorHAnsi" w:hAnsiTheme="minorHAnsi" w:cstheme="minorHAnsi"/>
                <w:sz w:val="22"/>
                <w:lang w:val="fr-BE"/>
              </w:rPr>
              <w:t>) est un identifiant qui se trouve en principe dans la carte SIM et qui permet d’identifier de manière unique chaque abonné. Il s’agit d’une donnée que les opérateurs doivent conserver depuis l’adoption de l’arrêt royal du 19 septembre 2013 portant exécution de l'article 126 de la loi du 13 juin 2005 relative aux communications électroniques. Les identifiants SUPI et SUCI sont des identifiants similaires à l’IMSI et qui sont apparus avec la 5G.</w:t>
            </w:r>
          </w:p>
        </w:tc>
        <w:tc>
          <w:tcPr>
            <w:tcW w:w="4508" w:type="dxa"/>
          </w:tcPr>
          <w:p w14:paraId="5B131EBA" w14:textId="7EAE2209"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 xml:space="preserve">IMSI, ofwel de internationale identiteit van de mobiele abonnee (“International Mobile </w:t>
            </w:r>
            <w:proofErr w:type="spellStart"/>
            <w:r w:rsidRPr="006F1905">
              <w:rPr>
                <w:rFonts w:asciiTheme="minorHAnsi" w:hAnsiTheme="minorHAnsi" w:cstheme="minorHAnsi"/>
                <w:sz w:val="22"/>
              </w:rPr>
              <w:t>Subscriber</w:t>
            </w:r>
            <w:proofErr w:type="spellEnd"/>
            <w:r w:rsidRPr="006F1905">
              <w:rPr>
                <w:rFonts w:asciiTheme="minorHAnsi" w:hAnsiTheme="minorHAnsi" w:cstheme="minorHAnsi"/>
                <w:sz w:val="22"/>
              </w:rPr>
              <w:t xml:space="preserve"> Identity”) is een </w:t>
            </w:r>
            <w:proofErr w:type="spellStart"/>
            <w:r w:rsidRPr="006F1905">
              <w:rPr>
                <w:rFonts w:asciiTheme="minorHAnsi" w:hAnsiTheme="minorHAnsi" w:cstheme="minorHAnsi"/>
                <w:sz w:val="22"/>
              </w:rPr>
              <w:t>indentificatiecode</w:t>
            </w:r>
            <w:proofErr w:type="spellEnd"/>
            <w:r w:rsidRPr="006F1905">
              <w:rPr>
                <w:rFonts w:asciiTheme="minorHAnsi" w:hAnsiTheme="minorHAnsi" w:cstheme="minorHAnsi"/>
                <w:sz w:val="22"/>
              </w:rPr>
              <w:t xml:space="preserve"> die zich in principe in de simkaart bevindt en die het mogelijk maakt om elke abonnee op een unieke manier te identificeren. Het gaat om een gegeven dat de operatoren moeten bewaren sinds de aanneming van het koninklijk besluit van 19 september 2013 tot uitvoering van artikel 126 van de wet van 13 juni 2005 betreffende de elektronische communicatie. De </w:t>
            </w:r>
            <w:proofErr w:type="spellStart"/>
            <w:r w:rsidR="0005635B">
              <w:rPr>
                <w:rFonts w:asciiTheme="minorHAnsi" w:hAnsiTheme="minorHAnsi" w:cstheme="minorHAnsi"/>
                <w:sz w:val="22"/>
              </w:rPr>
              <w:t>identifier</w:t>
            </w:r>
            <w:proofErr w:type="spellEnd"/>
            <w:r w:rsidRPr="006F1905">
              <w:rPr>
                <w:rFonts w:asciiTheme="minorHAnsi" w:hAnsiTheme="minorHAnsi" w:cstheme="minorHAnsi"/>
                <w:sz w:val="22"/>
              </w:rPr>
              <w:t xml:space="preserve"> SUPI en SUCI zijn </w:t>
            </w:r>
            <w:proofErr w:type="spellStart"/>
            <w:r w:rsidR="0005635B">
              <w:rPr>
                <w:rFonts w:asciiTheme="minorHAnsi" w:hAnsiTheme="minorHAnsi" w:cstheme="minorHAnsi"/>
                <w:sz w:val="22"/>
              </w:rPr>
              <w:t>identifier</w:t>
            </w:r>
            <w:proofErr w:type="spellEnd"/>
            <w:r w:rsidRPr="006F1905">
              <w:rPr>
                <w:rFonts w:asciiTheme="minorHAnsi" w:hAnsiTheme="minorHAnsi" w:cstheme="minorHAnsi"/>
                <w:sz w:val="22"/>
              </w:rPr>
              <w:t xml:space="preserve"> die gelijkaardig zijn aan IMSI en die verschenen zijn met 5G.</w:t>
            </w:r>
          </w:p>
        </w:tc>
      </w:tr>
      <w:tr w:rsidR="00B1764E" w:rsidRPr="002F7AA5" w14:paraId="5B87624F" w14:textId="77777777" w:rsidTr="00705040">
        <w:tc>
          <w:tcPr>
            <w:tcW w:w="4508" w:type="dxa"/>
          </w:tcPr>
          <w:p w14:paraId="07637B5A" w14:textId="77777777" w:rsidR="00B1764E" w:rsidRPr="002F7AA5" w:rsidRDefault="00B1764E" w:rsidP="00B1764E">
            <w:pPr>
              <w:rPr>
                <w:rFonts w:asciiTheme="minorHAnsi" w:hAnsiTheme="minorHAnsi" w:cstheme="minorHAnsi"/>
                <w:sz w:val="22"/>
              </w:rPr>
            </w:pPr>
          </w:p>
        </w:tc>
        <w:tc>
          <w:tcPr>
            <w:tcW w:w="4508" w:type="dxa"/>
          </w:tcPr>
          <w:p w14:paraId="0E7FE52B" w14:textId="77777777" w:rsidR="00B1764E" w:rsidRPr="002F7AA5" w:rsidRDefault="00B1764E" w:rsidP="00B1764E">
            <w:pPr>
              <w:rPr>
                <w:rFonts w:asciiTheme="minorHAnsi" w:hAnsiTheme="minorHAnsi" w:cstheme="minorHAnsi"/>
                <w:sz w:val="22"/>
              </w:rPr>
            </w:pPr>
          </w:p>
        </w:tc>
      </w:tr>
      <w:tr w:rsidR="00B1764E" w:rsidRPr="002F7AA5" w14:paraId="73FB9FE5" w14:textId="77777777" w:rsidTr="00705040">
        <w:tc>
          <w:tcPr>
            <w:tcW w:w="4508" w:type="dxa"/>
          </w:tcPr>
          <w:p w14:paraId="17478324" w14:textId="2FBF83C8" w:rsidR="00B1764E" w:rsidRPr="00EB6D2B" w:rsidRDefault="00B1764E" w:rsidP="006F1905">
            <w:pPr>
              <w:jc w:val="both"/>
              <w:rPr>
                <w:rFonts w:asciiTheme="minorHAnsi" w:hAnsiTheme="minorHAnsi" w:cstheme="minorHAnsi"/>
                <w:sz w:val="22"/>
                <w:u w:val="single"/>
                <w:lang w:val="fr-BE"/>
              </w:rPr>
            </w:pPr>
            <w:bookmarkStart w:id="45" w:name="_Toc94811199"/>
            <w:r w:rsidRPr="00EB6D2B">
              <w:rPr>
                <w:rFonts w:asciiTheme="minorHAnsi" w:hAnsiTheme="minorHAnsi" w:cstheme="minorHAnsi"/>
                <w:sz w:val="22"/>
                <w:u w:val="single"/>
                <w:lang w:val="fr-BE"/>
              </w:rPr>
              <w:t>L’adresse IP à la source de la connexion (15°)</w:t>
            </w:r>
            <w:bookmarkEnd w:id="45"/>
            <w:r w:rsidRPr="00EB6D2B">
              <w:rPr>
                <w:rFonts w:asciiTheme="minorHAnsi" w:hAnsiTheme="minorHAnsi" w:cstheme="minorHAnsi"/>
                <w:sz w:val="22"/>
                <w:u w:val="single"/>
                <w:lang w:val="fr-BE"/>
              </w:rPr>
              <w:t xml:space="preserve"> </w:t>
            </w:r>
          </w:p>
        </w:tc>
        <w:tc>
          <w:tcPr>
            <w:tcW w:w="4508" w:type="dxa"/>
          </w:tcPr>
          <w:p w14:paraId="2D7EC941" w14:textId="6D978DDD" w:rsidR="00B1764E" w:rsidRPr="006F1905" w:rsidRDefault="00B1764E" w:rsidP="006F1905">
            <w:pPr>
              <w:jc w:val="both"/>
              <w:rPr>
                <w:rFonts w:asciiTheme="minorHAnsi" w:hAnsiTheme="minorHAnsi" w:cstheme="minorHAnsi"/>
                <w:sz w:val="22"/>
                <w:u w:val="single"/>
              </w:rPr>
            </w:pPr>
            <w:bookmarkStart w:id="46" w:name="_Toc94539127"/>
            <w:r w:rsidRPr="006F1905">
              <w:rPr>
                <w:rFonts w:asciiTheme="minorHAnsi" w:hAnsiTheme="minorHAnsi" w:cstheme="minorHAnsi"/>
                <w:sz w:val="22"/>
                <w:u w:val="single"/>
              </w:rPr>
              <w:t>Het IP-adres aan de bron van de verbinding (15°)</w:t>
            </w:r>
            <w:bookmarkEnd w:id="46"/>
          </w:p>
        </w:tc>
      </w:tr>
      <w:tr w:rsidR="00B1764E" w:rsidRPr="002F7AA5" w14:paraId="27A45332" w14:textId="77777777" w:rsidTr="00705040">
        <w:tc>
          <w:tcPr>
            <w:tcW w:w="4508" w:type="dxa"/>
          </w:tcPr>
          <w:p w14:paraId="173219DE" w14:textId="77777777" w:rsidR="00B1764E" w:rsidRPr="006F1905" w:rsidRDefault="00B1764E" w:rsidP="006F1905">
            <w:pPr>
              <w:jc w:val="both"/>
              <w:rPr>
                <w:rFonts w:asciiTheme="minorHAnsi" w:hAnsiTheme="minorHAnsi" w:cstheme="minorHAnsi"/>
                <w:sz w:val="22"/>
              </w:rPr>
            </w:pPr>
          </w:p>
        </w:tc>
        <w:tc>
          <w:tcPr>
            <w:tcW w:w="4508" w:type="dxa"/>
          </w:tcPr>
          <w:p w14:paraId="78170EEB" w14:textId="77777777" w:rsidR="00B1764E" w:rsidRPr="006F1905" w:rsidRDefault="00B1764E" w:rsidP="006F1905">
            <w:pPr>
              <w:jc w:val="both"/>
              <w:rPr>
                <w:rFonts w:asciiTheme="minorHAnsi" w:hAnsiTheme="minorHAnsi" w:cstheme="minorHAnsi"/>
                <w:sz w:val="22"/>
              </w:rPr>
            </w:pPr>
          </w:p>
        </w:tc>
      </w:tr>
      <w:tr w:rsidR="00B1764E" w:rsidRPr="002F7AA5" w14:paraId="210EEA76" w14:textId="77777777" w:rsidTr="00705040">
        <w:tc>
          <w:tcPr>
            <w:tcW w:w="4508" w:type="dxa"/>
          </w:tcPr>
          <w:p w14:paraId="66186886" w14:textId="5091A6A4"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pacing w:val="-3"/>
                <w:sz w:val="22"/>
                <w:lang w:val="fr-FR"/>
              </w:rPr>
              <w:t>Dans son arrêt La Quadrature du Net du 6/10/2020, la CJUE autorise la conservation généralisée et indifférenciée de l’adresse IP à la source de la communication (ci-après l’adresse IP source). Dans le même arrêt, la CJUE rappelle que l’adresse IP source est le seul moyen susceptible de permettre l’identification de l’auteur d’une infraction en ligne (point 154 de l’arrêt).</w:t>
            </w:r>
          </w:p>
        </w:tc>
        <w:tc>
          <w:tcPr>
            <w:tcW w:w="4508" w:type="dxa"/>
          </w:tcPr>
          <w:p w14:paraId="516EC1D5" w14:textId="7EB2C933"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 xml:space="preserve">In zijn arrest-La </w:t>
            </w:r>
            <w:proofErr w:type="spellStart"/>
            <w:r w:rsidRPr="006F1905">
              <w:rPr>
                <w:rFonts w:asciiTheme="minorHAnsi" w:hAnsiTheme="minorHAnsi" w:cstheme="minorHAnsi"/>
                <w:sz w:val="22"/>
              </w:rPr>
              <w:t>Quadrature</w:t>
            </w:r>
            <w:proofErr w:type="spellEnd"/>
            <w:r w:rsidRPr="006F1905">
              <w:rPr>
                <w:rFonts w:asciiTheme="minorHAnsi" w:hAnsiTheme="minorHAnsi" w:cstheme="minorHAnsi"/>
                <w:sz w:val="22"/>
              </w:rPr>
              <w:t xml:space="preserve"> du Net van 6/10/2020 staat het </w:t>
            </w:r>
            <w:proofErr w:type="spellStart"/>
            <w:r w:rsidRPr="006F1905">
              <w:rPr>
                <w:rFonts w:asciiTheme="minorHAnsi" w:hAnsiTheme="minorHAnsi" w:cstheme="minorHAnsi"/>
                <w:sz w:val="22"/>
              </w:rPr>
              <w:t>HvJ</w:t>
            </w:r>
            <w:proofErr w:type="spellEnd"/>
            <w:r w:rsidRPr="006F1905">
              <w:rPr>
                <w:rFonts w:asciiTheme="minorHAnsi" w:hAnsiTheme="minorHAnsi" w:cstheme="minorHAnsi"/>
                <w:sz w:val="22"/>
              </w:rPr>
              <w:t>-EU de algemene en ongedifferentieerde bewaring toe van het IP-adres van de bron van de communicatie (hierna IP-</w:t>
            </w:r>
            <w:proofErr w:type="spellStart"/>
            <w:r w:rsidRPr="006F1905">
              <w:rPr>
                <w:rFonts w:asciiTheme="minorHAnsi" w:hAnsiTheme="minorHAnsi" w:cstheme="minorHAnsi"/>
                <w:sz w:val="22"/>
              </w:rPr>
              <w:t>bronadres</w:t>
            </w:r>
            <w:proofErr w:type="spellEnd"/>
            <w:r w:rsidRPr="006F1905">
              <w:rPr>
                <w:rFonts w:asciiTheme="minorHAnsi" w:hAnsiTheme="minorHAnsi" w:cstheme="minorHAnsi"/>
                <w:sz w:val="22"/>
              </w:rPr>
              <w:t xml:space="preserve">). In hetzelfde arrest herinnert het </w:t>
            </w:r>
            <w:proofErr w:type="spellStart"/>
            <w:r w:rsidRPr="006F1905">
              <w:rPr>
                <w:rFonts w:asciiTheme="minorHAnsi" w:hAnsiTheme="minorHAnsi" w:cstheme="minorHAnsi"/>
                <w:sz w:val="22"/>
              </w:rPr>
              <w:t>HvJ</w:t>
            </w:r>
            <w:proofErr w:type="spellEnd"/>
            <w:r w:rsidRPr="006F1905">
              <w:rPr>
                <w:rFonts w:asciiTheme="minorHAnsi" w:hAnsiTheme="minorHAnsi" w:cstheme="minorHAnsi"/>
                <w:sz w:val="22"/>
              </w:rPr>
              <w:t>-EU eraan dat het IP-</w:t>
            </w:r>
            <w:proofErr w:type="spellStart"/>
            <w:r w:rsidRPr="006F1905">
              <w:rPr>
                <w:rFonts w:asciiTheme="minorHAnsi" w:hAnsiTheme="minorHAnsi" w:cstheme="minorHAnsi"/>
                <w:sz w:val="22"/>
              </w:rPr>
              <w:t>bronadres</w:t>
            </w:r>
            <w:proofErr w:type="spellEnd"/>
            <w:r w:rsidRPr="006F1905">
              <w:rPr>
                <w:rFonts w:asciiTheme="minorHAnsi" w:hAnsiTheme="minorHAnsi" w:cstheme="minorHAnsi"/>
                <w:sz w:val="22"/>
              </w:rPr>
              <w:t xml:space="preserve"> het enige middel is aan de hand waarvan de dader van een online-inbreuk kan worden geïdentificeerd (punt 154 van het arrest).</w:t>
            </w:r>
          </w:p>
        </w:tc>
      </w:tr>
      <w:tr w:rsidR="00B1764E" w:rsidRPr="002F7AA5" w14:paraId="1B25DD00" w14:textId="77777777" w:rsidTr="00705040">
        <w:tc>
          <w:tcPr>
            <w:tcW w:w="4508" w:type="dxa"/>
          </w:tcPr>
          <w:p w14:paraId="544581CA" w14:textId="77777777" w:rsidR="00B1764E" w:rsidRPr="006F1905" w:rsidRDefault="00B1764E" w:rsidP="006F1905">
            <w:pPr>
              <w:jc w:val="both"/>
              <w:rPr>
                <w:rFonts w:asciiTheme="minorHAnsi" w:hAnsiTheme="minorHAnsi" w:cstheme="minorHAnsi"/>
                <w:sz w:val="22"/>
              </w:rPr>
            </w:pPr>
          </w:p>
        </w:tc>
        <w:tc>
          <w:tcPr>
            <w:tcW w:w="4508" w:type="dxa"/>
          </w:tcPr>
          <w:p w14:paraId="099102D2" w14:textId="77777777" w:rsidR="00B1764E" w:rsidRPr="006F1905" w:rsidRDefault="00B1764E" w:rsidP="006F1905">
            <w:pPr>
              <w:jc w:val="both"/>
              <w:rPr>
                <w:rFonts w:asciiTheme="minorHAnsi" w:hAnsiTheme="minorHAnsi" w:cstheme="minorHAnsi"/>
                <w:sz w:val="22"/>
              </w:rPr>
            </w:pPr>
          </w:p>
        </w:tc>
      </w:tr>
      <w:tr w:rsidR="00B1764E" w:rsidRPr="002F7AA5" w14:paraId="081730B5" w14:textId="77777777" w:rsidTr="00705040">
        <w:tc>
          <w:tcPr>
            <w:tcW w:w="4508" w:type="dxa"/>
          </w:tcPr>
          <w:p w14:paraId="169C1102" w14:textId="086B370F"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FR"/>
              </w:rPr>
              <w:t xml:space="preserve">Cependant, la conservation de cette seule donnée n’est pas suffisante pour atteindre l’objectif poursuivi (identification </w:t>
            </w:r>
            <w:r w:rsidRPr="006F1905">
              <w:rPr>
                <w:rFonts w:asciiTheme="minorHAnsi" w:hAnsiTheme="minorHAnsi" w:cstheme="minorHAnsi"/>
                <w:i/>
                <w:iCs/>
                <w:sz w:val="22"/>
                <w:lang w:val="fr-FR"/>
              </w:rPr>
              <w:t>in fine</w:t>
            </w:r>
            <w:r w:rsidRPr="006F1905">
              <w:rPr>
                <w:rFonts w:asciiTheme="minorHAnsi" w:hAnsiTheme="minorHAnsi" w:cstheme="minorHAnsi"/>
                <w:sz w:val="22"/>
                <w:lang w:val="fr-FR"/>
              </w:rPr>
              <w:t xml:space="preserve"> de l’utilisateur final). En pratique, ainsi que les opérateurs l’ont indiqué lors de la consultation publique sur l’avant-projet de loi « conservation des données », des métadonnées  liées à l’adresse IP source doivent être conservées avec </w:t>
            </w:r>
            <w:r w:rsidRPr="006F1905">
              <w:rPr>
                <w:rFonts w:asciiTheme="minorHAnsi" w:hAnsiTheme="minorHAnsi" w:cstheme="minorHAnsi"/>
                <w:sz w:val="22"/>
                <w:lang w:val="fr-FR"/>
              </w:rPr>
              <w:lastRenderedPageBreak/>
              <w:t>cette adresse pour relier l’adresse IP à une personne spécifique.</w:t>
            </w:r>
          </w:p>
        </w:tc>
        <w:tc>
          <w:tcPr>
            <w:tcW w:w="4508" w:type="dxa"/>
          </w:tcPr>
          <w:p w14:paraId="7C45428E" w14:textId="142BFFC3"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lastRenderedPageBreak/>
              <w:t>Het bewaren van enkel dit gegeven is evenwel niet voldoende om het streefdoel te bereiken (uiteindelijke identificatie van de eindgebruiker). In de praktijk, zoals de operatoren het hebben aangegeven tijdens de openbare raadpleging over het voorontwerp van wet “gegevensbewaring”, moeten metagegevens gelieerd aan het IP-</w:t>
            </w:r>
            <w:proofErr w:type="spellStart"/>
            <w:r w:rsidRPr="006F1905">
              <w:rPr>
                <w:rFonts w:asciiTheme="minorHAnsi" w:hAnsiTheme="minorHAnsi" w:cstheme="minorHAnsi"/>
                <w:sz w:val="22"/>
              </w:rPr>
              <w:t>bronadres</w:t>
            </w:r>
            <w:proofErr w:type="spellEnd"/>
            <w:r w:rsidRPr="006F1905">
              <w:rPr>
                <w:rFonts w:asciiTheme="minorHAnsi" w:hAnsiTheme="minorHAnsi" w:cstheme="minorHAnsi"/>
                <w:sz w:val="22"/>
              </w:rPr>
              <w:t xml:space="preserve"> </w:t>
            </w:r>
            <w:r w:rsidRPr="006F1905">
              <w:rPr>
                <w:rFonts w:asciiTheme="minorHAnsi" w:hAnsiTheme="minorHAnsi" w:cstheme="minorHAnsi"/>
                <w:sz w:val="22"/>
              </w:rPr>
              <w:lastRenderedPageBreak/>
              <w:t>samen met dit adres worden bewaard om het IP-adres te linken aan een specifieke persoon.</w:t>
            </w:r>
          </w:p>
        </w:tc>
      </w:tr>
      <w:tr w:rsidR="00B1764E" w:rsidRPr="002F7AA5" w14:paraId="59D4505B" w14:textId="77777777" w:rsidTr="00705040">
        <w:tc>
          <w:tcPr>
            <w:tcW w:w="4508" w:type="dxa"/>
          </w:tcPr>
          <w:p w14:paraId="7CB4519D" w14:textId="77777777" w:rsidR="00B1764E" w:rsidRPr="006F1905" w:rsidRDefault="00B1764E" w:rsidP="006F1905">
            <w:pPr>
              <w:jc w:val="both"/>
              <w:rPr>
                <w:rFonts w:asciiTheme="minorHAnsi" w:hAnsiTheme="minorHAnsi" w:cstheme="minorHAnsi"/>
                <w:sz w:val="22"/>
              </w:rPr>
            </w:pPr>
          </w:p>
        </w:tc>
        <w:tc>
          <w:tcPr>
            <w:tcW w:w="4508" w:type="dxa"/>
          </w:tcPr>
          <w:p w14:paraId="2CABE747" w14:textId="77777777" w:rsidR="00B1764E" w:rsidRPr="006F1905" w:rsidRDefault="00B1764E" w:rsidP="006F1905">
            <w:pPr>
              <w:jc w:val="both"/>
              <w:rPr>
                <w:rFonts w:asciiTheme="minorHAnsi" w:hAnsiTheme="minorHAnsi" w:cstheme="minorHAnsi"/>
                <w:sz w:val="22"/>
              </w:rPr>
            </w:pPr>
          </w:p>
        </w:tc>
      </w:tr>
      <w:tr w:rsidR="00B1764E" w:rsidRPr="002F7AA5" w14:paraId="32025512" w14:textId="77777777" w:rsidTr="00705040">
        <w:tc>
          <w:tcPr>
            <w:tcW w:w="4508" w:type="dxa"/>
          </w:tcPr>
          <w:p w14:paraId="411B8A6D" w14:textId="5E3212B3"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En plus de l'adresse IP, il est nécessaire de conserver les ports source qui ont été attribués, et ce pour les raisons suivantes.</w:t>
            </w:r>
          </w:p>
        </w:tc>
        <w:tc>
          <w:tcPr>
            <w:tcW w:w="4508" w:type="dxa"/>
          </w:tcPr>
          <w:p w14:paraId="589A497E" w14:textId="4204446E"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 xml:space="preserve">Bovenop het IP-adres is het noodzakelijk om de toegewezen bronpoorten te bewaren en wel om de volgende redenen. </w:t>
            </w:r>
          </w:p>
        </w:tc>
      </w:tr>
      <w:tr w:rsidR="00B1764E" w:rsidRPr="002F7AA5" w14:paraId="347BAE06" w14:textId="77777777" w:rsidTr="00705040">
        <w:tc>
          <w:tcPr>
            <w:tcW w:w="4508" w:type="dxa"/>
          </w:tcPr>
          <w:p w14:paraId="1E865567" w14:textId="77777777" w:rsidR="00B1764E" w:rsidRPr="006F1905" w:rsidRDefault="00B1764E" w:rsidP="006F1905">
            <w:pPr>
              <w:jc w:val="both"/>
              <w:rPr>
                <w:rFonts w:asciiTheme="minorHAnsi" w:hAnsiTheme="minorHAnsi" w:cstheme="minorHAnsi"/>
                <w:sz w:val="22"/>
              </w:rPr>
            </w:pPr>
          </w:p>
        </w:tc>
        <w:tc>
          <w:tcPr>
            <w:tcW w:w="4508" w:type="dxa"/>
          </w:tcPr>
          <w:p w14:paraId="22871D4C" w14:textId="77777777" w:rsidR="00B1764E" w:rsidRPr="006F1905" w:rsidRDefault="00B1764E" w:rsidP="006F1905">
            <w:pPr>
              <w:jc w:val="both"/>
              <w:rPr>
                <w:rFonts w:asciiTheme="minorHAnsi" w:hAnsiTheme="minorHAnsi" w:cstheme="minorHAnsi"/>
                <w:sz w:val="22"/>
              </w:rPr>
            </w:pPr>
          </w:p>
        </w:tc>
      </w:tr>
      <w:tr w:rsidR="00B1764E" w:rsidRPr="002F7AA5" w14:paraId="513CD1BE" w14:textId="77777777" w:rsidTr="00705040">
        <w:tc>
          <w:tcPr>
            <w:tcW w:w="4508" w:type="dxa"/>
          </w:tcPr>
          <w:p w14:paraId="07CFE59D" w14:textId="0C1D2903"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Jusqu'en 2011, une adresse IP utilisée à un certain moment permettait l'identification d'une seule personne.</w:t>
            </w:r>
          </w:p>
        </w:tc>
        <w:tc>
          <w:tcPr>
            <w:tcW w:w="4508" w:type="dxa"/>
          </w:tcPr>
          <w:p w14:paraId="4DA86BCF" w14:textId="55BB0D5D"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Tot 2011 kon aan de hand van een IP-adres dat op een bepaald moment gebruikt werd, één enkele persoon geïdentificeerd worden.</w:t>
            </w:r>
          </w:p>
        </w:tc>
      </w:tr>
      <w:tr w:rsidR="00B1764E" w:rsidRPr="002F7AA5" w14:paraId="5E79271F" w14:textId="77777777" w:rsidTr="00705040">
        <w:tc>
          <w:tcPr>
            <w:tcW w:w="4508" w:type="dxa"/>
          </w:tcPr>
          <w:p w14:paraId="2547554B" w14:textId="77777777" w:rsidR="00B1764E" w:rsidRPr="006F1905" w:rsidRDefault="00B1764E" w:rsidP="006F1905">
            <w:pPr>
              <w:jc w:val="both"/>
              <w:rPr>
                <w:rFonts w:asciiTheme="minorHAnsi" w:hAnsiTheme="minorHAnsi" w:cstheme="minorHAnsi"/>
                <w:sz w:val="22"/>
              </w:rPr>
            </w:pPr>
          </w:p>
        </w:tc>
        <w:tc>
          <w:tcPr>
            <w:tcW w:w="4508" w:type="dxa"/>
          </w:tcPr>
          <w:p w14:paraId="3C9FEDF8" w14:textId="77777777" w:rsidR="00B1764E" w:rsidRPr="006F1905" w:rsidRDefault="00B1764E" w:rsidP="006F1905">
            <w:pPr>
              <w:jc w:val="both"/>
              <w:rPr>
                <w:rFonts w:asciiTheme="minorHAnsi" w:hAnsiTheme="minorHAnsi" w:cstheme="minorHAnsi"/>
                <w:sz w:val="22"/>
              </w:rPr>
            </w:pPr>
          </w:p>
        </w:tc>
      </w:tr>
      <w:tr w:rsidR="00B1764E" w:rsidRPr="002F7AA5" w14:paraId="1AAD1FD9" w14:textId="77777777" w:rsidTr="00705040">
        <w:tc>
          <w:tcPr>
            <w:tcW w:w="4508" w:type="dxa"/>
          </w:tcPr>
          <w:p w14:paraId="68DEBCE8" w14:textId="4D5384AC"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Pour des raisons techniques et commerciales, un grand nombre de fournisseurs d'accès à internet ont migré vers le partage d'une adresse IP entre plusieurs utilisateurs fina</w:t>
            </w:r>
            <w:r w:rsidR="00706C31">
              <w:rPr>
                <w:rFonts w:asciiTheme="minorHAnsi" w:hAnsiTheme="minorHAnsi" w:cstheme="minorHAnsi"/>
                <w:sz w:val="22"/>
                <w:lang w:val="fr-BE"/>
              </w:rPr>
              <w:t>ux.</w:t>
            </w:r>
          </w:p>
        </w:tc>
        <w:tc>
          <w:tcPr>
            <w:tcW w:w="4508" w:type="dxa"/>
          </w:tcPr>
          <w:p w14:paraId="4401F8A8" w14:textId="4DA23BF7"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Om technische en commerciële redenen zijn een groot aantal internetproviders overgestapt naar het delen van een IP-adres onder verschillende eindgebruikers.</w:t>
            </w:r>
          </w:p>
        </w:tc>
      </w:tr>
      <w:tr w:rsidR="00B1764E" w:rsidRPr="002F7AA5" w14:paraId="2C5A20BE" w14:textId="77777777" w:rsidTr="00705040">
        <w:tc>
          <w:tcPr>
            <w:tcW w:w="4508" w:type="dxa"/>
          </w:tcPr>
          <w:p w14:paraId="7EAB8100" w14:textId="77777777" w:rsidR="00B1764E" w:rsidRPr="006F1905" w:rsidRDefault="00B1764E" w:rsidP="006F1905">
            <w:pPr>
              <w:jc w:val="both"/>
              <w:rPr>
                <w:rFonts w:asciiTheme="minorHAnsi" w:hAnsiTheme="minorHAnsi" w:cstheme="minorHAnsi"/>
                <w:sz w:val="22"/>
              </w:rPr>
            </w:pPr>
          </w:p>
        </w:tc>
        <w:tc>
          <w:tcPr>
            <w:tcW w:w="4508" w:type="dxa"/>
          </w:tcPr>
          <w:p w14:paraId="1480CD8C" w14:textId="77777777" w:rsidR="00B1764E" w:rsidRPr="006F1905" w:rsidRDefault="00B1764E" w:rsidP="006F1905">
            <w:pPr>
              <w:jc w:val="both"/>
              <w:rPr>
                <w:rFonts w:asciiTheme="minorHAnsi" w:hAnsiTheme="minorHAnsi" w:cstheme="minorHAnsi"/>
                <w:sz w:val="22"/>
              </w:rPr>
            </w:pPr>
          </w:p>
        </w:tc>
      </w:tr>
      <w:tr w:rsidR="00B1764E" w:rsidRPr="002F7AA5" w14:paraId="74519E6F" w14:textId="77777777" w:rsidTr="00705040">
        <w:tc>
          <w:tcPr>
            <w:tcW w:w="4508" w:type="dxa"/>
          </w:tcPr>
          <w:p w14:paraId="18A6EB4C" w14:textId="72078590"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Afin de rendre cela possible, les 65 536 ports (TCP/UDP) disponibles pour une adresse IP sont divisés entre les différents utilisateurs finaux de cette adresse IP.</w:t>
            </w:r>
          </w:p>
        </w:tc>
        <w:tc>
          <w:tcPr>
            <w:tcW w:w="4508" w:type="dxa"/>
          </w:tcPr>
          <w:p w14:paraId="569D8705" w14:textId="58BA8A43"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Om dit mogelijk te maken, worden de 65 536 poorten (TCP/UDP) die per IP-adres beschikbaar zijn, verdeeld over de verschillende eindgebruikers van dat IP-adres.</w:t>
            </w:r>
          </w:p>
        </w:tc>
      </w:tr>
      <w:tr w:rsidR="00B1764E" w:rsidRPr="002F7AA5" w14:paraId="692591FF" w14:textId="77777777" w:rsidTr="00705040">
        <w:tc>
          <w:tcPr>
            <w:tcW w:w="4508" w:type="dxa"/>
          </w:tcPr>
          <w:p w14:paraId="7A37FD6F" w14:textId="77777777" w:rsidR="00B1764E" w:rsidRPr="006F1905" w:rsidRDefault="00B1764E" w:rsidP="006F1905">
            <w:pPr>
              <w:jc w:val="both"/>
              <w:rPr>
                <w:rFonts w:asciiTheme="minorHAnsi" w:hAnsiTheme="minorHAnsi" w:cstheme="minorHAnsi"/>
                <w:sz w:val="22"/>
              </w:rPr>
            </w:pPr>
          </w:p>
        </w:tc>
        <w:tc>
          <w:tcPr>
            <w:tcW w:w="4508" w:type="dxa"/>
          </w:tcPr>
          <w:p w14:paraId="510287EE" w14:textId="77777777" w:rsidR="00B1764E" w:rsidRPr="006F1905" w:rsidRDefault="00B1764E" w:rsidP="006F1905">
            <w:pPr>
              <w:jc w:val="both"/>
              <w:rPr>
                <w:rFonts w:asciiTheme="minorHAnsi" w:hAnsiTheme="minorHAnsi" w:cstheme="minorHAnsi"/>
                <w:sz w:val="22"/>
              </w:rPr>
            </w:pPr>
          </w:p>
        </w:tc>
      </w:tr>
      <w:tr w:rsidR="00B1764E" w:rsidRPr="002F7AA5" w14:paraId="6B0F7767" w14:textId="77777777" w:rsidTr="00705040">
        <w:tc>
          <w:tcPr>
            <w:tcW w:w="4508" w:type="dxa"/>
          </w:tcPr>
          <w:p w14:paraId="615EC9FD" w14:textId="13063B25"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La conservation des données a pour but d'identifier de manière précise et univoque l'utilisateur final internet impliqué dans un dossier judiciaire, et d'exclure les autres.</w:t>
            </w:r>
          </w:p>
        </w:tc>
        <w:tc>
          <w:tcPr>
            <w:tcW w:w="4508" w:type="dxa"/>
          </w:tcPr>
          <w:p w14:paraId="0C77CD66" w14:textId="32834E24" w:rsidR="00B1764E" w:rsidRPr="006F1905" w:rsidRDefault="00B1764E" w:rsidP="006F1905">
            <w:pPr>
              <w:jc w:val="both"/>
              <w:rPr>
                <w:rFonts w:asciiTheme="minorHAnsi" w:hAnsiTheme="minorHAnsi" w:cstheme="minorHAnsi"/>
                <w:sz w:val="22"/>
              </w:rPr>
            </w:pPr>
            <w:r w:rsidRPr="00EB6D2B">
              <w:rPr>
                <w:rFonts w:asciiTheme="minorHAnsi" w:hAnsiTheme="minorHAnsi" w:cstheme="minorHAnsi"/>
                <w:sz w:val="22"/>
                <w:lang w:val="fr-BE"/>
              </w:rPr>
              <w:t> </w:t>
            </w:r>
            <w:r w:rsidRPr="006F1905">
              <w:rPr>
                <w:rFonts w:asciiTheme="minorHAnsi" w:hAnsiTheme="minorHAnsi" w:cstheme="minorHAnsi"/>
                <w:sz w:val="22"/>
              </w:rPr>
              <w:t>De gegevensbewaring is erop gericht om interneteindgebruikers die betrokken zijn in een gerechtelijk dossier op een éénduidige manier te identificeren en anderen dus uit te sluiten.</w:t>
            </w:r>
          </w:p>
        </w:tc>
      </w:tr>
      <w:tr w:rsidR="00B1764E" w:rsidRPr="002F7AA5" w14:paraId="12DB7C33" w14:textId="77777777" w:rsidTr="00705040">
        <w:tc>
          <w:tcPr>
            <w:tcW w:w="4508" w:type="dxa"/>
          </w:tcPr>
          <w:p w14:paraId="4B6490D8" w14:textId="77777777" w:rsidR="00B1764E" w:rsidRPr="006F1905" w:rsidRDefault="00B1764E" w:rsidP="006F1905">
            <w:pPr>
              <w:jc w:val="both"/>
              <w:rPr>
                <w:rFonts w:asciiTheme="minorHAnsi" w:hAnsiTheme="minorHAnsi" w:cstheme="minorHAnsi"/>
                <w:sz w:val="22"/>
              </w:rPr>
            </w:pPr>
          </w:p>
        </w:tc>
        <w:tc>
          <w:tcPr>
            <w:tcW w:w="4508" w:type="dxa"/>
          </w:tcPr>
          <w:p w14:paraId="6C1593FF" w14:textId="77777777" w:rsidR="00B1764E" w:rsidRPr="006F1905" w:rsidRDefault="00B1764E" w:rsidP="006F1905">
            <w:pPr>
              <w:jc w:val="both"/>
              <w:rPr>
                <w:rFonts w:asciiTheme="minorHAnsi" w:hAnsiTheme="minorHAnsi" w:cstheme="minorHAnsi"/>
                <w:sz w:val="22"/>
              </w:rPr>
            </w:pPr>
          </w:p>
        </w:tc>
      </w:tr>
      <w:tr w:rsidR="00B1764E" w:rsidRPr="002F7AA5" w14:paraId="07B0718B" w14:textId="77777777" w:rsidTr="00705040">
        <w:tc>
          <w:tcPr>
            <w:tcW w:w="4508" w:type="dxa"/>
          </w:tcPr>
          <w:p w14:paraId="09386D00" w14:textId="18158F3B" w:rsidR="00B1764E" w:rsidRPr="00EB6D2B" w:rsidRDefault="00B1764E" w:rsidP="006F1905">
            <w:pPr>
              <w:jc w:val="both"/>
              <w:rPr>
                <w:rFonts w:asciiTheme="minorHAnsi" w:hAnsiTheme="minorHAnsi" w:cstheme="minorHAnsi"/>
                <w:sz w:val="22"/>
                <w:lang w:val="fr-BE"/>
              </w:rPr>
            </w:pPr>
            <w:r w:rsidRPr="006F1905">
              <w:rPr>
                <w:rFonts w:asciiTheme="minorHAnsi" w:hAnsiTheme="minorHAnsi" w:cstheme="minorHAnsi"/>
                <w:sz w:val="22"/>
                <w:lang w:val="fr-BE"/>
              </w:rPr>
              <w:t xml:space="preserve">Pour différencier les différents utilisateurs finaux d'Internet partageant une même adresse IP, et identifier de manière non ambigüe un certain utilisateur final (le suspect), il est nécessaire que le fournisseur d'accès à internet qui partage les adresses IP entre plusieurs utilisateurs </w:t>
            </w:r>
            <w:r w:rsidR="00706C31" w:rsidRPr="006F1905">
              <w:rPr>
                <w:rFonts w:asciiTheme="minorHAnsi" w:hAnsiTheme="minorHAnsi" w:cstheme="minorHAnsi"/>
                <w:sz w:val="22"/>
                <w:lang w:val="fr-BE"/>
              </w:rPr>
              <w:t>fina</w:t>
            </w:r>
            <w:r w:rsidR="00706C31">
              <w:rPr>
                <w:rFonts w:asciiTheme="minorHAnsi" w:hAnsiTheme="minorHAnsi" w:cstheme="minorHAnsi"/>
                <w:sz w:val="22"/>
                <w:lang w:val="fr-BE"/>
              </w:rPr>
              <w:t>ux</w:t>
            </w:r>
            <w:r w:rsidR="00706C31" w:rsidRPr="006F1905">
              <w:rPr>
                <w:rFonts w:asciiTheme="minorHAnsi" w:hAnsiTheme="minorHAnsi" w:cstheme="minorHAnsi"/>
                <w:sz w:val="22"/>
                <w:lang w:val="fr-BE"/>
              </w:rPr>
              <w:t xml:space="preserve"> </w:t>
            </w:r>
            <w:r w:rsidRPr="006F1905">
              <w:rPr>
                <w:rFonts w:asciiTheme="minorHAnsi" w:hAnsiTheme="minorHAnsi" w:cstheme="minorHAnsi"/>
                <w:sz w:val="22"/>
                <w:lang w:val="fr-BE"/>
              </w:rPr>
              <w:t>conserve également pour chaque utilisateur final, à côté de l'adresse IP, les ports qui lui ont été attribués et la période de cette attribution.</w:t>
            </w:r>
          </w:p>
        </w:tc>
        <w:tc>
          <w:tcPr>
            <w:tcW w:w="4508" w:type="dxa"/>
          </w:tcPr>
          <w:p w14:paraId="54BA3C84" w14:textId="37DFDD6D" w:rsidR="00B1764E" w:rsidRPr="006F1905" w:rsidRDefault="00B1764E" w:rsidP="006F1905">
            <w:pPr>
              <w:jc w:val="both"/>
              <w:rPr>
                <w:rFonts w:asciiTheme="minorHAnsi" w:hAnsiTheme="minorHAnsi" w:cstheme="minorHAnsi"/>
                <w:sz w:val="22"/>
              </w:rPr>
            </w:pPr>
            <w:r w:rsidRPr="006F1905">
              <w:rPr>
                <w:rFonts w:asciiTheme="minorHAnsi" w:hAnsiTheme="minorHAnsi" w:cstheme="minorHAnsi"/>
                <w:sz w:val="22"/>
              </w:rPr>
              <w:t>Om de verschillende interneteindgebruikers van eenzelfde IP-adres van elkaar te onderscheiden en één bepaalde eindgebruiker (een verdachte) op éénduidige manier te kunnen identificeren, is het noodzakelijk dat de aanbieder van internettoegang die IP-adressen deelt over verschillende eindgebruikers, dus ook voor elke eindgebruiker naast het IP-adres de toegekende poorten en de periode van deze toekenning bewaart.</w:t>
            </w:r>
          </w:p>
        </w:tc>
      </w:tr>
      <w:tr w:rsidR="00B1764E" w:rsidRPr="002F7AA5" w14:paraId="799EA2B3" w14:textId="77777777" w:rsidTr="00705040">
        <w:tc>
          <w:tcPr>
            <w:tcW w:w="4508" w:type="dxa"/>
          </w:tcPr>
          <w:p w14:paraId="17008FF4" w14:textId="77777777" w:rsidR="00B1764E" w:rsidRPr="002F7AA5" w:rsidRDefault="00B1764E" w:rsidP="00B1764E">
            <w:pPr>
              <w:rPr>
                <w:rFonts w:asciiTheme="minorHAnsi" w:hAnsiTheme="minorHAnsi" w:cstheme="minorHAnsi"/>
                <w:sz w:val="22"/>
              </w:rPr>
            </w:pPr>
          </w:p>
        </w:tc>
        <w:tc>
          <w:tcPr>
            <w:tcW w:w="4508" w:type="dxa"/>
          </w:tcPr>
          <w:p w14:paraId="0B9F4ECC" w14:textId="77777777" w:rsidR="00B1764E" w:rsidRPr="002F7AA5" w:rsidRDefault="00B1764E" w:rsidP="00B1764E">
            <w:pPr>
              <w:rPr>
                <w:rFonts w:asciiTheme="minorHAnsi" w:hAnsiTheme="minorHAnsi" w:cstheme="minorHAnsi"/>
                <w:sz w:val="22"/>
              </w:rPr>
            </w:pPr>
          </w:p>
        </w:tc>
      </w:tr>
      <w:tr w:rsidR="00B1764E" w:rsidRPr="002F7AA5" w14:paraId="1DCA18AA" w14:textId="77777777" w:rsidTr="00705040">
        <w:tc>
          <w:tcPr>
            <w:tcW w:w="4508" w:type="dxa"/>
          </w:tcPr>
          <w:p w14:paraId="55D4AEE1" w14:textId="051AE42A" w:rsidR="00B1764E" w:rsidRPr="00EB6D2B" w:rsidRDefault="00B1764E" w:rsidP="004E0728">
            <w:pPr>
              <w:jc w:val="both"/>
              <w:rPr>
                <w:rFonts w:asciiTheme="minorHAnsi" w:hAnsiTheme="minorHAnsi" w:cstheme="minorHAnsi"/>
                <w:sz w:val="22"/>
                <w:lang w:val="fr-BE"/>
              </w:rPr>
            </w:pPr>
            <w:r w:rsidRPr="004E0728">
              <w:rPr>
                <w:rFonts w:asciiTheme="minorHAnsi" w:hAnsiTheme="minorHAnsi" w:cstheme="minorHAnsi"/>
                <w:sz w:val="22"/>
                <w:u w:val="single"/>
                <w:lang w:val="fr-BE"/>
              </w:rPr>
              <w:t xml:space="preserve">Les identifiants de l’équipement terminal (16°) : introduction </w:t>
            </w:r>
          </w:p>
        </w:tc>
        <w:tc>
          <w:tcPr>
            <w:tcW w:w="4508" w:type="dxa"/>
          </w:tcPr>
          <w:p w14:paraId="5B45BF55" w14:textId="74BFB64E" w:rsidR="00B1764E" w:rsidRPr="004E0728" w:rsidRDefault="00B1764E" w:rsidP="004E0728">
            <w:pPr>
              <w:jc w:val="both"/>
              <w:rPr>
                <w:rFonts w:asciiTheme="minorHAnsi" w:hAnsiTheme="minorHAnsi" w:cstheme="minorHAnsi"/>
                <w:sz w:val="22"/>
              </w:rPr>
            </w:pPr>
            <w:r w:rsidRPr="004E0728">
              <w:rPr>
                <w:rFonts w:asciiTheme="minorHAnsi" w:hAnsiTheme="minorHAnsi" w:cstheme="minorHAnsi"/>
                <w:sz w:val="22"/>
                <w:u w:val="single"/>
              </w:rPr>
              <w:t xml:space="preserve">De </w:t>
            </w:r>
            <w:proofErr w:type="spellStart"/>
            <w:r w:rsidR="0005635B">
              <w:rPr>
                <w:rFonts w:asciiTheme="minorHAnsi" w:hAnsiTheme="minorHAnsi" w:cstheme="minorHAnsi"/>
                <w:sz w:val="22"/>
                <w:u w:val="single"/>
              </w:rPr>
              <w:t>identifier</w:t>
            </w:r>
            <w:proofErr w:type="spellEnd"/>
            <w:r w:rsidRPr="004E0728">
              <w:rPr>
                <w:rFonts w:asciiTheme="minorHAnsi" w:hAnsiTheme="minorHAnsi" w:cstheme="minorHAnsi"/>
                <w:sz w:val="22"/>
                <w:u w:val="single"/>
              </w:rPr>
              <w:t xml:space="preserve"> van het eindapparaat (16°): inleiding</w:t>
            </w:r>
          </w:p>
        </w:tc>
      </w:tr>
      <w:tr w:rsidR="00B1764E" w:rsidRPr="002F7AA5" w14:paraId="7AFC4015" w14:textId="77777777" w:rsidTr="00705040">
        <w:tc>
          <w:tcPr>
            <w:tcW w:w="4508" w:type="dxa"/>
          </w:tcPr>
          <w:p w14:paraId="6D21041A" w14:textId="77777777" w:rsidR="00B1764E" w:rsidRPr="004E0728" w:rsidRDefault="00B1764E" w:rsidP="004E0728">
            <w:pPr>
              <w:jc w:val="both"/>
              <w:rPr>
                <w:rFonts w:asciiTheme="minorHAnsi" w:hAnsiTheme="minorHAnsi" w:cstheme="minorHAnsi"/>
                <w:sz w:val="22"/>
              </w:rPr>
            </w:pPr>
          </w:p>
        </w:tc>
        <w:tc>
          <w:tcPr>
            <w:tcW w:w="4508" w:type="dxa"/>
          </w:tcPr>
          <w:p w14:paraId="26A74B30" w14:textId="77777777" w:rsidR="00B1764E" w:rsidRPr="004E0728" w:rsidRDefault="00B1764E" w:rsidP="004E0728">
            <w:pPr>
              <w:jc w:val="both"/>
              <w:rPr>
                <w:rFonts w:asciiTheme="minorHAnsi" w:hAnsiTheme="minorHAnsi" w:cstheme="minorHAnsi"/>
                <w:sz w:val="22"/>
              </w:rPr>
            </w:pPr>
          </w:p>
        </w:tc>
      </w:tr>
      <w:tr w:rsidR="00B1764E" w:rsidRPr="002F7AA5" w14:paraId="23224B27" w14:textId="77777777" w:rsidTr="00705040">
        <w:tc>
          <w:tcPr>
            <w:tcW w:w="4508" w:type="dxa"/>
          </w:tcPr>
          <w:p w14:paraId="3A33690E" w14:textId="6E9DAB6E" w:rsidR="00B1764E" w:rsidRPr="00EB6D2B" w:rsidRDefault="00B1764E" w:rsidP="004E0728">
            <w:pPr>
              <w:jc w:val="both"/>
              <w:rPr>
                <w:rFonts w:asciiTheme="minorHAnsi" w:hAnsiTheme="minorHAnsi" w:cstheme="minorHAnsi"/>
                <w:sz w:val="22"/>
                <w:lang w:val="fr-BE"/>
              </w:rPr>
            </w:pPr>
            <w:r w:rsidRPr="004E0728">
              <w:rPr>
                <w:rFonts w:asciiTheme="minorHAnsi" w:hAnsiTheme="minorHAnsi" w:cstheme="minorHAnsi"/>
                <w:spacing w:val="-3"/>
                <w:sz w:val="22"/>
                <w:lang w:val="fr-FR"/>
              </w:rPr>
              <w:t xml:space="preserve">A ce jour, la Cour de justice de l’Union européenne ne s’est expressément prononcée que sur l’adresse IP source mais pas sur d’autres données techniques comme l’IMEI ( </w:t>
            </w:r>
            <w:r w:rsidRPr="004E0728">
              <w:rPr>
                <w:rFonts w:asciiTheme="minorHAnsi" w:hAnsiTheme="minorHAnsi" w:cstheme="minorHAnsi"/>
                <w:sz w:val="22"/>
                <w:lang w:val="fr-BE"/>
              </w:rPr>
              <w:t>"</w:t>
            </w:r>
            <w:r w:rsidRPr="004E0728">
              <w:rPr>
                <w:rFonts w:asciiTheme="minorHAnsi" w:hAnsiTheme="minorHAnsi" w:cstheme="minorHAnsi"/>
                <w:spacing w:val="-3"/>
                <w:sz w:val="22"/>
                <w:lang w:val="fr-FR"/>
              </w:rPr>
              <w:t xml:space="preserve"> International Mobile Equipment Identity</w:t>
            </w:r>
            <w:r w:rsidRPr="004E0728">
              <w:rPr>
                <w:rFonts w:asciiTheme="minorHAnsi" w:hAnsiTheme="minorHAnsi" w:cstheme="minorHAnsi"/>
                <w:sz w:val="22"/>
                <w:lang w:val="fr-BE"/>
              </w:rPr>
              <w:t>"</w:t>
            </w:r>
            <w:r w:rsidRPr="004E0728">
              <w:rPr>
                <w:rFonts w:asciiTheme="minorHAnsi" w:hAnsiTheme="minorHAnsi" w:cstheme="minorHAnsi"/>
                <w:spacing w:val="-3"/>
                <w:sz w:val="22"/>
                <w:lang w:val="fr-FR"/>
              </w:rPr>
              <w:t xml:space="preserve">), le PEI </w:t>
            </w:r>
            <w:r w:rsidRPr="004E0728">
              <w:rPr>
                <w:rFonts w:asciiTheme="minorHAnsi" w:hAnsiTheme="minorHAnsi" w:cstheme="minorHAnsi"/>
                <w:sz w:val="22"/>
                <w:lang w:val="fr-BE"/>
              </w:rPr>
              <w:t>("Permanent Equipment Identifier", identifiant développé dans le cadre de la 5G)</w:t>
            </w:r>
            <w:r w:rsidRPr="004E0728">
              <w:rPr>
                <w:rFonts w:asciiTheme="minorHAnsi" w:hAnsiTheme="minorHAnsi" w:cstheme="minorHAnsi"/>
                <w:spacing w:val="-3"/>
                <w:sz w:val="22"/>
                <w:lang w:val="fr-FR"/>
              </w:rPr>
              <w:t xml:space="preserve"> ou l’adresse MAC  (</w:t>
            </w:r>
            <w:r w:rsidR="00977E17">
              <w:rPr>
                <w:rFonts w:asciiTheme="minorHAnsi" w:hAnsiTheme="minorHAnsi" w:cstheme="minorHAnsi"/>
                <w:spacing w:val="-3"/>
                <w:sz w:val="22"/>
                <w:lang w:val="fr-FR"/>
              </w:rPr>
              <w:t>M</w:t>
            </w:r>
            <w:r w:rsidR="00977E17" w:rsidRPr="004E0728">
              <w:rPr>
                <w:rFonts w:asciiTheme="minorHAnsi" w:hAnsiTheme="minorHAnsi" w:cstheme="minorHAnsi"/>
                <w:spacing w:val="-3"/>
                <w:sz w:val="22"/>
                <w:lang w:val="fr-FR"/>
              </w:rPr>
              <w:t xml:space="preserve">edia </w:t>
            </w:r>
            <w:r w:rsidR="00977E17">
              <w:rPr>
                <w:rFonts w:asciiTheme="minorHAnsi" w:hAnsiTheme="minorHAnsi" w:cstheme="minorHAnsi"/>
                <w:spacing w:val="-3"/>
                <w:sz w:val="22"/>
                <w:lang w:val="fr-FR"/>
              </w:rPr>
              <w:t>A</w:t>
            </w:r>
            <w:r w:rsidR="00977E17" w:rsidRPr="004E0728">
              <w:rPr>
                <w:rFonts w:asciiTheme="minorHAnsi" w:hAnsiTheme="minorHAnsi" w:cstheme="minorHAnsi"/>
                <w:spacing w:val="-3"/>
                <w:sz w:val="22"/>
                <w:lang w:val="fr-FR"/>
              </w:rPr>
              <w:t xml:space="preserve">ccess </w:t>
            </w:r>
            <w:r w:rsidR="00977E17">
              <w:rPr>
                <w:rFonts w:asciiTheme="minorHAnsi" w:hAnsiTheme="minorHAnsi" w:cstheme="minorHAnsi"/>
                <w:spacing w:val="-3"/>
                <w:sz w:val="22"/>
                <w:lang w:val="fr-FR"/>
              </w:rPr>
              <w:t>C</w:t>
            </w:r>
            <w:r w:rsidR="00977E17" w:rsidRPr="004E0728">
              <w:rPr>
                <w:rFonts w:asciiTheme="minorHAnsi" w:hAnsiTheme="minorHAnsi" w:cstheme="minorHAnsi"/>
                <w:spacing w:val="-3"/>
                <w:sz w:val="22"/>
                <w:lang w:val="fr-FR"/>
              </w:rPr>
              <w:t xml:space="preserve">ontrol </w:t>
            </w:r>
            <w:proofErr w:type="spellStart"/>
            <w:r w:rsidRPr="004E0728">
              <w:rPr>
                <w:rFonts w:asciiTheme="minorHAnsi" w:hAnsiTheme="minorHAnsi" w:cstheme="minorHAnsi"/>
                <w:spacing w:val="-3"/>
                <w:sz w:val="22"/>
                <w:lang w:val="fr-FR"/>
              </w:rPr>
              <w:t>address</w:t>
            </w:r>
            <w:proofErr w:type="spellEnd"/>
            <w:r w:rsidRPr="004E0728">
              <w:rPr>
                <w:rFonts w:asciiTheme="minorHAnsi" w:hAnsiTheme="minorHAnsi" w:cstheme="minorHAnsi"/>
                <w:spacing w:val="-3"/>
                <w:sz w:val="22"/>
                <w:lang w:val="fr-FR"/>
              </w:rPr>
              <w:t xml:space="preserve">), dont la conservation est également nécessaire à des fins d’identification.    </w:t>
            </w:r>
          </w:p>
        </w:tc>
        <w:tc>
          <w:tcPr>
            <w:tcW w:w="4508" w:type="dxa"/>
          </w:tcPr>
          <w:p w14:paraId="615208A3" w14:textId="79C1BC1A" w:rsidR="00B1764E" w:rsidRPr="004E0728" w:rsidRDefault="00B1764E" w:rsidP="004E0728">
            <w:pPr>
              <w:jc w:val="both"/>
              <w:rPr>
                <w:rFonts w:asciiTheme="minorHAnsi" w:hAnsiTheme="minorHAnsi" w:cstheme="minorHAnsi"/>
                <w:sz w:val="22"/>
              </w:rPr>
            </w:pPr>
            <w:r w:rsidRPr="004E0728">
              <w:rPr>
                <w:rFonts w:asciiTheme="minorHAnsi" w:hAnsiTheme="minorHAnsi" w:cstheme="minorHAnsi"/>
                <w:spacing w:val="-3"/>
                <w:sz w:val="22"/>
              </w:rPr>
              <w:t xml:space="preserve">Tot op heden heeft het Hof van Justitie van de Europese Unie zich enkel uitgesproken over het IP-adres aan de bron, maar niet over andere technische gegevens zoals de IMEI (“International Mobile Equipment Identity”), de PEI (“Permanent Equipment </w:t>
            </w:r>
            <w:proofErr w:type="spellStart"/>
            <w:r w:rsidRPr="004E0728">
              <w:rPr>
                <w:rFonts w:asciiTheme="minorHAnsi" w:hAnsiTheme="minorHAnsi" w:cstheme="minorHAnsi"/>
                <w:spacing w:val="-3"/>
                <w:sz w:val="22"/>
              </w:rPr>
              <w:t>Identifier</w:t>
            </w:r>
            <w:proofErr w:type="spellEnd"/>
            <w:r w:rsidRPr="004E0728">
              <w:rPr>
                <w:rFonts w:asciiTheme="minorHAnsi" w:hAnsiTheme="minorHAnsi" w:cstheme="minorHAnsi"/>
                <w:spacing w:val="-3"/>
                <w:sz w:val="22"/>
              </w:rPr>
              <w:t xml:space="preserve">” </w:t>
            </w:r>
            <w:proofErr w:type="spellStart"/>
            <w:r w:rsidR="00D169DD">
              <w:rPr>
                <w:rFonts w:asciiTheme="minorHAnsi" w:hAnsiTheme="minorHAnsi" w:cstheme="minorHAnsi"/>
                <w:spacing w:val="-3"/>
                <w:sz w:val="22"/>
              </w:rPr>
              <w:t>identifi</w:t>
            </w:r>
            <w:r w:rsidR="0005635B">
              <w:rPr>
                <w:rFonts w:asciiTheme="minorHAnsi" w:hAnsiTheme="minorHAnsi" w:cstheme="minorHAnsi"/>
                <w:spacing w:val="-3"/>
                <w:sz w:val="22"/>
              </w:rPr>
              <w:t>er</w:t>
            </w:r>
            <w:proofErr w:type="spellEnd"/>
            <w:r w:rsidRPr="004E0728">
              <w:rPr>
                <w:rFonts w:asciiTheme="minorHAnsi" w:hAnsiTheme="minorHAnsi" w:cstheme="minorHAnsi"/>
                <w:spacing w:val="-3"/>
                <w:sz w:val="22"/>
              </w:rPr>
              <w:t xml:space="preserve"> die in het kader van 5G is ontwikkeld) of het MAC-adres (</w:t>
            </w:r>
            <w:r w:rsidR="00977E17">
              <w:rPr>
                <w:rFonts w:asciiTheme="minorHAnsi" w:hAnsiTheme="minorHAnsi" w:cstheme="minorHAnsi"/>
                <w:spacing w:val="-3"/>
                <w:sz w:val="22"/>
              </w:rPr>
              <w:t>M</w:t>
            </w:r>
            <w:r w:rsidR="00977E17" w:rsidRPr="004E0728">
              <w:rPr>
                <w:rFonts w:asciiTheme="minorHAnsi" w:hAnsiTheme="minorHAnsi" w:cstheme="minorHAnsi"/>
                <w:spacing w:val="-3"/>
                <w:sz w:val="22"/>
              </w:rPr>
              <w:t xml:space="preserve">edia </w:t>
            </w:r>
            <w:r w:rsidR="00977E17">
              <w:rPr>
                <w:rFonts w:asciiTheme="minorHAnsi" w:hAnsiTheme="minorHAnsi" w:cstheme="minorHAnsi"/>
                <w:spacing w:val="-3"/>
                <w:sz w:val="22"/>
              </w:rPr>
              <w:t>Ac</w:t>
            </w:r>
            <w:r w:rsidR="00977E17" w:rsidRPr="004E0728">
              <w:rPr>
                <w:rFonts w:asciiTheme="minorHAnsi" w:hAnsiTheme="minorHAnsi" w:cstheme="minorHAnsi"/>
                <w:spacing w:val="-3"/>
                <w:sz w:val="22"/>
              </w:rPr>
              <w:t xml:space="preserve">cess </w:t>
            </w:r>
            <w:r w:rsidR="00977E17">
              <w:rPr>
                <w:rFonts w:asciiTheme="minorHAnsi" w:hAnsiTheme="minorHAnsi" w:cstheme="minorHAnsi"/>
                <w:spacing w:val="-3"/>
                <w:sz w:val="22"/>
              </w:rPr>
              <w:t>C</w:t>
            </w:r>
            <w:r w:rsidR="00977E17" w:rsidRPr="004E0728">
              <w:rPr>
                <w:rFonts w:asciiTheme="minorHAnsi" w:hAnsiTheme="minorHAnsi" w:cstheme="minorHAnsi"/>
                <w:spacing w:val="-3"/>
                <w:sz w:val="22"/>
              </w:rPr>
              <w:t xml:space="preserve">ontrol </w:t>
            </w:r>
            <w:proofErr w:type="spellStart"/>
            <w:r w:rsidRPr="004E0728">
              <w:rPr>
                <w:rFonts w:asciiTheme="minorHAnsi" w:hAnsiTheme="minorHAnsi" w:cstheme="minorHAnsi"/>
                <w:spacing w:val="-3"/>
                <w:sz w:val="22"/>
              </w:rPr>
              <w:t>address</w:t>
            </w:r>
            <w:proofErr w:type="spellEnd"/>
            <w:r w:rsidRPr="004E0728">
              <w:rPr>
                <w:rFonts w:asciiTheme="minorHAnsi" w:hAnsiTheme="minorHAnsi" w:cstheme="minorHAnsi"/>
                <w:spacing w:val="-3"/>
                <w:sz w:val="22"/>
              </w:rPr>
              <w:t>), waarvan de bewaring eveneens noodzakelijk is voor identificatiedoeleinden.</w:t>
            </w:r>
            <w:r w:rsidRPr="004E0728">
              <w:rPr>
                <w:rFonts w:asciiTheme="minorHAnsi" w:hAnsiTheme="minorHAnsi" w:cstheme="minorHAnsi"/>
                <w:sz w:val="22"/>
              </w:rPr>
              <w:t xml:space="preserve">    </w:t>
            </w:r>
          </w:p>
        </w:tc>
      </w:tr>
      <w:tr w:rsidR="00B1764E" w:rsidRPr="002F7AA5" w14:paraId="7FEE92E8" w14:textId="77777777" w:rsidTr="00705040">
        <w:tc>
          <w:tcPr>
            <w:tcW w:w="4508" w:type="dxa"/>
          </w:tcPr>
          <w:p w14:paraId="75A9ED42" w14:textId="77777777" w:rsidR="00B1764E" w:rsidRPr="002F7AA5" w:rsidRDefault="00B1764E" w:rsidP="00B1764E">
            <w:pPr>
              <w:rPr>
                <w:rFonts w:asciiTheme="minorHAnsi" w:hAnsiTheme="minorHAnsi" w:cstheme="minorHAnsi"/>
                <w:sz w:val="22"/>
              </w:rPr>
            </w:pPr>
          </w:p>
        </w:tc>
        <w:tc>
          <w:tcPr>
            <w:tcW w:w="4508" w:type="dxa"/>
          </w:tcPr>
          <w:p w14:paraId="12FFF1DE" w14:textId="77777777" w:rsidR="00B1764E" w:rsidRPr="002F7AA5" w:rsidRDefault="00B1764E" w:rsidP="00B1764E">
            <w:pPr>
              <w:rPr>
                <w:rFonts w:asciiTheme="minorHAnsi" w:hAnsiTheme="minorHAnsi" w:cstheme="minorHAnsi"/>
                <w:sz w:val="22"/>
              </w:rPr>
            </w:pPr>
          </w:p>
        </w:tc>
      </w:tr>
      <w:tr w:rsidR="00BD3F76" w:rsidRPr="002F7AA5" w14:paraId="46163A5A" w14:textId="77777777" w:rsidTr="00705040">
        <w:tc>
          <w:tcPr>
            <w:tcW w:w="4508" w:type="dxa"/>
          </w:tcPr>
          <w:p w14:paraId="7E86D67F" w14:textId="1BACBB15" w:rsidR="00BD3F76" w:rsidRPr="00EB6D2B" w:rsidRDefault="00BD3F76" w:rsidP="004E0728">
            <w:pPr>
              <w:jc w:val="both"/>
              <w:rPr>
                <w:rFonts w:asciiTheme="minorHAnsi" w:hAnsiTheme="minorHAnsi" w:cstheme="minorHAnsi"/>
                <w:sz w:val="22"/>
                <w:lang w:val="fr-BE"/>
              </w:rPr>
            </w:pPr>
            <w:r w:rsidRPr="004E0728">
              <w:rPr>
                <w:rFonts w:asciiTheme="minorHAnsi" w:hAnsiTheme="minorHAnsi" w:cstheme="minorHAnsi"/>
                <w:spacing w:val="-3"/>
                <w:sz w:val="22"/>
                <w:lang w:val="fr-FR"/>
              </w:rPr>
              <w:lastRenderedPageBreak/>
              <w:t>Au vu de l’utilité que représentent ces données techniques afin de permettre l’identification d’auteurs d’infractions en ligne ou hors ligne, la mesure de conservation prévue est proportionnée.</w:t>
            </w:r>
          </w:p>
        </w:tc>
        <w:tc>
          <w:tcPr>
            <w:tcW w:w="4508" w:type="dxa"/>
          </w:tcPr>
          <w:p w14:paraId="15DFCF09" w14:textId="4C91C27C"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pacing w:val="-3"/>
                <w:sz w:val="22"/>
              </w:rPr>
              <w:t>In het licht van het nut dat deze technische gegevens vertegenwoordigen voor de identificatie van daders van inbreuken online en offline, is de geplande bewaringsmaatregel evenredig.</w:t>
            </w:r>
          </w:p>
        </w:tc>
      </w:tr>
      <w:tr w:rsidR="00BD3F76" w:rsidRPr="002F7AA5" w14:paraId="276023BC" w14:textId="77777777" w:rsidTr="00705040">
        <w:tc>
          <w:tcPr>
            <w:tcW w:w="4508" w:type="dxa"/>
          </w:tcPr>
          <w:p w14:paraId="5DC95D5E" w14:textId="77777777" w:rsidR="00BD3F76" w:rsidRPr="004E0728" w:rsidRDefault="00BD3F76" w:rsidP="004E0728">
            <w:pPr>
              <w:jc w:val="both"/>
              <w:rPr>
                <w:rFonts w:asciiTheme="minorHAnsi" w:hAnsiTheme="minorHAnsi" w:cstheme="minorHAnsi"/>
                <w:sz w:val="22"/>
              </w:rPr>
            </w:pPr>
          </w:p>
        </w:tc>
        <w:tc>
          <w:tcPr>
            <w:tcW w:w="4508" w:type="dxa"/>
          </w:tcPr>
          <w:p w14:paraId="110FD4B7" w14:textId="77777777" w:rsidR="00BD3F76" w:rsidRPr="004E0728" w:rsidRDefault="00BD3F76" w:rsidP="004E0728">
            <w:pPr>
              <w:jc w:val="both"/>
              <w:rPr>
                <w:rFonts w:asciiTheme="minorHAnsi" w:hAnsiTheme="minorHAnsi" w:cstheme="minorHAnsi"/>
                <w:sz w:val="22"/>
              </w:rPr>
            </w:pPr>
          </w:p>
        </w:tc>
      </w:tr>
      <w:tr w:rsidR="00BD3F76" w:rsidRPr="002F7AA5" w14:paraId="3818621A" w14:textId="77777777" w:rsidTr="00705040">
        <w:tc>
          <w:tcPr>
            <w:tcW w:w="4508" w:type="dxa"/>
          </w:tcPr>
          <w:p w14:paraId="198A9347" w14:textId="77777777" w:rsidR="00BD3F76" w:rsidRPr="004E0728" w:rsidRDefault="00BD3F76" w:rsidP="004E0728">
            <w:pPr>
              <w:jc w:val="both"/>
              <w:rPr>
                <w:rFonts w:asciiTheme="minorHAnsi" w:hAnsiTheme="minorHAnsi" w:cstheme="minorHAnsi"/>
                <w:sz w:val="22"/>
                <w:lang w:val="fr-FR"/>
              </w:rPr>
            </w:pPr>
            <w:r w:rsidRPr="004E0728">
              <w:rPr>
                <w:rFonts w:asciiTheme="minorHAnsi" w:hAnsiTheme="minorHAnsi" w:cstheme="minorHAnsi"/>
                <w:sz w:val="22"/>
                <w:lang w:val="fr-FR"/>
              </w:rPr>
              <w:t>Dans son avis sur le projet de loi « conservation des données », l’Autorité de protection des données indique ce qui suit :</w:t>
            </w:r>
          </w:p>
          <w:p w14:paraId="4C2F66C7" w14:textId="77777777" w:rsidR="00BD3F76" w:rsidRPr="00EB6D2B" w:rsidRDefault="00BD3F76" w:rsidP="004E0728">
            <w:pPr>
              <w:jc w:val="both"/>
              <w:rPr>
                <w:rFonts w:asciiTheme="minorHAnsi" w:hAnsiTheme="minorHAnsi" w:cstheme="minorHAnsi"/>
                <w:sz w:val="22"/>
                <w:lang w:val="fr-BE"/>
              </w:rPr>
            </w:pPr>
          </w:p>
        </w:tc>
        <w:tc>
          <w:tcPr>
            <w:tcW w:w="4508" w:type="dxa"/>
          </w:tcPr>
          <w:p w14:paraId="5186B69C" w14:textId="52ABA702"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z w:val="22"/>
              </w:rPr>
              <w:t>In haar advies</w:t>
            </w:r>
            <w:r w:rsidR="0005635B">
              <w:rPr>
                <w:rFonts w:asciiTheme="minorHAnsi" w:hAnsiTheme="minorHAnsi" w:cstheme="minorHAnsi"/>
                <w:sz w:val="22"/>
              </w:rPr>
              <w:t xml:space="preserve"> </w:t>
            </w:r>
            <w:r w:rsidRPr="004E0728">
              <w:rPr>
                <w:rFonts w:asciiTheme="minorHAnsi" w:hAnsiTheme="minorHAnsi" w:cstheme="minorHAnsi"/>
                <w:sz w:val="22"/>
              </w:rPr>
              <w:t>over het voorontwerp van wet “gegevensbewaring” geeft de Gegevensbeschermingsautoriteit het volgende aan:</w:t>
            </w:r>
          </w:p>
        </w:tc>
      </w:tr>
      <w:tr w:rsidR="00BD3F76" w:rsidRPr="002F7AA5" w14:paraId="31EE681D" w14:textId="77777777" w:rsidTr="00705040">
        <w:tc>
          <w:tcPr>
            <w:tcW w:w="4508" w:type="dxa"/>
          </w:tcPr>
          <w:p w14:paraId="1A785AB6" w14:textId="77777777" w:rsidR="00BD3F76" w:rsidRPr="002F7AA5" w:rsidRDefault="00BD3F76" w:rsidP="00BD3F76">
            <w:pPr>
              <w:rPr>
                <w:rFonts w:asciiTheme="minorHAnsi" w:hAnsiTheme="minorHAnsi" w:cstheme="minorHAnsi"/>
                <w:sz w:val="22"/>
              </w:rPr>
            </w:pPr>
          </w:p>
        </w:tc>
        <w:tc>
          <w:tcPr>
            <w:tcW w:w="4508" w:type="dxa"/>
          </w:tcPr>
          <w:p w14:paraId="163CB4BD" w14:textId="77777777" w:rsidR="00BD3F76" w:rsidRPr="002F7AA5" w:rsidRDefault="00BD3F76" w:rsidP="00BD3F76">
            <w:pPr>
              <w:rPr>
                <w:rFonts w:asciiTheme="minorHAnsi" w:hAnsiTheme="minorHAnsi" w:cstheme="minorHAnsi"/>
                <w:sz w:val="22"/>
              </w:rPr>
            </w:pPr>
          </w:p>
        </w:tc>
      </w:tr>
      <w:tr w:rsidR="00BD3F76" w:rsidRPr="002F7AA5" w14:paraId="588D30CF" w14:textId="77777777" w:rsidTr="00705040">
        <w:tc>
          <w:tcPr>
            <w:tcW w:w="4508" w:type="dxa"/>
          </w:tcPr>
          <w:p w14:paraId="221CF5E1" w14:textId="2B0434CB" w:rsidR="00BD3F76" w:rsidRPr="00EB6D2B" w:rsidRDefault="00BD3F76" w:rsidP="004E0728">
            <w:pPr>
              <w:jc w:val="both"/>
              <w:rPr>
                <w:rFonts w:asciiTheme="minorHAnsi" w:hAnsiTheme="minorHAnsi" w:cstheme="minorHAnsi"/>
                <w:i/>
                <w:iCs/>
                <w:sz w:val="22"/>
                <w:lang w:val="fr-BE"/>
              </w:rPr>
            </w:pPr>
            <w:r w:rsidRPr="004E0728">
              <w:rPr>
                <w:rFonts w:asciiTheme="minorHAnsi" w:hAnsiTheme="minorHAnsi" w:cstheme="minorHAnsi"/>
                <w:i/>
                <w:iCs/>
                <w:sz w:val="22"/>
                <w:lang w:val="fr-FR"/>
              </w:rPr>
              <w:t xml:space="preserve">« 102. L’avant-projet de loi – et le projet d’arrêté qui l’exécute – prévoient également la conservation des numéros d'identification des terminaux des utilisateurs finaux. Sauf erreur, l’exigence de </w:t>
            </w:r>
            <w:r w:rsidRPr="004E0728">
              <w:rPr>
                <w:rFonts w:asciiTheme="minorHAnsi" w:hAnsiTheme="minorHAnsi" w:cstheme="minorHAnsi"/>
                <w:i/>
                <w:iCs/>
                <w:spacing w:val="-1"/>
                <w:sz w:val="22"/>
                <w:lang w:val="fr-FR"/>
              </w:rPr>
              <w:t xml:space="preserve">conservation de cette donnée est nouvelle. Les numéros d’identification des terminaux des utilisateurs </w:t>
            </w:r>
            <w:r w:rsidRPr="004E0728">
              <w:rPr>
                <w:rFonts w:asciiTheme="minorHAnsi" w:hAnsiTheme="minorHAnsi" w:cstheme="minorHAnsi"/>
                <w:i/>
                <w:iCs/>
                <w:sz w:val="22"/>
                <w:lang w:val="fr-FR"/>
              </w:rPr>
              <w:t xml:space="preserve">finaux constituent un identifiant unique des équipements terminaux qui permettent de « tracer » un terminal à travers l’ensemble des services de communications électroniques qu’il utilise. La conservation préventive et systématique de ces numéros constitue dès lors une ingérence importante dans les droits au respect de la vie privée et à la protection des données à caractère personnel. Leur conservation doit dès lors être soumise au strict respect des conditions de nécessité et de proportionnalité au regard des objectifs poursuivis. À cet égard, la jurisprudence de la Cour de Luxembourg concernant la conservation généralisée des adresses IP </w:t>
            </w:r>
            <w:r w:rsidRPr="004E0728">
              <w:rPr>
                <w:rFonts w:asciiTheme="minorHAnsi" w:hAnsiTheme="minorHAnsi" w:cstheme="minorHAnsi"/>
                <w:i/>
                <w:iCs/>
                <w:spacing w:val="-2"/>
                <w:sz w:val="22"/>
                <w:lang w:val="fr-FR"/>
              </w:rPr>
              <w:t xml:space="preserve">peut être utilement mobilisée pour déterminer les conditions que doit rencontrer une mesure législative </w:t>
            </w:r>
            <w:r w:rsidRPr="004E0728">
              <w:rPr>
                <w:rFonts w:asciiTheme="minorHAnsi" w:hAnsiTheme="minorHAnsi" w:cstheme="minorHAnsi"/>
                <w:i/>
                <w:iCs/>
                <w:sz w:val="22"/>
                <w:lang w:val="fr-FR"/>
              </w:rPr>
              <w:t xml:space="preserve">qui impose la conservation de telles données d’identification unique des équipements terminaux des </w:t>
            </w:r>
            <w:r w:rsidRPr="004E0728">
              <w:rPr>
                <w:rFonts w:asciiTheme="minorHAnsi" w:hAnsiTheme="minorHAnsi" w:cstheme="minorHAnsi"/>
                <w:i/>
                <w:iCs/>
                <w:spacing w:val="-1"/>
                <w:sz w:val="22"/>
                <w:lang w:val="fr-FR"/>
              </w:rPr>
              <w:t xml:space="preserve">abonnés. Le délégué du Ministre, dans une réponse à une demande d’informations complémentaires, </w:t>
            </w:r>
            <w:r w:rsidRPr="004E0728">
              <w:rPr>
                <w:rFonts w:asciiTheme="minorHAnsi" w:hAnsiTheme="minorHAnsi" w:cstheme="minorHAnsi"/>
                <w:i/>
                <w:iCs/>
                <w:sz w:val="22"/>
                <w:lang w:val="fr-FR"/>
              </w:rPr>
              <w:t xml:space="preserve">souligne d’ailleurs, lui aussi, que le raisonnement suivi par la CJUE à propos des adresses IP « peut être suivi quant aux autres données techniques nécessaires pour identifier l’utilisateur final, </w:t>
            </w:r>
            <w:r w:rsidRPr="004E0728">
              <w:rPr>
                <w:rFonts w:asciiTheme="minorHAnsi" w:hAnsiTheme="minorHAnsi" w:cstheme="minorHAnsi"/>
                <w:i/>
                <w:iCs/>
                <w:spacing w:val="-1"/>
                <w:sz w:val="22"/>
                <w:lang w:val="fr-FR"/>
              </w:rPr>
              <w:t xml:space="preserve">l’équipement terminal, le service de communication électroniques employé ». Ainsi, la conservation </w:t>
            </w:r>
            <w:r w:rsidRPr="004E0728">
              <w:rPr>
                <w:rFonts w:asciiTheme="minorHAnsi" w:hAnsiTheme="minorHAnsi" w:cstheme="minorHAnsi"/>
                <w:i/>
                <w:iCs/>
                <w:sz w:val="22"/>
                <w:lang w:val="fr-FR"/>
              </w:rPr>
              <w:t xml:space="preserve">de ces données ne devrait être imposée  qu’afin de poursuivre un objectif présentant une importance particulière (comme la lutte contre la criminalité grave), la durée de leur conservation devrait être strictement limitée au regard de cet objectif et il faudrait </w:t>
            </w:r>
            <w:r w:rsidRPr="004E0728">
              <w:rPr>
                <w:rFonts w:asciiTheme="minorHAnsi" w:hAnsiTheme="minorHAnsi" w:cstheme="minorHAnsi"/>
                <w:i/>
                <w:iCs/>
                <w:sz w:val="22"/>
                <w:lang w:val="fr-FR"/>
              </w:rPr>
              <w:lastRenderedPageBreak/>
              <w:t>prévoir des conditions et des garanties strictes quant à l’exploitation de ces données</w:t>
            </w:r>
            <w:r w:rsidRPr="004E0728">
              <w:rPr>
                <w:rFonts w:asciiTheme="minorHAnsi" w:hAnsiTheme="minorHAnsi" w:cstheme="minorHAnsi"/>
                <w:i/>
                <w:iCs/>
                <w:sz w:val="22"/>
                <w:vertAlign w:val="superscript"/>
                <w:lang w:val="fr-FR"/>
              </w:rPr>
              <w:t>102</w:t>
            </w:r>
            <w:r w:rsidRPr="004E0728">
              <w:rPr>
                <w:rFonts w:asciiTheme="minorHAnsi" w:hAnsiTheme="minorHAnsi" w:cstheme="minorHAnsi"/>
                <w:i/>
                <w:iCs/>
                <w:sz w:val="22"/>
                <w:lang w:val="fr-FR"/>
              </w:rPr>
              <w:t>. L’avant-projet de loi et le projet d’arrêté, qui ne rencontrent pas ces exigences, devront donc être adaptés afin d’y répondre. »</w:t>
            </w:r>
          </w:p>
        </w:tc>
        <w:tc>
          <w:tcPr>
            <w:tcW w:w="4508" w:type="dxa"/>
          </w:tcPr>
          <w:p w14:paraId="4C118E4E" w14:textId="57E201DE"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z w:val="22"/>
              </w:rPr>
              <w:lastRenderedPageBreak/>
              <w:t>“</w:t>
            </w:r>
            <w:r w:rsidRPr="004E0728">
              <w:rPr>
                <w:rFonts w:asciiTheme="minorHAnsi" w:hAnsiTheme="minorHAnsi" w:cstheme="minorHAnsi"/>
                <w:i/>
                <w:sz w:val="22"/>
              </w:rPr>
              <w:t xml:space="preserve">102. Het voorontwerp van wet – en het ontwerpbesluit tot uitvoering ervan – voorziet ook in de bewaring van de identificatienummers van de eindapparaten van de eindgebruikers. Behoudens vergissing werd de bewaring van dit gegeven nog niet eerder geëist. De identificatienummers van de eindapparaten van de eindgebruikers zijn een unieke identificatie van de eindapparaten waarmee een apparaat kan worden 'getraceerd' via alle elektronische communicatiediensten die het gebruikt. De preventieve en systematische bewaring van deze nummers vormt dus een ernstige inmenging in de </w:t>
            </w:r>
            <w:proofErr w:type="spellStart"/>
            <w:r w:rsidRPr="004E0728">
              <w:rPr>
                <w:rFonts w:asciiTheme="minorHAnsi" w:hAnsiTheme="minorHAnsi" w:cstheme="minorHAnsi"/>
                <w:i/>
                <w:sz w:val="22"/>
              </w:rPr>
              <w:t>privacyrechten</w:t>
            </w:r>
            <w:proofErr w:type="spellEnd"/>
            <w:r w:rsidRPr="004E0728">
              <w:rPr>
                <w:rFonts w:asciiTheme="minorHAnsi" w:hAnsiTheme="minorHAnsi" w:cstheme="minorHAnsi"/>
                <w:i/>
                <w:sz w:val="22"/>
              </w:rPr>
              <w:t xml:space="preserve"> en in het recht op bescherming van de persoonsgegevens. Daarom moet de bewaring ervan strikt noodzakelijk en strikt evenredig zijn met de beoogde doelen.  In dit opzicht kan de rechtspraak van het Hof van Luxemburg aangaande de algemene bewaring van de IP-adressen worden aangewend om te bepalen aan welke voorwaarden een wetgevende maatregel die verplicht tot de bewaring van die unieke identificatiegegevens van de eindapparaten van de abonnees moet voldoen. In een antwoord op een verzoek om verdere inlichtingen, benadrukt ook de afgevaardigde van de minister dat de redenering van het </w:t>
            </w:r>
            <w:proofErr w:type="spellStart"/>
            <w:r w:rsidRPr="004E0728">
              <w:rPr>
                <w:rFonts w:asciiTheme="minorHAnsi" w:hAnsiTheme="minorHAnsi" w:cstheme="minorHAnsi"/>
                <w:i/>
                <w:sz w:val="22"/>
              </w:rPr>
              <w:t>HvJ</w:t>
            </w:r>
            <w:proofErr w:type="spellEnd"/>
            <w:r w:rsidRPr="004E0728">
              <w:rPr>
                <w:rFonts w:asciiTheme="minorHAnsi" w:hAnsiTheme="minorHAnsi" w:cstheme="minorHAnsi"/>
                <w:i/>
                <w:sz w:val="22"/>
              </w:rPr>
              <w:t>-EU aangaande de IP-adressen "ook kan worden gevolgd voor andere technische gegevens die nodig zijn om de eindgebruiker, het eindapparaat en de gebruikte elektronische communicatiedienst te identificeren". De bewaring van die gegevens zou dus enkel mogen worden opgelegd om een doel na te streven van bijzonder belang (zoals de bestrijding van zware criminaliteit), de bewaartermijn zou niet langer mogen zijn dan strikt noodzakelijk is gelet op dat doel en er zou moeten worden voorzien in strikte voorwaarden en waarborgen met betrekking tot het gebruik van die gegevens</w:t>
            </w:r>
            <w:r w:rsidRPr="004E0728">
              <w:rPr>
                <w:rFonts w:asciiTheme="minorHAnsi" w:hAnsiTheme="minorHAnsi" w:cstheme="minorHAnsi"/>
                <w:i/>
                <w:sz w:val="22"/>
                <w:vertAlign w:val="superscript"/>
              </w:rPr>
              <w:t>102</w:t>
            </w:r>
            <w:r w:rsidRPr="004E0728">
              <w:rPr>
                <w:rFonts w:asciiTheme="minorHAnsi" w:hAnsiTheme="minorHAnsi" w:cstheme="minorHAnsi"/>
                <w:i/>
                <w:sz w:val="22"/>
              </w:rPr>
              <w:t xml:space="preserve">. Aangezien het </w:t>
            </w:r>
            <w:r w:rsidRPr="004E0728">
              <w:rPr>
                <w:rFonts w:asciiTheme="minorHAnsi" w:hAnsiTheme="minorHAnsi" w:cstheme="minorHAnsi"/>
                <w:i/>
                <w:sz w:val="22"/>
              </w:rPr>
              <w:lastRenderedPageBreak/>
              <w:t>voorontwerp van wet en het ontwerpbesluit niet aan die eisen voldoen, moeten ze worden aangepast.</w:t>
            </w:r>
            <w:r w:rsidRPr="004E0728">
              <w:rPr>
                <w:rFonts w:asciiTheme="minorHAnsi" w:hAnsiTheme="minorHAnsi" w:cstheme="minorHAnsi"/>
                <w:sz w:val="22"/>
              </w:rPr>
              <w:t>”</w:t>
            </w:r>
          </w:p>
        </w:tc>
      </w:tr>
      <w:tr w:rsidR="00BD3F76" w:rsidRPr="002F7AA5" w14:paraId="4F56917E" w14:textId="77777777" w:rsidTr="00705040">
        <w:tc>
          <w:tcPr>
            <w:tcW w:w="4508" w:type="dxa"/>
          </w:tcPr>
          <w:p w14:paraId="3B96534F" w14:textId="77777777" w:rsidR="00BD3F76" w:rsidRPr="002F7AA5" w:rsidRDefault="00BD3F76" w:rsidP="00BD3F76">
            <w:pPr>
              <w:rPr>
                <w:rFonts w:asciiTheme="minorHAnsi" w:hAnsiTheme="minorHAnsi" w:cstheme="minorHAnsi"/>
                <w:sz w:val="22"/>
              </w:rPr>
            </w:pPr>
          </w:p>
        </w:tc>
        <w:tc>
          <w:tcPr>
            <w:tcW w:w="4508" w:type="dxa"/>
          </w:tcPr>
          <w:p w14:paraId="1106DCF0" w14:textId="77777777" w:rsidR="00BD3F76" w:rsidRPr="002F7AA5" w:rsidRDefault="00BD3F76" w:rsidP="00BD3F76">
            <w:pPr>
              <w:rPr>
                <w:rFonts w:asciiTheme="minorHAnsi" w:hAnsiTheme="minorHAnsi" w:cstheme="minorHAnsi"/>
                <w:sz w:val="22"/>
              </w:rPr>
            </w:pPr>
          </w:p>
        </w:tc>
      </w:tr>
      <w:tr w:rsidR="00BD3F76" w:rsidRPr="002F7AA5" w14:paraId="4B1F5EEE" w14:textId="77777777" w:rsidTr="00705040">
        <w:tc>
          <w:tcPr>
            <w:tcW w:w="4508" w:type="dxa"/>
          </w:tcPr>
          <w:p w14:paraId="4718725A" w14:textId="65F22EF7" w:rsidR="00BD3F76" w:rsidRPr="00EB6D2B" w:rsidRDefault="00BD3F76" w:rsidP="004E0728">
            <w:pPr>
              <w:jc w:val="both"/>
              <w:rPr>
                <w:rFonts w:asciiTheme="minorHAnsi" w:hAnsiTheme="minorHAnsi" w:cstheme="minorHAnsi"/>
                <w:sz w:val="22"/>
                <w:lang w:val="fr-BE"/>
              </w:rPr>
            </w:pPr>
            <w:r w:rsidRPr="004E0728">
              <w:rPr>
                <w:rFonts w:asciiTheme="minorHAnsi" w:hAnsiTheme="minorHAnsi" w:cstheme="minorHAnsi"/>
                <w:sz w:val="22"/>
                <w:lang w:val="fr-FR"/>
              </w:rPr>
              <w:t xml:space="preserve">Tout d’abord, contrairement à ce que l’Autorité de protection des données indique, l’exigence de </w:t>
            </w:r>
            <w:r w:rsidRPr="004E0728">
              <w:rPr>
                <w:rFonts w:asciiTheme="minorHAnsi" w:hAnsiTheme="minorHAnsi" w:cstheme="minorHAnsi"/>
                <w:spacing w:val="-1"/>
                <w:sz w:val="22"/>
                <w:lang w:val="fr-FR"/>
              </w:rPr>
              <w:t xml:space="preserve">conservation des </w:t>
            </w:r>
            <w:r w:rsidRPr="004E0728">
              <w:rPr>
                <w:rFonts w:asciiTheme="minorHAnsi" w:hAnsiTheme="minorHAnsi" w:cstheme="minorHAnsi"/>
                <w:sz w:val="22"/>
                <w:lang w:val="fr-FR"/>
              </w:rPr>
              <w:t xml:space="preserve">numéros d'identification des terminaux des utilisateurs finaux n’est pas nouvelle mais résulte déjà de l’arrêté royal du </w:t>
            </w:r>
            <w:r w:rsidRPr="004E0728">
              <w:rPr>
                <w:rFonts w:asciiTheme="minorHAnsi" w:hAnsiTheme="minorHAnsi" w:cstheme="minorHAnsi"/>
                <w:sz w:val="22"/>
                <w:lang w:val="fr-BE"/>
              </w:rPr>
              <w:t>19 septembre 2013 portant exécution de l'article 126 de la loi du 13 juin 2005 relative aux communications électroniques (en particulier la conservation de l’IMEI).</w:t>
            </w:r>
          </w:p>
        </w:tc>
        <w:tc>
          <w:tcPr>
            <w:tcW w:w="4508" w:type="dxa"/>
          </w:tcPr>
          <w:p w14:paraId="0FE7CFE6" w14:textId="17009C44"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z w:val="22"/>
              </w:rPr>
              <w:t>Allereerst is, in tegenstelling tot wat de Gegevensbeschermingsautoriteit aangeeft, de eis tot bewaring van de identificatienummers van de eindapparaten van de eindgebruikers niet nieuw, maar vloeit die reeds voort uit het koninklijk besluit van 19 september 2013 tot uitvoering van artikel 126 van de wet van 13 juni 2005 betreffende de elektronische communicatie (in het bijzonder de bewaring van de IMEI).</w:t>
            </w:r>
          </w:p>
        </w:tc>
      </w:tr>
      <w:tr w:rsidR="00BD3F76" w:rsidRPr="002F7AA5" w14:paraId="576C1430" w14:textId="77777777" w:rsidTr="00705040">
        <w:tc>
          <w:tcPr>
            <w:tcW w:w="4508" w:type="dxa"/>
          </w:tcPr>
          <w:p w14:paraId="0D89A908" w14:textId="77777777" w:rsidR="00BD3F76" w:rsidRPr="004E0728" w:rsidRDefault="00BD3F76" w:rsidP="004E0728">
            <w:pPr>
              <w:jc w:val="both"/>
              <w:rPr>
                <w:rFonts w:asciiTheme="minorHAnsi" w:hAnsiTheme="minorHAnsi" w:cstheme="minorHAnsi"/>
                <w:sz w:val="22"/>
              </w:rPr>
            </w:pPr>
          </w:p>
        </w:tc>
        <w:tc>
          <w:tcPr>
            <w:tcW w:w="4508" w:type="dxa"/>
          </w:tcPr>
          <w:p w14:paraId="75263FD7" w14:textId="77777777" w:rsidR="00BD3F76" w:rsidRPr="004E0728" w:rsidRDefault="00BD3F76" w:rsidP="004E0728">
            <w:pPr>
              <w:jc w:val="both"/>
              <w:rPr>
                <w:rFonts w:asciiTheme="minorHAnsi" w:hAnsiTheme="minorHAnsi" w:cstheme="minorHAnsi"/>
                <w:sz w:val="22"/>
              </w:rPr>
            </w:pPr>
          </w:p>
        </w:tc>
      </w:tr>
      <w:tr w:rsidR="00BD3F76" w:rsidRPr="002F7AA5" w14:paraId="7D6AB8E0" w14:textId="77777777" w:rsidTr="00705040">
        <w:tc>
          <w:tcPr>
            <w:tcW w:w="4508" w:type="dxa"/>
          </w:tcPr>
          <w:p w14:paraId="684F63A8" w14:textId="0763BA1E" w:rsidR="00BD3F76" w:rsidRPr="00EB6D2B" w:rsidRDefault="00BD3F76" w:rsidP="004E0728">
            <w:pPr>
              <w:jc w:val="both"/>
              <w:rPr>
                <w:rFonts w:asciiTheme="minorHAnsi" w:hAnsiTheme="minorHAnsi" w:cstheme="minorHAnsi"/>
                <w:sz w:val="22"/>
                <w:lang w:val="fr-BE"/>
              </w:rPr>
            </w:pPr>
            <w:r w:rsidRPr="004E0728">
              <w:rPr>
                <w:rFonts w:asciiTheme="minorHAnsi" w:hAnsiTheme="minorHAnsi" w:cstheme="minorHAnsi"/>
                <w:sz w:val="22"/>
                <w:lang w:val="fr-BE"/>
              </w:rPr>
              <w:t xml:space="preserve">Ensuite, contrairement à ce que cette Autorité indique dans son avis, une telle donnée à elle seule ne permet pas de </w:t>
            </w:r>
            <w:r w:rsidRPr="004E0728">
              <w:rPr>
                <w:rFonts w:asciiTheme="minorHAnsi" w:hAnsiTheme="minorHAnsi" w:cstheme="minorHAnsi"/>
                <w:sz w:val="22"/>
                <w:lang w:val="fr-FR"/>
              </w:rPr>
              <w:t xml:space="preserve">« tracer » un terminal à travers l’ensemble des services de </w:t>
            </w:r>
            <w:r w:rsidRPr="004E0728">
              <w:rPr>
                <w:rFonts w:asciiTheme="minorHAnsi" w:hAnsiTheme="minorHAnsi" w:cstheme="minorHAnsi"/>
                <w:spacing w:val="-3"/>
                <w:sz w:val="22"/>
                <w:lang w:val="fr-FR"/>
              </w:rPr>
              <w:t xml:space="preserve">communications électroniques qu’il utilise. </w:t>
            </w:r>
          </w:p>
        </w:tc>
        <w:tc>
          <w:tcPr>
            <w:tcW w:w="4508" w:type="dxa"/>
          </w:tcPr>
          <w:p w14:paraId="48AF054A" w14:textId="17E7BC6F"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z w:val="22"/>
              </w:rPr>
              <w:t xml:space="preserve">Vervolgens, in tegenstelling tot wat de Gegevensbeschermingsautoriteit in haar advies aangeeft, maakt een dergelijk gegeven op zich het niet mogelijk om een eindapparaat te “traceren” door alle elektronische-communicatiediensten die het gebruikt heen. </w:t>
            </w:r>
          </w:p>
        </w:tc>
      </w:tr>
      <w:tr w:rsidR="00BD3F76" w:rsidRPr="002F7AA5" w14:paraId="02E9944B" w14:textId="77777777" w:rsidTr="00705040">
        <w:tc>
          <w:tcPr>
            <w:tcW w:w="4508" w:type="dxa"/>
          </w:tcPr>
          <w:p w14:paraId="02437725" w14:textId="77777777" w:rsidR="00BD3F76" w:rsidRPr="004E0728" w:rsidRDefault="00BD3F76" w:rsidP="004E0728">
            <w:pPr>
              <w:jc w:val="both"/>
              <w:rPr>
                <w:rFonts w:asciiTheme="minorHAnsi" w:hAnsiTheme="minorHAnsi" w:cstheme="minorHAnsi"/>
                <w:sz w:val="22"/>
              </w:rPr>
            </w:pPr>
          </w:p>
        </w:tc>
        <w:tc>
          <w:tcPr>
            <w:tcW w:w="4508" w:type="dxa"/>
          </w:tcPr>
          <w:p w14:paraId="713E6D07" w14:textId="77777777" w:rsidR="00BD3F76" w:rsidRPr="004E0728" w:rsidRDefault="00BD3F76" w:rsidP="004E0728">
            <w:pPr>
              <w:jc w:val="both"/>
              <w:rPr>
                <w:rFonts w:asciiTheme="minorHAnsi" w:hAnsiTheme="minorHAnsi" w:cstheme="minorHAnsi"/>
                <w:sz w:val="22"/>
              </w:rPr>
            </w:pPr>
          </w:p>
        </w:tc>
      </w:tr>
      <w:tr w:rsidR="00BD3F76" w:rsidRPr="002F7AA5" w14:paraId="2AEA2E6A" w14:textId="77777777" w:rsidTr="00705040">
        <w:tc>
          <w:tcPr>
            <w:tcW w:w="4508" w:type="dxa"/>
          </w:tcPr>
          <w:p w14:paraId="55EAB745" w14:textId="6443B5C2" w:rsidR="00BD3F76" w:rsidRPr="004E0728" w:rsidRDefault="00BD3F76" w:rsidP="004E0728">
            <w:pPr>
              <w:jc w:val="both"/>
              <w:rPr>
                <w:rFonts w:asciiTheme="minorHAnsi" w:hAnsiTheme="minorHAnsi" w:cstheme="minorHAnsi"/>
                <w:sz w:val="22"/>
                <w:lang w:val="fr-FR"/>
              </w:rPr>
            </w:pPr>
            <w:r w:rsidRPr="004E0728">
              <w:rPr>
                <w:rFonts w:asciiTheme="minorHAnsi" w:hAnsiTheme="minorHAnsi" w:cstheme="minorHAnsi"/>
                <w:sz w:val="22"/>
                <w:lang w:val="fr-FR"/>
              </w:rPr>
              <w:t xml:space="preserve">L’Autorité de protection des données fait la comparaison avec l’adresse IP à la source de la communication. Dans son arrêt La Quadrature du Net, la CJUE a indiqué ce qui suit par rapport à cette adresse IP : </w:t>
            </w:r>
          </w:p>
        </w:tc>
        <w:tc>
          <w:tcPr>
            <w:tcW w:w="4508" w:type="dxa"/>
          </w:tcPr>
          <w:p w14:paraId="2885AA7C" w14:textId="14A0C419"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z w:val="22"/>
              </w:rPr>
              <w:t xml:space="preserve">De Gegevensbeschermingsautoriteit maakt de vergelijking met het IP-adres dat aan de bron ligt van de communicatie. In zijn arrest heeft het </w:t>
            </w:r>
            <w:proofErr w:type="spellStart"/>
            <w:r w:rsidRPr="004E0728">
              <w:rPr>
                <w:rFonts w:asciiTheme="minorHAnsi" w:hAnsiTheme="minorHAnsi" w:cstheme="minorHAnsi"/>
                <w:sz w:val="22"/>
              </w:rPr>
              <w:t>HvJ</w:t>
            </w:r>
            <w:proofErr w:type="spellEnd"/>
            <w:r w:rsidRPr="004E0728">
              <w:rPr>
                <w:rFonts w:asciiTheme="minorHAnsi" w:hAnsiTheme="minorHAnsi" w:cstheme="minorHAnsi"/>
                <w:sz w:val="22"/>
              </w:rPr>
              <w:t xml:space="preserve">-EU het volgende aangegeven over dat IP-adres: </w:t>
            </w:r>
          </w:p>
        </w:tc>
      </w:tr>
      <w:tr w:rsidR="00BD3F76" w:rsidRPr="002F7AA5" w14:paraId="25343158" w14:textId="77777777" w:rsidTr="00705040">
        <w:tc>
          <w:tcPr>
            <w:tcW w:w="4508" w:type="dxa"/>
          </w:tcPr>
          <w:p w14:paraId="75036A67" w14:textId="77777777" w:rsidR="00BD3F76" w:rsidRPr="002F7AA5" w:rsidRDefault="00BD3F76" w:rsidP="00BD3F76">
            <w:pPr>
              <w:rPr>
                <w:rFonts w:asciiTheme="minorHAnsi" w:hAnsiTheme="minorHAnsi" w:cstheme="minorHAnsi"/>
                <w:sz w:val="22"/>
              </w:rPr>
            </w:pPr>
          </w:p>
        </w:tc>
        <w:tc>
          <w:tcPr>
            <w:tcW w:w="4508" w:type="dxa"/>
          </w:tcPr>
          <w:p w14:paraId="1F15DFB7" w14:textId="77777777" w:rsidR="00BD3F76" w:rsidRPr="002F7AA5" w:rsidRDefault="00BD3F76" w:rsidP="00BD3F76">
            <w:pPr>
              <w:rPr>
                <w:rFonts w:asciiTheme="minorHAnsi" w:hAnsiTheme="minorHAnsi" w:cstheme="minorHAnsi"/>
                <w:sz w:val="22"/>
              </w:rPr>
            </w:pPr>
          </w:p>
        </w:tc>
      </w:tr>
      <w:tr w:rsidR="00BD3F76" w:rsidRPr="002F7AA5" w14:paraId="10AC7952" w14:textId="77777777" w:rsidTr="00705040">
        <w:tc>
          <w:tcPr>
            <w:tcW w:w="4508" w:type="dxa"/>
          </w:tcPr>
          <w:p w14:paraId="5E55C9D8" w14:textId="3B2AA250" w:rsidR="00BD3F76" w:rsidRPr="004E0728" w:rsidRDefault="00BD3F76" w:rsidP="004E0728">
            <w:pPr>
              <w:jc w:val="both"/>
              <w:rPr>
                <w:rFonts w:asciiTheme="minorHAnsi" w:eastAsia="Times New Roman" w:hAnsiTheme="minorHAnsi" w:cstheme="minorHAnsi"/>
                <w:color w:val="000000"/>
                <w:sz w:val="22"/>
                <w:lang w:val="fr-BE" w:eastAsia="fr-BE"/>
              </w:rPr>
            </w:pPr>
            <w:r w:rsidRPr="004E0728">
              <w:rPr>
                <w:rFonts w:asciiTheme="minorHAnsi" w:eastAsia="Times New Roman" w:hAnsiTheme="minorHAnsi" w:cstheme="minorHAnsi"/>
                <w:color w:val="000000"/>
                <w:sz w:val="22"/>
                <w:lang w:val="fr-BE" w:eastAsia="fr-BE"/>
              </w:rPr>
              <w:t xml:space="preserve">« 152     </w:t>
            </w:r>
            <w:r w:rsidRPr="004E0728">
              <w:rPr>
                <w:rFonts w:asciiTheme="minorHAnsi" w:eastAsia="Times New Roman" w:hAnsiTheme="minorHAnsi" w:cstheme="minorHAnsi"/>
                <w:i/>
                <w:iCs/>
                <w:color w:val="000000"/>
                <w:sz w:val="22"/>
                <w:lang w:val="fr-BE" w:eastAsia="fr-BE"/>
              </w:rPr>
              <w:t>Il y a lieu de relever que les adresses IP, quoique faisant partie des données relatives au trafic, sont générées sans être rattachées à une communication déterminée et servent principalement à identifier, par l’intermédiaire des fournisseurs de services de communications électroniques, la personne physique propriétaire d’un équipement terminal à partir duquel une communication au moyen de l’Internet est effectuée. Ainsi, en matière de courrier électronique ainsi que de téléphonie par Internet, pour autant que seules les adresses IP de la source de la communication sont conservées et non celles du destinataire de celle-ci, ces adresses ne révèlent, en tant que telles, aucune information sur les tierces personnes ayant été en contact avec la personne à l’origine de la communication. Cette catégorie de données présente donc un degré de sensibilité moindre que les autres données relatives au trafic.</w:t>
            </w:r>
          </w:p>
        </w:tc>
        <w:tc>
          <w:tcPr>
            <w:tcW w:w="4508" w:type="dxa"/>
          </w:tcPr>
          <w:p w14:paraId="201FD317" w14:textId="77777777" w:rsidR="00BD3F76" w:rsidRPr="004E0728" w:rsidRDefault="00BD3F76" w:rsidP="004E0728">
            <w:pPr>
              <w:jc w:val="both"/>
              <w:rPr>
                <w:rFonts w:asciiTheme="minorHAnsi" w:eastAsia="Times New Roman" w:hAnsiTheme="minorHAnsi" w:cstheme="minorHAnsi"/>
                <w:color w:val="000000"/>
                <w:sz w:val="22"/>
              </w:rPr>
            </w:pPr>
            <w:r w:rsidRPr="004E0728">
              <w:rPr>
                <w:rFonts w:asciiTheme="minorHAnsi" w:hAnsiTheme="minorHAnsi" w:cstheme="minorHAnsi"/>
                <w:sz w:val="22"/>
              </w:rPr>
              <w:t xml:space="preserve">“ </w:t>
            </w:r>
            <w:r w:rsidRPr="004E0728">
              <w:rPr>
                <w:rFonts w:asciiTheme="minorHAnsi" w:hAnsiTheme="minorHAnsi" w:cstheme="minorHAnsi"/>
                <w:color w:val="000000"/>
                <w:sz w:val="22"/>
              </w:rPr>
              <w:t xml:space="preserve">152 </w:t>
            </w:r>
            <w:r w:rsidRPr="004E0728">
              <w:rPr>
                <w:rFonts w:asciiTheme="minorHAnsi" w:hAnsiTheme="minorHAnsi" w:cstheme="minorHAnsi"/>
                <w:i/>
                <w:color w:val="000000"/>
                <w:sz w:val="22"/>
              </w:rPr>
              <w:t xml:space="preserve">Opgemerkt dient te worden dat IP-adressen weliswaar behoren tot de verkeersgegevens, maar los van een bepaalde communicatie worden gegenereerd en primair dienen om via de aanbieders van </w:t>
            </w:r>
            <w:proofErr w:type="spellStart"/>
            <w:r w:rsidRPr="004E0728">
              <w:rPr>
                <w:rFonts w:asciiTheme="minorHAnsi" w:hAnsiTheme="minorHAnsi" w:cstheme="minorHAnsi"/>
                <w:i/>
                <w:color w:val="000000"/>
                <w:sz w:val="22"/>
              </w:rPr>
              <w:t>elektronischecommunicatiediensten</w:t>
            </w:r>
            <w:proofErr w:type="spellEnd"/>
            <w:r w:rsidRPr="004E0728">
              <w:rPr>
                <w:rFonts w:asciiTheme="minorHAnsi" w:hAnsiTheme="minorHAnsi" w:cstheme="minorHAnsi"/>
                <w:i/>
                <w:color w:val="000000"/>
                <w:sz w:val="22"/>
              </w:rPr>
              <w:t xml:space="preserve"> de natuurlijke persoon te identificeren die eigenaar is van een eindapparaat waarvandaan via het internet wordt gecommuniceerd. Voor zover bij e</w:t>
            </w:r>
            <w:r w:rsidRPr="004E0728">
              <w:rPr>
                <w:rFonts w:ascii="Cambria Math" w:hAnsi="Cambria Math" w:cs="Cambria Math"/>
                <w:i/>
                <w:color w:val="000000"/>
                <w:sz w:val="22"/>
              </w:rPr>
              <w:t>‑</w:t>
            </w:r>
            <w:r w:rsidRPr="004E0728">
              <w:rPr>
                <w:rFonts w:asciiTheme="minorHAnsi" w:hAnsiTheme="minorHAnsi" w:cstheme="minorHAnsi"/>
                <w:i/>
                <w:color w:val="000000"/>
                <w:sz w:val="22"/>
              </w:rPr>
              <w:t>mailverkeer en internettelefonie uitsluitend de IP</w:t>
            </w:r>
            <w:r w:rsidRPr="004E0728">
              <w:rPr>
                <w:rFonts w:ascii="Cambria Math" w:hAnsi="Cambria Math" w:cs="Cambria Math"/>
                <w:i/>
                <w:color w:val="000000"/>
                <w:sz w:val="22"/>
              </w:rPr>
              <w:t>‑</w:t>
            </w:r>
            <w:r w:rsidRPr="004E0728">
              <w:rPr>
                <w:rFonts w:asciiTheme="minorHAnsi" w:hAnsiTheme="minorHAnsi" w:cstheme="minorHAnsi"/>
                <w:i/>
                <w:color w:val="000000"/>
                <w:sz w:val="22"/>
              </w:rPr>
              <w:t>adressen van de bron van de communicatie en niet die van de ontvanger ervan worden bewaard, geven die adressen als zodanig geen enkele informatie prijs over de derden die in contact zijn geweest met de persoon die aan de basis ligt van de communicatie. Deze categorie gegevens is dan ook van mindere gevoelige aard dan de andere verkeersgegevens.</w:t>
            </w:r>
          </w:p>
          <w:p w14:paraId="1C2D4B3F" w14:textId="77777777" w:rsidR="00BD3F76" w:rsidRPr="004E0728" w:rsidRDefault="00BD3F76" w:rsidP="004E0728">
            <w:pPr>
              <w:jc w:val="both"/>
              <w:rPr>
                <w:rFonts w:asciiTheme="minorHAnsi" w:hAnsiTheme="minorHAnsi" w:cstheme="minorHAnsi"/>
                <w:sz w:val="22"/>
              </w:rPr>
            </w:pPr>
          </w:p>
        </w:tc>
      </w:tr>
      <w:tr w:rsidR="00BD3F76" w:rsidRPr="002F7AA5" w14:paraId="5F2A9FD3" w14:textId="77777777" w:rsidTr="00705040">
        <w:tc>
          <w:tcPr>
            <w:tcW w:w="4508" w:type="dxa"/>
          </w:tcPr>
          <w:p w14:paraId="43B6F291" w14:textId="77777777" w:rsidR="00BD3F76" w:rsidRPr="002F7AA5" w:rsidRDefault="00BD3F76" w:rsidP="00BD3F76">
            <w:pPr>
              <w:rPr>
                <w:rFonts w:asciiTheme="minorHAnsi" w:hAnsiTheme="minorHAnsi" w:cstheme="minorHAnsi"/>
                <w:sz w:val="22"/>
              </w:rPr>
            </w:pPr>
          </w:p>
        </w:tc>
        <w:tc>
          <w:tcPr>
            <w:tcW w:w="4508" w:type="dxa"/>
          </w:tcPr>
          <w:p w14:paraId="5C846BDB" w14:textId="77777777" w:rsidR="00BD3F76" w:rsidRPr="002F7AA5" w:rsidRDefault="00BD3F76" w:rsidP="00BD3F76">
            <w:pPr>
              <w:rPr>
                <w:rFonts w:asciiTheme="minorHAnsi" w:hAnsiTheme="minorHAnsi" w:cstheme="minorHAnsi"/>
                <w:sz w:val="22"/>
              </w:rPr>
            </w:pPr>
          </w:p>
        </w:tc>
      </w:tr>
      <w:tr w:rsidR="00BD3F76" w:rsidRPr="002F7AA5" w14:paraId="77753995" w14:textId="77777777" w:rsidTr="00705040">
        <w:tc>
          <w:tcPr>
            <w:tcW w:w="4508" w:type="dxa"/>
          </w:tcPr>
          <w:p w14:paraId="014257BE" w14:textId="7DA47282" w:rsidR="00BD3F76" w:rsidRPr="00EB6D2B" w:rsidRDefault="00BD3F76" w:rsidP="004E0728">
            <w:pPr>
              <w:jc w:val="both"/>
              <w:rPr>
                <w:rFonts w:asciiTheme="minorHAnsi" w:hAnsiTheme="minorHAnsi" w:cstheme="minorHAnsi"/>
                <w:sz w:val="22"/>
                <w:lang w:val="fr-BE"/>
              </w:rPr>
            </w:pPr>
            <w:r w:rsidRPr="004E0728">
              <w:rPr>
                <w:rFonts w:asciiTheme="minorHAnsi" w:hAnsiTheme="minorHAnsi" w:cstheme="minorHAnsi"/>
                <w:sz w:val="22"/>
                <w:lang w:val="fr-FR"/>
              </w:rPr>
              <w:t>153[…] </w:t>
            </w:r>
            <w:r w:rsidRPr="004E0728">
              <w:rPr>
                <w:rFonts w:asciiTheme="minorHAnsi" w:eastAsia="Times New Roman" w:hAnsiTheme="minorHAnsi" w:cstheme="minorHAnsi"/>
                <w:i/>
                <w:iCs/>
                <w:color w:val="000000"/>
                <w:sz w:val="22"/>
                <w:lang w:val="fr-BE" w:eastAsia="fr-BE"/>
              </w:rPr>
              <w:t>les adresses IP pouvant être utilisées pour effectuer notamment le traçage exhaustif du parcours de navigation d’un internaute et, par suite, de son activité en ligne, ces données permettent d’établir le profil détaillé de ce dernier</w:t>
            </w:r>
            <w:r w:rsidRPr="004E0728">
              <w:rPr>
                <w:rFonts w:asciiTheme="minorHAnsi" w:eastAsia="Times New Roman" w:hAnsiTheme="minorHAnsi" w:cstheme="minorHAnsi"/>
                <w:color w:val="000000"/>
                <w:sz w:val="22"/>
                <w:lang w:val="fr-BE" w:eastAsia="fr-BE"/>
              </w:rPr>
              <w:t> ».</w:t>
            </w:r>
          </w:p>
        </w:tc>
        <w:tc>
          <w:tcPr>
            <w:tcW w:w="4508" w:type="dxa"/>
          </w:tcPr>
          <w:p w14:paraId="692CD1B0" w14:textId="1283CF6D"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z w:val="22"/>
              </w:rPr>
              <w:t xml:space="preserve">153[…] </w:t>
            </w:r>
            <w:r w:rsidRPr="004E0728">
              <w:rPr>
                <w:rFonts w:asciiTheme="minorHAnsi" w:hAnsiTheme="minorHAnsi" w:cstheme="minorHAnsi"/>
                <w:i/>
                <w:color w:val="000000"/>
                <w:sz w:val="22"/>
              </w:rPr>
              <w:t>IP</w:t>
            </w:r>
            <w:r w:rsidRPr="004E0728">
              <w:rPr>
                <w:rFonts w:ascii="Cambria Math" w:hAnsi="Cambria Math" w:cs="Cambria Math"/>
                <w:i/>
                <w:color w:val="000000"/>
                <w:sz w:val="22"/>
              </w:rPr>
              <w:t>‑</w:t>
            </w:r>
            <w:r w:rsidRPr="004E0728">
              <w:rPr>
                <w:rFonts w:asciiTheme="minorHAnsi" w:hAnsiTheme="minorHAnsi" w:cstheme="minorHAnsi"/>
                <w:i/>
                <w:color w:val="000000"/>
                <w:sz w:val="22"/>
              </w:rPr>
              <w:t>adressen echter onder meer kunnen worden gebruikt om de volledige zoekgeschiedenis van een internetgebruiker te traceren en dus om een volledig beeld te krijgen van diens online activiteit, kan aan de hand van die gegevens een gedetailleerd profiel van de betrokkene worden opgesteld”.</w:t>
            </w:r>
          </w:p>
        </w:tc>
      </w:tr>
      <w:tr w:rsidR="00BD3F76" w:rsidRPr="002F7AA5" w14:paraId="1FB52165" w14:textId="77777777" w:rsidTr="00705040">
        <w:tc>
          <w:tcPr>
            <w:tcW w:w="4508" w:type="dxa"/>
          </w:tcPr>
          <w:p w14:paraId="672EFCF7" w14:textId="77777777" w:rsidR="00BD3F76" w:rsidRPr="002F7AA5" w:rsidRDefault="00BD3F76" w:rsidP="00BD3F76">
            <w:pPr>
              <w:rPr>
                <w:rFonts w:asciiTheme="minorHAnsi" w:hAnsiTheme="minorHAnsi" w:cstheme="minorHAnsi"/>
                <w:sz w:val="22"/>
              </w:rPr>
            </w:pPr>
          </w:p>
        </w:tc>
        <w:tc>
          <w:tcPr>
            <w:tcW w:w="4508" w:type="dxa"/>
          </w:tcPr>
          <w:p w14:paraId="10AB890B" w14:textId="77777777" w:rsidR="00BD3F76" w:rsidRPr="002F7AA5" w:rsidRDefault="00BD3F76" w:rsidP="00BD3F76">
            <w:pPr>
              <w:rPr>
                <w:rFonts w:asciiTheme="minorHAnsi" w:hAnsiTheme="minorHAnsi" w:cstheme="minorHAnsi"/>
                <w:sz w:val="22"/>
              </w:rPr>
            </w:pPr>
          </w:p>
        </w:tc>
      </w:tr>
      <w:tr w:rsidR="00BD3F76" w:rsidRPr="002F7AA5" w14:paraId="3EE093E0" w14:textId="77777777" w:rsidTr="00705040">
        <w:tc>
          <w:tcPr>
            <w:tcW w:w="4508" w:type="dxa"/>
          </w:tcPr>
          <w:p w14:paraId="02CEF497" w14:textId="69A5CF72" w:rsidR="00BD3F76" w:rsidRPr="00EB6D2B" w:rsidRDefault="00BD3F76" w:rsidP="004E0728">
            <w:pPr>
              <w:jc w:val="both"/>
              <w:rPr>
                <w:rFonts w:asciiTheme="minorHAnsi" w:hAnsiTheme="minorHAnsi" w:cstheme="minorHAnsi"/>
                <w:sz w:val="22"/>
                <w:lang w:val="fr-BE"/>
              </w:rPr>
            </w:pPr>
            <w:r w:rsidRPr="004E0728">
              <w:rPr>
                <w:rFonts w:asciiTheme="minorHAnsi" w:eastAsia="Times New Roman" w:hAnsiTheme="minorHAnsi" w:cstheme="minorHAnsi"/>
                <w:color w:val="000000"/>
                <w:sz w:val="22"/>
                <w:lang w:val="fr-BE" w:eastAsia="fr-BE"/>
              </w:rPr>
              <w:t xml:space="preserve">Cependant, il faut rappeler que les opérateurs ne sont pas autorisés à conserver les adresses IP de destination dans le cadre du service d’accès à internet mais doivent uniquement conserver les adresses IP à la source de la communication. Dans le cadre de l’article 126/1, les opérateurs doivent conserver l’adresse IP de destination d’une communication  téléphonique par internet (il s’agit dans ce cas de l’équivalent du numéro de téléphone appelé).  </w:t>
            </w:r>
          </w:p>
        </w:tc>
        <w:tc>
          <w:tcPr>
            <w:tcW w:w="4508" w:type="dxa"/>
          </w:tcPr>
          <w:p w14:paraId="5889F09D" w14:textId="38751B1E"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color w:val="000000"/>
                <w:sz w:val="22"/>
              </w:rPr>
              <w:t xml:space="preserve">Evenwel moet eraan worden herinnerd dat de operatoren geen IP-adressen van de bestemming mogen bewaren in het kader van de internettoegangsdienst maar enkel de IP-adressen aan de bron van de communicatie moeten bewaren. In het kader van artikel 126/1 moeten de operatoren het IP-adres van bestemming van een telefonische communicatie via het internet bewaren (in dat geval gaat het om het equivalent van het gebelde telefoonnummer).  </w:t>
            </w:r>
          </w:p>
        </w:tc>
      </w:tr>
      <w:tr w:rsidR="00BD3F76" w:rsidRPr="002F7AA5" w14:paraId="2CBC9485" w14:textId="77777777" w:rsidTr="00705040">
        <w:tc>
          <w:tcPr>
            <w:tcW w:w="4508" w:type="dxa"/>
          </w:tcPr>
          <w:p w14:paraId="4895C4E0" w14:textId="77777777" w:rsidR="00BD3F76" w:rsidRPr="004E0728" w:rsidRDefault="00BD3F76" w:rsidP="004E0728">
            <w:pPr>
              <w:jc w:val="both"/>
              <w:rPr>
                <w:rFonts w:asciiTheme="minorHAnsi" w:hAnsiTheme="minorHAnsi" w:cstheme="minorHAnsi"/>
                <w:sz w:val="22"/>
              </w:rPr>
            </w:pPr>
          </w:p>
        </w:tc>
        <w:tc>
          <w:tcPr>
            <w:tcW w:w="4508" w:type="dxa"/>
          </w:tcPr>
          <w:p w14:paraId="34AEB0AC" w14:textId="77777777" w:rsidR="00BD3F76" w:rsidRPr="004E0728" w:rsidRDefault="00BD3F76" w:rsidP="004E0728">
            <w:pPr>
              <w:jc w:val="both"/>
              <w:rPr>
                <w:rFonts w:asciiTheme="minorHAnsi" w:hAnsiTheme="minorHAnsi" w:cstheme="minorHAnsi"/>
                <w:sz w:val="22"/>
              </w:rPr>
            </w:pPr>
          </w:p>
        </w:tc>
      </w:tr>
      <w:tr w:rsidR="00BD3F76" w:rsidRPr="002F7AA5" w14:paraId="17B77094" w14:textId="77777777" w:rsidTr="00705040">
        <w:tc>
          <w:tcPr>
            <w:tcW w:w="4508" w:type="dxa"/>
          </w:tcPr>
          <w:p w14:paraId="599A8A95" w14:textId="7278C391" w:rsidR="00BD3F76" w:rsidRPr="00EB6D2B" w:rsidRDefault="00BD3F76" w:rsidP="004E0728">
            <w:pPr>
              <w:jc w:val="both"/>
              <w:rPr>
                <w:rFonts w:asciiTheme="minorHAnsi" w:hAnsiTheme="minorHAnsi" w:cstheme="minorHAnsi"/>
                <w:sz w:val="22"/>
                <w:lang w:val="fr-BE"/>
              </w:rPr>
            </w:pPr>
            <w:r w:rsidRPr="004E0728">
              <w:rPr>
                <w:rFonts w:asciiTheme="minorHAnsi" w:hAnsiTheme="minorHAnsi" w:cstheme="minorHAnsi"/>
                <w:spacing w:val="-3"/>
                <w:sz w:val="22"/>
                <w:lang w:val="fr-FR"/>
              </w:rPr>
              <w:t>Les adresses IP à la source de la connexion ne permettent pas à elles seules d’</w:t>
            </w:r>
            <w:r w:rsidRPr="004E0728">
              <w:rPr>
                <w:rFonts w:asciiTheme="minorHAnsi" w:eastAsia="Times New Roman" w:hAnsiTheme="minorHAnsi" w:cstheme="minorHAnsi"/>
                <w:color w:val="000000"/>
                <w:sz w:val="22"/>
                <w:lang w:val="fr-BE" w:eastAsia="fr-BE"/>
              </w:rPr>
              <w:t>effectuer le traçage exhaustif du parcours de navigation d’un internaute.</w:t>
            </w:r>
          </w:p>
        </w:tc>
        <w:tc>
          <w:tcPr>
            <w:tcW w:w="4508" w:type="dxa"/>
          </w:tcPr>
          <w:p w14:paraId="18C34EEC" w14:textId="2013CB25"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z w:val="22"/>
              </w:rPr>
              <w:t>De IP-adressen aan de bron van de verbinding op zich maken het niet mogelijk om de volledige zoekgeschiedenis van een internetgebruiker te traceren.</w:t>
            </w:r>
          </w:p>
        </w:tc>
      </w:tr>
      <w:tr w:rsidR="00BD3F76" w:rsidRPr="002F7AA5" w14:paraId="4B299926" w14:textId="77777777" w:rsidTr="00705040">
        <w:tc>
          <w:tcPr>
            <w:tcW w:w="4508" w:type="dxa"/>
          </w:tcPr>
          <w:p w14:paraId="7366A41F" w14:textId="77777777" w:rsidR="00BD3F76" w:rsidRPr="004E0728" w:rsidRDefault="00BD3F76" w:rsidP="004E0728">
            <w:pPr>
              <w:jc w:val="both"/>
              <w:rPr>
                <w:rFonts w:asciiTheme="minorHAnsi" w:hAnsiTheme="minorHAnsi" w:cstheme="minorHAnsi"/>
                <w:sz w:val="22"/>
              </w:rPr>
            </w:pPr>
          </w:p>
        </w:tc>
        <w:tc>
          <w:tcPr>
            <w:tcW w:w="4508" w:type="dxa"/>
          </w:tcPr>
          <w:p w14:paraId="43B3289B" w14:textId="77777777" w:rsidR="00BD3F76" w:rsidRPr="004E0728" w:rsidRDefault="00BD3F76" w:rsidP="004E0728">
            <w:pPr>
              <w:jc w:val="both"/>
              <w:rPr>
                <w:rFonts w:asciiTheme="minorHAnsi" w:hAnsiTheme="minorHAnsi" w:cstheme="minorHAnsi"/>
                <w:sz w:val="22"/>
              </w:rPr>
            </w:pPr>
          </w:p>
        </w:tc>
      </w:tr>
      <w:tr w:rsidR="00BD3F76" w:rsidRPr="002F7AA5" w14:paraId="4760703B" w14:textId="77777777" w:rsidTr="00705040">
        <w:tc>
          <w:tcPr>
            <w:tcW w:w="4508" w:type="dxa"/>
          </w:tcPr>
          <w:p w14:paraId="15E534A7" w14:textId="4053C996" w:rsidR="00BD3F76" w:rsidRPr="00EB6D2B" w:rsidRDefault="00BD3F76" w:rsidP="004E0728">
            <w:pPr>
              <w:jc w:val="both"/>
              <w:rPr>
                <w:rFonts w:asciiTheme="minorHAnsi" w:hAnsiTheme="minorHAnsi" w:cstheme="minorHAnsi"/>
                <w:sz w:val="22"/>
                <w:lang w:val="fr-BE"/>
              </w:rPr>
            </w:pPr>
            <w:r w:rsidRPr="004E0728">
              <w:rPr>
                <w:rFonts w:asciiTheme="minorHAnsi" w:hAnsiTheme="minorHAnsi" w:cstheme="minorHAnsi"/>
                <w:sz w:val="22"/>
                <w:u w:val="single"/>
                <w:lang w:val="fr-BE"/>
              </w:rPr>
              <w:t>Les identifiants de l’équipement terminal (16°) : l’IMEI</w:t>
            </w:r>
          </w:p>
        </w:tc>
        <w:tc>
          <w:tcPr>
            <w:tcW w:w="4508" w:type="dxa"/>
          </w:tcPr>
          <w:p w14:paraId="1521A916" w14:textId="57CAB811"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z w:val="22"/>
                <w:u w:val="single"/>
              </w:rPr>
              <w:t xml:space="preserve">De </w:t>
            </w:r>
            <w:proofErr w:type="spellStart"/>
            <w:r w:rsidR="0005635B">
              <w:rPr>
                <w:rFonts w:asciiTheme="minorHAnsi" w:hAnsiTheme="minorHAnsi" w:cstheme="minorHAnsi"/>
                <w:sz w:val="22"/>
                <w:u w:val="single"/>
              </w:rPr>
              <w:t>identifier</w:t>
            </w:r>
            <w:proofErr w:type="spellEnd"/>
            <w:r w:rsidRPr="004E0728">
              <w:rPr>
                <w:rFonts w:asciiTheme="minorHAnsi" w:hAnsiTheme="minorHAnsi" w:cstheme="minorHAnsi"/>
                <w:sz w:val="22"/>
                <w:u w:val="single"/>
              </w:rPr>
              <w:t xml:space="preserve"> van het eindapparaat (16°): de IMEI</w:t>
            </w:r>
          </w:p>
        </w:tc>
      </w:tr>
      <w:tr w:rsidR="00BD3F76" w:rsidRPr="002F7AA5" w14:paraId="7E4221C6" w14:textId="77777777" w:rsidTr="00705040">
        <w:tc>
          <w:tcPr>
            <w:tcW w:w="4508" w:type="dxa"/>
          </w:tcPr>
          <w:p w14:paraId="59BE6CF6" w14:textId="77777777" w:rsidR="00BD3F76" w:rsidRPr="002F7AA5" w:rsidRDefault="00BD3F76" w:rsidP="00BD3F76">
            <w:pPr>
              <w:rPr>
                <w:rFonts w:asciiTheme="minorHAnsi" w:hAnsiTheme="minorHAnsi" w:cstheme="minorHAnsi"/>
                <w:sz w:val="22"/>
              </w:rPr>
            </w:pPr>
          </w:p>
        </w:tc>
        <w:tc>
          <w:tcPr>
            <w:tcW w:w="4508" w:type="dxa"/>
          </w:tcPr>
          <w:p w14:paraId="7966F7EC" w14:textId="77777777" w:rsidR="00BD3F76" w:rsidRPr="002F7AA5" w:rsidRDefault="00BD3F76" w:rsidP="00BD3F76">
            <w:pPr>
              <w:rPr>
                <w:rFonts w:asciiTheme="minorHAnsi" w:hAnsiTheme="minorHAnsi" w:cstheme="minorHAnsi"/>
                <w:sz w:val="22"/>
              </w:rPr>
            </w:pPr>
          </w:p>
        </w:tc>
      </w:tr>
      <w:tr w:rsidR="00BD3F76" w:rsidRPr="002F7AA5" w14:paraId="323979FA" w14:textId="77777777" w:rsidTr="00705040">
        <w:tc>
          <w:tcPr>
            <w:tcW w:w="4508" w:type="dxa"/>
          </w:tcPr>
          <w:p w14:paraId="4A16B1AC" w14:textId="42BFE94A" w:rsidR="00BD3F76" w:rsidRPr="00EB6D2B" w:rsidRDefault="00BD3F76" w:rsidP="004E0728">
            <w:pPr>
              <w:jc w:val="both"/>
              <w:rPr>
                <w:rFonts w:asciiTheme="minorHAnsi" w:hAnsiTheme="minorHAnsi" w:cstheme="minorHAnsi"/>
                <w:sz w:val="22"/>
                <w:lang w:val="fr-BE"/>
              </w:rPr>
            </w:pPr>
            <w:r w:rsidRPr="004E0728">
              <w:rPr>
                <w:rFonts w:asciiTheme="minorHAnsi" w:hAnsiTheme="minorHAnsi" w:cstheme="minorHAnsi"/>
                <w:spacing w:val="-3"/>
                <w:sz w:val="22"/>
                <w:lang w:val="fr-FR"/>
              </w:rPr>
              <w:t xml:space="preserve">La CJUE n’a pas indiqué dans l’arrêt du 2 octobre 2018 </w:t>
            </w:r>
            <w:proofErr w:type="spellStart"/>
            <w:r w:rsidRPr="004E0728">
              <w:rPr>
                <w:rFonts w:asciiTheme="minorHAnsi" w:hAnsiTheme="minorHAnsi" w:cstheme="minorHAnsi"/>
                <w:spacing w:val="-3"/>
                <w:sz w:val="22"/>
                <w:lang w:val="fr-FR"/>
              </w:rPr>
              <w:t>Ministerio</w:t>
            </w:r>
            <w:proofErr w:type="spellEnd"/>
            <w:r w:rsidRPr="004E0728">
              <w:rPr>
                <w:rFonts w:asciiTheme="minorHAnsi" w:hAnsiTheme="minorHAnsi" w:cstheme="minorHAnsi"/>
                <w:spacing w:val="-3"/>
                <w:sz w:val="22"/>
                <w:lang w:val="fr-FR"/>
              </w:rPr>
              <w:t xml:space="preserve"> Fiscal (C-207/16, point 20) que la conservation de l’IMEI était interdite. Dans cet arrêt, a été considérée comme ne constituant pas une ingérence grave aux droits fondamentaux (vie privée et protection des données à caractère personnel), la demande de la police judiciaire, pour les besoins d’une enquête pénale, de se voir transmettre les numéros de téléphone activés, pendant une période de douze jours, avec le code relatif à l’identité internationale d’équipement mobile (ci-après le « code IMEI ») du téléphone mobile volé ainsi que les données à caractère personnel relatives à l’identité civile des titulaires ou des utilisateurs des numéros de téléphone correspondant aux cartes SIM activées avec ce code.</w:t>
            </w:r>
          </w:p>
        </w:tc>
        <w:tc>
          <w:tcPr>
            <w:tcW w:w="4508" w:type="dxa"/>
          </w:tcPr>
          <w:p w14:paraId="63AB005A" w14:textId="47ECAE4F" w:rsidR="00BD3F76" w:rsidRPr="004E0728" w:rsidRDefault="00BD3F76" w:rsidP="004E0728">
            <w:pPr>
              <w:jc w:val="both"/>
              <w:rPr>
                <w:rFonts w:asciiTheme="minorHAnsi" w:hAnsiTheme="minorHAnsi" w:cstheme="minorHAnsi"/>
                <w:sz w:val="22"/>
              </w:rPr>
            </w:pPr>
            <w:r w:rsidRPr="004E0728">
              <w:rPr>
                <w:rFonts w:asciiTheme="minorHAnsi" w:hAnsiTheme="minorHAnsi" w:cstheme="minorHAnsi"/>
                <w:spacing w:val="-3"/>
                <w:sz w:val="22"/>
              </w:rPr>
              <w:t xml:space="preserve">Het </w:t>
            </w:r>
            <w:proofErr w:type="spellStart"/>
            <w:r w:rsidRPr="004E0728">
              <w:rPr>
                <w:rFonts w:asciiTheme="minorHAnsi" w:hAnsiTheme="minorHAnsi" w:cstheme="minorHAnsi"/>
                <w:spacing w:val="-3"/>
                <w:sz w:val="22"/>
              </w:rPr>
              <w:t>HvJ</w:t>
            </w:r>
            <w:proofErr w:type="spellEnd"/>
            <w:r w:rsidRPr="004E0728">
              <w:rPr>
                <w:rFonts w:asciiTheme="minorHAnsi" w:hAnsiTheme="minorHAnsi" w:cstheme="minorHAnsi"/>
                <w:spacing w:val="-3"/>
                <w:sz w:val="22"/>
              </w:rPr>
              <w:t xml:space="preserve">-EU heeft in het arrest van 2 oktober 2018 </w:t>
            </w:r>
            <w:proofErr w:type="spellStart"/>
            <w:r w:rsidRPr="004E0728">
              <w:rPr>
                <w:rFonts w:asciiTheme="minorHAnsi" w:hAnsiTheme="minorHAnsi" w:cstheme="minorHAnsi"/>
                <w:spacing w:val="-3"/>
                <w:sz w:val="22"/>
              </w:rPr>
              <w:t>Ministerio</w:t>
            </w:r>
            <w:proofErr w:type="spellEnd"/>
            <w:r w:rsidRPr="004E0728">
              <w:rPr>
                <w:rFonts w:asciiTheme="minorHAnsi" w:hAnsiTheme="minorHAnsi" w:cstheme="minorHAnsi"/>
                <w:spacing w:val="-3"/>
                <w:sz w:val="22"/>
              </w:rPr>
              <w:t xml:space="preserve"> </w:t>
            </w:r>
            <w:proofErr w:type="spellStart"/>
            <w:r w:rsidRPr="004E0728">
              <w:rPr>
                <w:rFonts w:asciiTheme="minorHAnsi" w:hAnsiTheme="minorHAnsi" w:cstheme="minorHAnsi"/>
                <w:spacing w:val="-3"/>
                <w:sz w:val="22"/>
              </w:rPr>
              <w:t>Fiscal</w:t>
            </w:r>
            <w:proofErr w:type="spellEnd"/>
            <w:r w:rsidRPr="004E0728">
              <w:rPr>
                <w:rFonts w:asciiTheme="minorHAnsi" w:hAnsiTheme="minorHAnsi" w:cstheme="minorHAnsi"/>
                <w:spacing w:val="-3"/>
                <w:sz w:val="22"/>
              </w:rPr>
              <w:t xml:space="preserve"> (C</w:t>
            </w:r>
            <w:r w:rsidR="003869CB">
              <w:rPr>
                <w:rFonts w:asciiTheme="minorHAnsi" w:hAnsiTheme="minorHAnsi" w:cstheme="minorHAnsi"/>
                <w:spacing w:val="-3"/>
                <w:sz w:val="22"/>
              </w:rPr>
              <w:t>-</w:t>
            </w:r>
            <w:r w:rsidRPr="004E0728">
              <w:rPr>
                <w:rFonts w:asciiTheme="minorHAnsi" w:hAnsiTheme="minorHAnsi" w:cstheme="minorHAnsi"/>
                <w:spacing w:val="-3"/>
                <w:sz w:val="22"/>
              </w:rPr>
              <w:t>207/16, punt 20) niet vermeld dat de bewaring van de IMEI verboden was. In dat arrest werd beschouwd dat het volgende geen ernstige inmenging vormt in de grondrechten (persoonlijke levenssfeer en bescherming van de persoonsgebonden gegevens): het verzoek van de gerechtelijke politie, ten behoeve van een strafrechtelijk onderzoek, om de telefoonnummers te krijgen die gedurende een periode van twaalf dagen werden geactiveerd aan de hand van de code voor de internationale identiteit van het mobiele toestel (hierna de “IMEI-code”) van de gestolen mobiele telefoon alsook de persoonsgebonden gegevens met betrekking tot de burgerlijke identiteit van de houders of van de gebruikers van de telefoonnummers die overeenstemmen met de via deze code geactiveerde simkaarten.</w:t>
            </w:r>
          </w:p>
        </w:tc>
      </w:tr>
      <w:tr w:rsidR="00BD3F76" w:rsidRPr="002F7AA5" w14:paraId="73D2242E" w14:textId="77777777" w:rsidTr="00705040">
        <w:tc>
          <w:tcPr>
            <w:tcW w:w="4508" w:type="dxa"/>
          </w:tcPr>
          <w:p w14:paraId="62093A45" w14:textId="77777777" w:rsidR="00BD3F76" w:rsidRPr="002F7AA5" w:rsidRDefault="00BD3F76" w:rsidP="00BD3F76">
            <w:pPr>
              <w:rPr>
                <w:rFonts w:asciiTheme="minorHAnsi" w:hAnsiTheme="minorHAnsi" w:cstheme="minorHAnsi"/>
                <w:sz w:val="22"/>
              </w:rPr>
            </w:pPr>
          </w:p>
        </w:tc>
        <w:tc>
          <w:tcPr>
            <w:tcW w:w="4508" w:type="dxa"/>
          </w:tcPr>
          <w:p w14:paraId="170D49BA" w14:textId="77777777" w:rsidR="00BD3F76" w:rsidRPr="002F7AA5" w:rsidRDefault="00BD3F76" w:rsidP="00BD3F76">
            <w:pPr>
              <w:rPr>
                <w:rFonts w:asciiTheme="minorHAnsi" w:hAnsiTheme="minorHAnsi" w:cstheme="minorHAnsi"/>
                <w:sz w:val="22"/>
              </w:rPr>
            </w:pPr>
          </w:p>
        </w:tc>
      </w:tr>
      <w:tr w:rsidR="00BD3F76" w:rsidRPr="002F7AA5" w14:paraId="343FD4AF" w14:textId="77777777" w:rsidTr="00705040">
        <w:tc>
          <w:tcPr>
            <w:tcW w:w="4508" w:type="dxa"/>
          </w:tcPr>
          <w:p w14:paraId="5FC30114" w14:textId="25E4739E" w:rsidR="00BD3F76" w:rsidRPr="00EB6D2B" w:rsidRDefault="00BD3F76" w:rsidP="00C15F53">
            <w:pPr>
              <w:jc w:val="both"/>
              <w:rPr>
                <w:rFonts w:asciiTheme="minorHAnsi" w:hAnsiTheme="minorHAnsi" w:cstheme="minorHAnsi"/>
                <w:sz w:val="22"/>
                <w:u w:val="single"/>
                <w:lang w:val="fr-BE"/>
              </w:rPr>
            </w:pPr>
            <w:bookmarkStart w:id="47" w:name="_Toc94811200"/>
            <w:r w:rsidRPr="00EB6D2B">
              <w:rPr>
                <w:rFonts w:asciiTheme="minorHAnsi" w:hAnsiTheme="minorHAnsi" w:cstheme="minorHAnsi"/>
                <w:sz w:val="22"/>
                <w:u w:val="single"/>
                <w:lang w:val="fr-BE"/>
              </w:rPr>
              <w:t>Les identifiants de l’équipement terminal (16°) : l’adresse MAC</w:t>
            </w:r>
            <w:bookmarkEnd w:id="47"/>
            <w:r w:rsidRPr="00EB6D2B">
              <w:rPr>
                <w:rFonts w:asciiTheme="minorHAnsi" w:hAnsiTheme="minorHAnsi" w:cstheme="minorHAnsi"/>
                <w:sz w:val="22"/>
                <w:u w:val="single"/>
                <w:lang w:val="fr-BE"/>
              </w:rPr>
              <w:t xml:space="preserve"> </w:t>
            </w:r>
          </w:p>
        </w:tc>
        <w:tc>
          <w:tcPr>
            <w:tcW w:w="4508" w:type="dxa"/>
          </w:tcPr>
          <w:p w14:paraId="570D4C95" w14:textId="4CEA5F59" w:rsidR="00BD3F76" w:rsidRPr="00C15F53" w:rsidRDefault="00BD3F76" w:rsidP="00C15F53">
            <w:pPr>
              <w:jc w:val="both"/>
              <w:rPr>
                <w:rFonts w:asciiTheme="minorHAnsi" w:hAnsiTheme="minorHAnsi" w:cstheme="minorHAnsi"/>
                <w:sz w:val="22"/>
                <w:u w:val="single"/>
              </w:rPr>
            </w:pPr>
            <w:bookmarkStart w:id="48" w:name="_Toc94539128"/>
            <w:r w:rsidRPr="00C15F53">
              <w:rPr>
                <w:rFonts w:asciiTheme="minorHAnsi" w:hAnsiTheme="minorHAnsi" w:cstheme="minorHAnsi"/>
                <w:sz w:val="22"/>
                <w:u w:val="single"/>
              </w:rPr>
              <w:t xml:space="preserve">De </w:t>
            </w:r>
            <w:proofErr w:type="spellStart"/>
            <w:r w:rsidR="0005635B">
              <w:rPr>
                <w:rFonts w:asciiTheme="minorHAnsi" w:hAnsiTheme="minorHAnsi" w:cstheme="minorHAnsi"/>
                <w:sz w:val="22"/>
                <w:u w:val="single"/>
              </w:rPr>
              <w:t>identifier</w:t>
            </w:r>
            <w:proofErr w:type="spellEnd"/>
            <w:r w:rsidR="0005635B">
              <w:rPr>
                <w:rFonts w:asciiTheme="minorHAnsi" w:hAnsiTheme="minorHAnsi" w:cstheme="minorHAnsi"/>
                <w:sz w:val="22"/>
                <w:u w:val="single"/>
              </w:rPr>
              <w:t xml:space="preserve"> </w:t>
            </w:r>
            <w:r w:rsidRPr="00C15F53">
              <w:rPr>
                <w:rFonts w:asciiTheme="minorHAnsi" w:hAnsiTheme="minorHAnsi" w:cstheme="minorHAnsi"/>
                <w:sz w:val="22"/>
                <w:u w:val="single"/>
              </w:rPr>
              <w:t>van het eindapparaat (16°): het MAC-adres</w:t>
            </w:r>
            <w:bookmarkEnd w:id="48"/>
          </w:p>
        </w:tc>
      </w:tr>
      <w:tr w:rsidR="00BD3F76" w:rsidRPr="002F7AA5" w14:paraId="203EBA71" w14:textId="77777777" w:rsidTr="00705040">
        <w:tc>
          <w:tcPr>
            <w:tcW w:w="4508" w:type="dxa"/>
          </w:tcPr>
          <w:p w14:paraId="0FCF0E46" w14:textId="77777777" w:rsidR="00BD3F76" w:rsidRPr="002F7AA5" w:rsidRDefault="00BD3F76" w:rsidP="00BD3F76">
            <w:pPr>
              <w:rPr>
                <w:rFonts w:asciiTheme="minorHAnsi" w:hAnsiTheme="minorHAnsi" w:cstheme="minorHAnsi"/>
                <w:sz w:val="22"/>
              </w:rPr>
            </w:pPr>
          </w:p>
        </w:tc>
        <w:tc>
          <w:tcPr>
            <w:tcW w:w="4508" w:type="dxa"/>
          </w:tcPr>
          <w:p w14:paraId="15635EF6" w14:textId="77777777" w:rsidR="00BD3F76" w:rsidRPr="002F7AA5" w:rsidRDefault="00BD3F76" w:rsidP="00BD3F76">
            <w:pPr>
              <w:rPr>
                <w:rFonts w:asciiTheme="minorHAnsi" w:hAnsiTheme="minorHAnsi" w:cstheme="minorHAnsi"/>
                <w:sz w:val="22"/>
              </w:rPr>
            </w:pPr>
          </w:p>
        </w:tc>
      </w:tr>
      <w:tr w:rsidR="00BD3F76" w:rsidRPr="002F7AA5" w14:paraId="77AE667B" w14:textId="77777777" w:rsidTr="00705040">
        <w:tc>
          <w:tcPr>
            <w:tcW w:w="4508" w:type="dxa"/>
          </w:tcPr>
          <w:p w14:paraId="6896978D" w14:textId="10D2DCFF" w:rsidR="00BD3F76" w:rsidRPr="00EB6D2B" w:rsidRDefault="00BD3F76" w:rsidP="00C15F53">
            <w:pPr>
              <w:jc w:val="both"/>
              <w:rPr>
                <w:rFonts w:asciiTheme="minorHAnsi" w:hAnsiTheme="minorHAnsi" w:cstheme="minorHAnsi"/>
                <w:sz w:val="22"/>
                <w:lang w:val="fr-BE"/>
              </w:rPr>
            </w:pPr>
            <w:r w:rsidRPr="00C15F53">
              <w:rPr>
                <w:rFonts w:asciiTheme="minorHAnsi" w:hAnsiTheme="minorHAnsi" w:cstheme="minorHAnsi"/>
                <w:sz w:val="22"/>
                <w:lang w:val="fr-BE"/>
              </w:rPr>
              <w:t>La « </w:t>
            </w:r>
            <w:proofErr w:type="spellStart"/>
            <w:r w:rsidRPr="00C15F53">
              <w:rPr>
                <w:rFonts w:asciiTheme="minorHAnsi" w:hAnsiTheme="minorHAnsi" w:cstheme="minorHAnsi"/>
                <w:sz w:val="22"/>
                <w:lang w:val="fr-BE"/>
              </w:rPr>
              <w:t>nomadicité</w:t>
            </w:r>
            <w:proofErr w:type="spellEnd"/>
            <w:r w:rsidRPr="00C15F53">
              <w:rPr>
                <w:rFonts w:asciiTheme="minorHAnsi" w:hAnsiTheme="minorHAnsi" w:cstheme="minorHAnsi"/>
                <w:sz w:val="22"/>
                <w:lang w:val="fr-BE"/>
              </w:rPr>
              <w:t xml:space="preserve"> » croissante des services de téléphonie nécessite d’inclure l’adresse « MAC (Media Access Control) » parmi les données d’identification des équipements terminaux. </w:t>
            </w:r>
          </w:p>
        </w:tc>
        <w:tc>
          <w:tcPr>
            <w:tcW w:w="4508" w:type="dxa"/>
          </w:tcPr>
          <w:p w14:paraId="7440DEC0" w14:textId="0474E4F4" w:rsidR="00BD3F76" w:rsidRPr="00C15F53" w:rsidRDefault="00BD3F76" w:rsidP="00C15F53">
            <w:pPr>
              <w:jc w:val="both"/>
              <w:rPr>
                <w:rFonts w:asciiTheme="minorHAnsi" w:hAnsiTheme="minorHAnsi" w:cstheme="minorHAnsi"/>
                <w:sz w:val="22"/>
              </w:rPr>
            </w:pPr>
            <w:r w:rsidRPr="00C15F53">
              <w:rPr>
                <w:rFonts w:asciiTheme="minorHAnsi" w:hAnsiTheme="minorHAnsi" w:cstheme="minorHAnsi"/>
                <w:sz w:val="22"/>
              </w:rPr>
              <w:t>Overigens dient door de toenemende “</w:t>
            </w:r>
            <w:proofErr w:type="spellStart"/>
            <w:r w:rsidRPr="00C15F53">
              <w:rPr>
                <w:rFonts w:asciiTheme="minorHAnsi" w:hAnsiTheme="minorHAnsi" w:cstheme="minorHAnsi"/>
                <w:sz w:val="22"/>
              </w:rPr>
              <w:t>nomadiciteit</w:t>
            </w:r>
            <w:proofErr w:type="spellEnd"/>
            <w:r w:rsidRPr="00C15F53">
              <w:rPr>
                <w:rFonts w:asciiTheme="minorHAnsi" w:hAnsiTheme="minorHAnsi" w:cstheme="minorHAnsi"/>
                <w:sz w:val="22"/>
              </w:rPr>
              <w:t>” van de telefoniediensten, het “MAC-adres” (Media Access Control) te worden opgenomen als identificatiegegeven van de eindapparatuur.</w:t>
            </w:r>
          </w:p>
        </w:tc>
      </w:tr>
      <w:tr w:rsidR="00BD3F76" w:rsidRPr="002F7AA5" w14:paraId="46D4CC4A" w14:textId="77777777" w:rsidTr="00705040">
        <w:tc>
          <w:tcPr>
            <w:tcW w:w="4508" w:type="dxa"/>
          </w:tcPr>
          <w:p w14:paraId="789E6AE6" w14:textId="77777777" w:rsidR="00BD3F76" w:rsidRPr="00C15F53" w:rsidRDefault="00BD3F76" w:rsidP="00C15F53">
            <w:pPr>
              <w:jc w:val="both"/>
              <w:rPr>
                <w:rFonts w:asciiTheme="minorHAnsi" w:hAnsiTheme="minorHAnsi" w:cstheme="minorHAnsi"/>
                <w:sz w:val="22"/>
              </w:rPr>
            </w:pPr>
          </w:p>
        </w:tc>
        <w:tc>
          <w:tcPr>
            <w:tcW w:w="4508" w:type="dxa"/>
          </w:tcPr>
          <w:p w14:paraId="7078013F" w14:textId="77777777" w:rsidR="00BD3F76" w:rsidRPr="00C15F53" w:rsidRDefault="00BD3F76" w:rsidP="00C15F53">
            <w:pPr>
              <w:jc w:val="both"/>
              <w:rPr>
                <w:rFonts w:asciiTheme="minorHAnsi" w:hAnsiTheme="minorHAnsi" w:cstheme="minorHAnsi"/>
                <w:sz w:val="22"/>
              </w:rPr>
            </w:pPr>
          </w:p>
        </w:tc>
      </w:tr>
      <w:tr w:rsidR="00BD3F76" w:rsidRPr="002F7AA5" w14:paraId="096B1F3A" w14:textId="77777777" w:rsidTr="00705040">
        <w:tc>
          <w:tcPr>
            <w:tcW w:w="4508" w:type="dxa"/>
          </w:tcPr>
          <w:p w14:paraId="6CAE1D34" w14:textId="344B3EF8" w:rsidR="00BD3F76" w:rsidRPr="00EB6D2B" w:rsidRDefault="00BD3F76" w:rsidP="00C15F53">
            <w:pPr>
              <w:jc w:val="both"/>
              <w:rPr>
                <w:rFonts w:asciiTheme="minorHAnsi" w:hAnsiTheme="minorHAnsi" w:cstheme="minorHAnsi"/>
                <w:sz w:val="22"/>
                <w:lang w:val="fr-BE"/>
              </w:rPr>
            </w:pPr>
            <w:r w:rsidRPr="00C15F53">
              <w:rPr>
                <w:rFonts w:asciiTheme="minorHAnsi" w:hAnsiTheme="minorHAnsi" w:cstheme="minorHAnsi"/>
                <w:sz w:val="22"/>
                <w:lang w:val="fr-BE"/>
              </w:rPr>
              <w:t>En effet, un numéro de téléphone (fixe ou mobile) n’est plus uniquement utilisé sur un équipement téléphonique classique (appareil téléphonique classique, fixe ou mobile), mais peut également être rendu « nomade » au sens de l’arrêté royal du 27 avril 2007 relatif à la gestion de l'espace de numérotation national et à l'attribution et au retrait des droits d'utilisation de numéros (« arrêté royal numérotation »). Ceci signifie qu’une communication téléphonique peut être passée avec ce numéro par l’intermédiaire de différents types de logiciels ou d’équipements, en ce compris par un ordinateur habituellement identifié par son adresse MAC.</w:t>
            </w:r>
          </w:p>
        </w:tc>
        <w:tc>
          <w:tcPr>
            <w:tcW w:w="4508" w:type="dxa"/>
          </w:tcPr>
          <w:p w14:paraId="6EA34A6D" w14:textId="45BB7AF2" w:rsidR="00BD3F76" w:rsidRPr="00C15F53" w:rsidRDefault="00BD3F76" w:rsidP="00C15F53">
            <w:pPr>
              <w:jc w:val="both"/>
              <w:rPr>
                <w:rFonts w:asciiTheme="minorHAnsi" w:hAnsiTheme="minorHAnsi" w:cstheme="minorHAnsi"/>
                <w:sz w:val="22"/>
              </w:rPr>
            </w:pPr>
            <w:r w:rsidRPr="00C15F53">
              <w:rPr>
                <w:rFonts w:asciiTheme="minorHAnsi" w:hAnsiTheme="minorHAnsi" w:cstheme="minorHAnsi"/>
                <w:sz w:val="22"/>
              </w:rPr>
              <w:t>Een (vast of mobiel) telefoonnummer wordt immers niet langer enkel voor een klassiek telefoontoestel gebruikt (vast of mobiel klassiek telefoontoestel) maar kan ook “nomadisch” gemaakt worden in de zin van het koninklijk besluit van 27 april 2007 betreffende het beheer van de nationale nummeringsruimte en de toekenning en intrekking van gebruiksrechten voor nummers (“nummerings-KB)”. Dat betekent dat een telefonische communicatie via verschillende soorten van software of apparatuur tot stand kan worden gebracht met datzelfde nummer, inclusief via een computer die doorgaans aan de hand van zijn MAC-adres wordt geïdentificeerd.</w:t>
            </w:r>
          </w:p>
        </w:tc>
      </w:tr>
      <w:tr w:rsidR="00BD3F76" w:rsidRPr="002F7AA5" w14:paraId="17542224" w14:textId="77777777" w:rsidTr="00705040">
        <w:tc>
          <w:tcPr>
            <w:tcW w:w="4508" w:type="dxa"/>
          </w:tcPr>
          <w:p w14:paraId="6D99AFA3" w14:textId="77777777" w:rsidR="00BD3F76" w:rsidRPr="00C15F53" w:rsidRDefault="00BD3F76" w:rsidP="00C15F53">
            <w:pPr>
              <w:jc w:val="both"/>
              <w:rPr>
                <w:rFonts w:asciiTheme="minorHAnsi" w:hAnsiTheme="minorHAnsi" w:cstheme="minorHAnsi"/>
                <w:sz w:val="22"/>
              </w:rPr>
            </w:pPr>
          </w:p>
        </w:tc>
        <w:tc>
          <w:tcPr>
            <w:tcW w:w="4508" w:type="dxa"/>
          </w:tcPr>
          <w:p w14:paraId="3BF3E991" w14:textId="77777777" w:rsidR="00BD3F76" w:rsidRPr="00C15F53" w:rsidRDefault="00BD3F76" w:rsidP="00C15F53">
            <w:pPr>
              <w:jc w:val="both"/>
              <w:rPr>
                <w:rFonts w:asciiTheme="minorHAnsi" w:hAnsiTheme="minorHAnsi" w:cstheme="minorHAnsi"/>
                <w:sz w:val="22"/>
              </w:rPr>
            </w:pPr>
          </w:p>
        </w:tc>
      </w:tr>
      <w:tr w:rsidR="00BD3F76" w:rsidRPr="002F7AA5" w14:paraId="2A8BBBEB" w14:textId="77777777" w:rsidTr="00705040">
        <w:tc>
          <w:tcPr>
            <w:tcW w:w="4508" w:type="dxa"/>
          </w:tcPr>
          <w:p w14:paraId="11AE76FA" w14:textId="2EFC77B3" w:rsidR="00BD3F76" w:rsidRPr="00EB6D2B" w:rsidRDefault="00BD3F76" w:rsidP="00C15F53">
            <w:pPr>
              <w:jc w:val="both"/>
              <w:rPr>
                <w:rFonts w:asciiTheme="minorHAnsi" w:hAnsiTheme="minorHAnsi" w:cstheme="minorHAnsi"/>
                <w:sz w:val="22"/>
                <w:lang w:val="fr-BE"/>
              </w:rPr>
            </w:pPr>
            <w:r w:rsidRPr="00C15F53">
              <w:rPr>
                <w:rFonts w:asciiTheme="minorHAnsi" w:hAnsiTheme="minorHAnsi" w:cstheme="minorHAnsi"/>
                <w:sz w:val="22"/>
                <w:lang w:val="fr-BE"/>
              </w:rPr>
              <w:t xml:space="preserve">L’exploitation par les autorités de l’adresse MAC est une solution de dernier recours, dans le cas où l'opérateur n'arrive pas à identifier l'utilisateur d'un de ses services de communication à l’aide d’un autre identifiant (par exemple l’IMEI ou le PEI). Dans certains cas (par exemple si les enquêteurs ne disposent que de l’adresse MAC), l’adresse MAC sera la seule manière pour les enquêteurs d’identifier l’utilisateur final.  </w:t>
            </w:r>
          </w:p>
        </w:tc>
        <w:tc>
          <w:tcPr>
            <w:tcW w:w="4508" w:type="dxa"/>
          </w:tcPr>
          <w:p w14:paraId="6D171BA0" w14:textId="1CFF2A34" w:rsidR="00BD3F76" w:rsidRPr="00C15F53" w:rsidRDefault="00BD3F76" w:rsidP="00C15F53">
            <w:pPr>
              <w:jc w:val="both"/>
              <w:rPr>
                <w:rFonts w:asciiTheme="minorHAnsi" w:hAnsiTheme="minorHAnsi" w:cstheme="minorHAnsi"/>
                <w:sz w:val="22"/>
              </w:rPr>
            </w:pPr>
            <w:r w:rsidRPr="00C15F53">
              <w:rPr>
                <w:rFonts w:asciiTheme="minorHAnsi" w:hAnsiTheme="minorHAnsi" w:cstheme="minorHAnsi"/>
                <w:sz w:val="22"/>
              </w:rPr>
              <w:t xml:space="preserve">Het gebruik van het MAC-adres door de autoriteiten is een laatste redmiddel, in het geval dat de operator er niet in slaagt de gebruiker van één van zijn communicatiediensten aan de hand van een andere </w:t>
            </w:r>
            <w:proofErr w:type="spellStart"/>
            <w:r w:rsidR="00D169DD">
              <w:rPr>
                <w:rFonts w:asciiTheme="minorHAnsi" w:hAnsiTheme="minorHAnsi" w:cstheme="minorHAnsi"/>
                <w:sz w:val="22"/>
              </w:rPr>
              <w:t>identifi</w:t>
            </w:r>
            <w:r w:rsidR="0005635B">
              <w:rPr>
                <w:rFonts w:asciiTheme="minorHAnsi" w:hAnsiTheme="minorHAnsi" w:cstheme="minorHAnsi"/>
                <w:sz w:val="22"/>
              </w:rPr>
              <w:t>er</w:t>
            </w:r>
            <w:proofErr w:type="spellEnd"/>
            <w:r w:rsidRPr="00C15F53">
              <w:rPr>
                <w:rFonts w:asciiTheme="minorHAnsi" w:hAnsiTheme="minorHAnsi" w:cstheme="minorHAnsi"/>
                <w:sz w:val="22"/>
              </w:rPr>
              <w:t xml:space="preserve"> (bijvoorbeeld de IMEI of de PEI) te identificeren. In sommige gevallen (bijvoorbeeld als de onderzoekers alleen het MAC-adres hebben) is het MAC-adres voor de onderzoekers de enige manier om de eindgebruiker te identificeren.  </w:t>
            </w:r>
          </w:p>
        </w:tc>
      </w:tr>
      <w:tr w:rsidR="00BD3F76" w:rsidRPr="002F7AA5" w14:paraId="7211B5F1" w14:textId="77777777" w:rsidTr="00705040">
        <w:tc>
          <w:tcPr>
            <w:tcW w:w="4508" w:type="dxa"/>
          </w:tcPr>
          <w:p w14:paraId="4DB4E456" w14:textId="77777777" w:rsidR="00BD3F76" w:rsidRPr="00C15F53" w:rsidRDefault="00BD3F76" w:rsidP="00C15F53">
            <w:pPr>
              <w:jc w:val="both"/>
              <w:rPr>
                <w:rFonts w:asciiTheme="minorHAnsi" w:hAnsiTheme="minorHAnsi" w:cstheme="minorHAnsi"/>
                <w:sz w:val="22"/>
              </w:rPr>
            </w:pPr>
          </w:p>
        </w:tc>
        <w:tc>
          <w:tcPr>
            <w:tcW w:w="4508" w:type="dxa"/>
          </w:tcPr>
          <w:p w14:paraId="2FA89966" w14:textId="77777777" w:rsidR="00BD3F76" w:rsidRPr="00C15F53" w:rsidRDefault="00BD3F76" w:rsidP="00C15F53">
            <w:pPr>
              <w:jc w:val="both"/>
              <w:rPr>
                <w:rFonts w:asciiTheme="minorHAnsi" w:hAnsiTheme="minorHAnsi" w:cstheme="minorHAnsi"/>
                <w:sz w:val="22"/>
              </w:rPr>
            </w:pPr>
          </w:p>
        </w:tc>
      </w:tr>
      <w:tr w:rsidR="00BD3F76" w:rsidRPr="002F7AA5" w14:paraId="602F95CD" w14:textId="77777777" w:rsidTr="00705040">
        <w:tc>
          <w:tcPr>
            <w:tcW w:w="4508" w:type="dxa"/>
          </w:tcPr>
          <w:p w14:paraId="2C7DE13A" w14:textId="63F1870B" w:rsidR="00BD3F76" w:rsidRPr="00EB6D2B" w:rsidRDefault="00BD3F76" w:rsidP="00C15F53">
            <w:pPr>
              <w:jc w:val="both"/>
              <w:rPr>
                <w:rFonts w:asciiTheme="minorHAnsi" w:hAnsiTheme="minorHAnsi" w:cstheme="minorHAnsi"/>
                <w:sz w:val="22"/>
                <w:lang w:val="fr-BE"/>
              </w:rPr>
            </w:pPr>
            <w:bookmarkStart w:id="49" w:name="_Hlk94794011"/>
            <w:r w:rsidRPr="00C15F53">
              <w:rPr>
                <w:rFonts w:asciiTheme="minorHAnsi" w:hAnsiTheme="minorHAnsi" w:cstheme="minorHAnsi"/>
                <w:sz w:val="22"/>
                <w:lang w:val="fr-BE"/>
              </w:rPr>
              <w:t>La conservation de l’adresse MAC se justifie également par le fait que l’IMEI ou le PEI peut ne pas apparaître ou ne pas être disponible en fonction de la technologie utilisée ou d’un problème technique sur le réseau. Une personne, qui veut se soustraire à des poursuites judiciaires, peut également modifier les identifiants de son appareillage.</w:t>
            </w:r>
            <w:bookmarkEnd w:id="49"/>
          </w:p>
        </w:tc>
        <w:tc>
          <w:tcPr>
            <w:tcW w:w="4508" w:type="dxa"/>
          </w:tcPr>
          <w:p w14:paraId="74363F84" w14:textId="7A74F27A" w:rsidR="00BD3F76" w:rsidRPr="00C15F53" w:rsidRDefault="00BD3F76" w:rsidP="00C15F53">
            <w:pPr>
              <w:jc w:val="both"/>
              <w:rPr>
                <w:rFonts w:asciiTheme="minorHAnsi" w:hAnsiTheme="minorHAnsi" w:cstheme="minorHAnsi"/>
                <w:sz w:val="22"/>
              </w:rPr>
            </w:pPr>
            <w:r w:rsidRPr="00C15F53">
              <w:rPr>
                <w:rFonts w:asciiTheme="minorHAnsi" w:hAnsiTheme="minorHAnsi" w:cstheme="minorHAnsi"/>
                <w:sz w:val="22"/>
              </w:rPr>
              <w:t xml:space="preserve">De bewaring van het MAC-adres wordt ook verantwoord door het feit dat het kan gebeuren dat de IMEI of de PEI niet te zien zijn of niet beschikbaar zijn afhankelijk van de toegepaste technologie of door een technisch probleem op het netwerk. Een persoon die zich aan gerechtelijke vervolging wil onttrekken, kan ook de </w:t>
            </w:r>
            <w:proofErr w:type="spellStart"/>
            <w:r w:rsidR="0005635B">
              <w:rPr>
                <w:rFonts w:asciiTheme="minorHAnsi" w:hAnsiTheme="minorHAnsi" w:cstheme="minorHAnsi"/>
                <w:sz w:val="22"/>
              </w:rPr>
              <w:t>identifier</w:t>
            </w:r>
            <w:proofErr w:type="spellEnd"/>
            <w:r w:rsidRPr="00C15F53">
              <w:rPr>
                <w:rFonts w:asciiTheme="minorHAnsi" w:hAnsiTheme="minorHAnsi" w:cstheme="minorHAnsi"/>
                <w:sz w:val="22"/>
              </w:rPr>
              <w:t xml:space="preserve"> van zijn apparatuur wijzigen.</w:t>
            </w:r>
          </w:p>
        </w:tc>
      </w:tr>
      <w:tr w:rsidR="00BD3F76" w:rsidRPr="002F7AA5" w14:paraId="17625D61" w14:textId="77777777" w:rsidTr="00705040">
        <w:tc>
          <w:tcPr>
            <w:tcW w:w="4508" w:type="dxa"/>
          </w:tcPr>
          <w:p w14:paraId="1C92B437" w14:textId="77777777" w:rsidR="00BD3F76" w:rsidRPr="002F7AA5" w:rsidRDefault="00BD3F76" w:rsidP="00BD3F76">
            <w:pPr>
              <w:rPr>
                <w:rFonts w:asciiTheme="minorHAnsi" w:hAnsiTheme="minorHAnsi" w:cstheme="minorHAnsi"/>
                <w:sz w:val="22"/>
              </w:rPr>
            </w:pPr>
          </w:p>
        </w:tc>
        <w:tc>
          <w:tcPr>
            <w:tcW w:w="4508" w:type="dxa"/>
          </w:tcPr>
          <w:p w14:paraId="4318542F" w14:textId="77777777" w:rsidR="00BD3F76" w:rsidRPr="002F7AA5" w:rsidRDefault="00BD3F76" w:rsidP="00BD3F76">
            <w:pPr>
              <w:rPr>
                <w:rFonts w:asciiTheme="minorHAnsi" w:hAnsiTheme="minorHAnsi" w:cstheme="minorHAnsi"/>
                <w:sz w:val="22"/>
              </w:rPr>
            </w:pPr>
          </w:p>
        </w:tc>
      </w:tr>
      <w:tr w:rsidR="00BD3F76" w:rsidRPr="002F7AA5" w14:paraId="2205D8F2" w14:textId="77777777" w:rsidTr="00705040">
        <w:tc>
          <w:tcPr>
            <w:tcW w:w="4508" w:type="dxa"/>
          </w:tcPr>
          <w:p w14:paraId="33A4FE99" w14:textId="2340D2FC" w:rsidR="00BD3F76" w:rsidRPr="00C462D9" w:rsidRDefault="00BD3F76" w:rsidP="00C15F53">
            <w:pPr>
              <w:jc w:val="both"/>
              <w:rPr>
                <w:rFonts w:asciiTheme="minorHAnsi" w:hAnsiTheme="minorHAnsi" w:cstheme="minorHAnsi"/>
                <w:sz w:val="22"/>
                <w:lang w:val="fr-BE"/>
              </w:rPr>
            </w:pPr>
            <w:r w:rsidRPr="00C15F53">
              <w:rPr>
                <w:rFonts w:asciiTheme="minorHAnsi" w:hAnsiTheme="minorHAnsi" w:cstheme="minorHAnsi"/>
                <w:sz w:val="22"/>
                <w:lang w:val="fr-BE"/>
              </w:rPr>
              <w:t xml:space="preserve">La possibilité pour le Roi d’imposer aux opérateurs de conserver d’autres données a été prévue au cas où il serait nécessaire d’imposer de manière urgente la conservation de cette donnée, sans devoir attendre la modification de la loi. </w:t>
            </w:r>
          </w:p>
        </w:tc>
        <w:tc>
          <w:tcPr>
            <w:tcW w:w="4508" w:type="dxa"/>
          </w:tcPr>
          <w:p w14:paraId="5BC7FB70" w14:textId="1FDE0746" w:rsidR="00BD3F76" w:rsidRPr="00C15F53" w:rsidRDefault="00BD3F76" w:rsidP="00C15F53">
            <w:pPr>
              <w:jc w:val="both"/>
              <w:rPr>
                <w:rFonts w:asciiTheme="minorHAnsi" w:hAnsiTheme="minorHAnsi" w:cstheme="minorHAnsi"/>
                <w:sz w:val="22"/>
              </w:rPr>
            </w:pPr>
            <w:r w:rsidRPr="00C15F53">
              <w:rPr>
                <w:rFonts w:asciiTheme="minorHAnsi" w:hAnsiTheme="minorHAnsi" w:cstheme="minorHAnsi"/>
                <w:sz w:val="22"/>
              </w:rPr>
              <w:t xml:space="preserve">Er is voorzien in de mogelijkheid voor de Koning om de operatoren te verplichten andere gegevens te bewaren, in het geval dat het noodzakelijk zou zijn om dringend de bewaring van dat gegeven op te leggen zonder te moeten wachten op de wetswijziging. </w:t>
            </w:r>
          </w:p>
        </w:tc>
      </w:tr>
      <w:tr w:rsidR="00BD3F76" w:rsidRPr="002F7AA5" w14:paraId="58C3CF4F" w14:textId="77777777" w:rsidTr="00705040">
        <w:tc>
          <w:tcPr>
            <w:tcW w:w="4508" w:type="dxa"/>
          </w:tcPr>
          <w:p w14:paraId="55608CE9" w14:textId="77777777" w:rsidR="00BD3F76" w:rsidRPr="002F7AA5" w:rsidRDefault="00BD3F76" w:rsidP="00BD3F76">
            <w:pPr>
              <w:rPr>
                <w:rFonts w:asciiTheme="minorHAnsi" w:hAnsiTheme="minorHAnsi" w:cstheme="minorHAnsi"/>
                <w:sz w:val="22"/>
              </w:rPr>
            </w:pPr>
          </w:p>
        </w:tc>
        <w:tc>
          <w:tcPr>
            <w:tcW w:w="4508" w:type="dxa"/>
          </w:tcPr>
          <w:p w14:paraId="740AAE0B" w14:textId="77777777" w:rsidR="00BD3F76" w:rsidRPr="002F7AA5" w:rsidRDefault="00BD3F76" w:rsidP="00BD3F76">
            <w:pPr>
              <w:rPr>
                <w:rFonts w:asciiTheme="minorHAnsi" w:hAnsiTheme="minorHAnsi" w:cstheme="minorHAnsi"/>
                <w:sz w:val="22"/>
              </w:rPr>
            </w:pPr>
          </w:p>
        </w:tc>
      </w:tr>
      <w:tr w:rsidR="00BD3F76" w:rsidRPr="002F7AA5" w14:paraId="46CC12F8" w14:textId="77777777" w:rsidTr="00705040">
        <w:tc>
          <w:tcPr>
            <w:tcW w:w="4508" w:type="dxa"/>
          </w:tcPr>
          <w:p w14:paraId="57A7EFD6" w14:textId="741D3C90" w:rsidR="00BD3F76" w:rsidRPr="00C15F53" w:rsidRDefault="00BD3F76" w:rsidP="00BD3F76">
            <w:pPr>
              <w:rPr>
                <w:rFonts w:asciiTheme="minorHAnsi" w:hAnsiTheme="minorHAnsi" w:cstheme="minorHAnsi"/>
                <w:b/>
                <w:bCs/>
                <w:sz w:val="22"/>
                <w:u w:val="single"/>
              </w:rPr>
            </w:pPr>
            <w:bookmarkStart w:id="50" w:name="_Toc94811201"/>
            <w:proofErr w:type="spellStart"/>
            <w:r w:rsidRPr="00C15F53">
              <w:rPr>
                <w:rFonts w:asciiTheme="minorHAnsi" w:hAnsiTheme="minorHAnsi" w:cstheme="minorHAnsi"/>
                <w:b/>
                <w:bCs/>
                <w:sz w:val="22"/>
                <w:u w:val="single"/>
              </w:rPr>
              <w:lastRenderedPageBreak/>
              <w:t>Durée</w:t>
            </w:r>
            <w:proofErr w:type="spellEnd"/>
            <w:r w:rsidRPr="00C15F53">
              <w:rPr>
                <w:rFonts w:asciiTheme="minorHAnsi" w:hAnsiTheme="minorHAnsi" w:cstheme="minorHAnsi"/>
                <w:b/>
                <w:bCs/>
                <w:sz w:val="22"/>
                <w:u w:val="single"/>
              </w:rPr>
              <w:t xml:space="preserve"> de </w:t>
            </w:r>
            <w:proofErr w:type="spellStart"/>
            <w:r w:rsidRPr="00C15F53">
              <w:rPr>
                <w:rFonts w:asciiTheme="minorHAnsi" w:hAnsiTheme="minorHAnsi" w:cstheme="minorHAnsi"/>
                <w:b/>
                <w:bCs/>
                <w:sz w:val="22"/>
                <w:u w:val="single"/>
              </w:rPr>
              <w:t>conservation</w:t>
            </w:r>
            <w:proofErr w:type="spellEnd"/>
            <w:r w:rsidRPr="00C15F53">
              <w:rPr>
                <w:rFonts w:asciiTheme="minorHAnsi" w:hAnsiTheme="minorHAnsi" w:cstheme="minorHAnsi"/>
                <w:b/>
                <w:bCs/>
                <w:sz w:val="22"/>
                <w:u w:val="single"/>
              </w:rPr>
              <w:t xml:space="preserve"> (</w:t>
            </w:r>
            <w:proofErr w:type="spellStart"/>
            <w:r w:rsidRPr="00C15F53">
              <w:rPr>
                <w:rFonts w:asciiTheme="minorHAnsi" w:hAnsiTheme="minorHAnsi" w:cstheme="minorHAnsi"/>
                <w:b/>
                <w:bCs/>
                <w:sz w:val="22"/>
                <w:u w:val="single"/>
              </w:rPr>
              <w:t>paragraphe</w:t>
            </w:r>
            <w:proofErr w:type="spellEnd"/>
            <w:r w:rsidRPr="00C15F53">
              <w:rPr>
                <w:rFonts w:asciiTheme="minorHAnsi" w:hAnsiTheme="minorHAnsi" w:cstheme="minorHAnsi"/>
                <w:b/>
                <w:bCs/>
                <w:sz w:val="22"/>
                <w:u w:val="single"/>
              </w:rPr>
              <w:t xml:space="preserve"> 2)</w:t>
            </w:r>
            <w:bookmarkEnd w:id="50"/>
            <w:r w:rsidRPr="00C15F53">
              <w:rPr>
                <w:rFonts w:asciiTheme="minorHAnsi" w:hAnsiTheme="minorHAnsi" w:cstheme="minorHAnsi"/>
                <w:b/>
                <w:bCs/>
                <w:sz w:val="22"/>
                <w:u w:val="single"/>
              </w:rPr>
              <w:t xml:space="preserve">  </w:t>
            </w:r>
          </w:p>
        </w:tc>
        <w:tc>
          <w:tcPr>
            <w:tcW w:w="4508" w:type="dxa"/>
          </w:tcPr>
          <w:p w14:paraId="60A8CCF7" w14:textId="21AC464A" w:rsidR="00BD3F76" w:rsidRPr="00C15F53" w:rsidRDefault="00BD3F76" w:rsidP="00BD3F76">
            <w:pPr>
              <w:rPr>
                <w:rFonts w:asciiTheme="minorHAnsi" w:hAnsiTheme="minorHAnsi" w:cstheme="minorHAnsi"/>
                <w:b/>
                <w:bCs/>
                <w:sz w:val="22"/>
                <w:u w:val="single"/>
              </w:rPr>
            </w:pPr>
            <w:bookmarkStart w:id="51" w:name="_Toc94539129"/>
            <w:proofErr w:type="spellStart"/>
            <w:r w:rsidRPr="00C15F53">
              <w:rPr>
                <w:rFonts w:asciiTheme="minorHAnsi" w:hAnsiTheme="minorHAnsi" w:cstheme="minorHAnsi"/>
                <w:b/>
                <w:bCs/>
                <w:sz w:val="22"/>
                <w:u w:val="single"/>
                <w:lang w:val="fr-FR"/>
              </w:rPr>
              <w:t>Bewaringstermijn</w:t>
            </w:r>
            <w:proofErr w:type="spellEnd"/>
            <w:r w:rsidRPr="00C15F53">
              <w:rPr>
                <w:rFonts w:asciiTheme="minorHAnsi" w:hAnsiTheme="minorHAnsi" w:cstheme="minorHAnsi"/>
                <w:b/>
                <w:bCs/>
                <w:sz w:val="22"/>
                <w:u w:val="single"/>
                <w:lang w:val="fr-FR"/>
              </w:rPr>
              <w:t xml:space="preserve"> (</w:t>
            </w:r>
            <w:proofErr w:type="spellStart"/>
            <w:r w:rsidRPr="00C15F53">
              <w:rPr>
                <w:rFonts w:asciiTheme="minorHAnsi" w:hAnsiTheme="minorHAnsi" w:cstheme="minorHAnsi"/>
                <w:b/>
                <w:bCs/>
                <w:sz w:val="22"/>
                <w:u w:val="single"/>
                <w:lang w:val="fr-FR"/>
              </w:rPr>
              <w:t>paragraaf</w:t>
            </w:r>
            <w:proofErr w:type="spellEnd"/>
            <w:r w:rsidRPr="00C15F53">
              <w:rPr>
                <w:rFonts w:asciiTheme="minorHAnsi" w:hAnsiTheme="minorHAnsi" w:cstheme="minorHAnsi"/>
                <w:b/>
                <w:bCs/>
                <w:sz w:val="22"/>
                <w:u w:val="single"/>
                <w:lang w:val="fr-FR"/>
              </w:rPr>
              <w:t xml:space="preserve"> 2)</w:t>
            </w:r>
            <w:bookmarkEnd w:id="51"/>
            <w:r w:rsidRPr="00C15F53">
              <w:rPr>
                <w:rFonts w:asciiTheme="minorHAnsi" w:hAnsiTheme="minorHAnsi" w:cstheme="minorHAnsi"/>
                <w:b/>
                <w:bCs/>
                <w:sz w:val="22"/>
                <w:u w:val="single"/>
              </w:rPr>
              <w:t xml:space="preserve">  </w:t>
            </w:r>
          </w:p>
        </w:tc>
      </w:tr>
      <w:tr w:rsidR="00BD3F76" w:rsidRPr="002F7AA5" w14:paraId="7C876030" w14:textId="77777777" w:rsidTr="00705040">
        <w:tc>
          <w:tcPr>
            <w:tcW w:w="4508" w:type="dxa"/>
          </w:tcPr>
          <w:p w14:paraId="1E009BDF" w14:textId="77777777" w:rsidR="00BD3F76" w:rsidRPr="002F7AA5" w:rsidRDefault="00BD3F76" w:rsidP="00BD3F76">
            <w:pPr>
              <w:rPr>
                <w:rFonts w:asciiTheme="minorHAnsi" w:hAnsiTheme="minorHAnsi" w:cstheme="minorHAnsi"/>
                <w:sz w:val="22"/>
              </w:rPr>
            </w:pPr>
          </w:p>
        </w:tc>
        <w:tc>
          <w:tcPr>
            <w:tcW w:w="4508" w:type="dxa"/>
          </w:tcPr>
          <w:p w14:paraId="18688372" w14:textId="77777777" w:rsidR="00BD3F76" w:rsidRPr="002F7AA5" w:rsidRDefault="00BD3F76" w:rsidP="00BD3F76">
            <w:pPr>
              <w:rPr>
                <w:rFonts w:asciiTheme="minorHAnsi" w:hAnsiTheme="minorHAnsi" w:cstheme="minorHAnsi"/>
                <w:sz w:val="22"/>
              </w:rPr>
            </w:pPr>
          </w:p>
        </w:tc>
      </w:tr>
      <w:tr w:rsidR="002547AE" w:rsidRPr="002F7AA5" w14:paraId="4DDF3BAE" w14:textId="77777777" w:rsidTr="00705040">
        <w:tc>
          <w:tcPr>
            <w:tcW w:w="4508" w:type="dxa"/>
          </w:tcPr>
          <w:p w14:paraId="7081FEFB" w14:textId="10FA8181" w:rsidR="002547AE" w:rsidRPr="00EB6D2B" w:rsidRDefault="002547AE" w:rsidP="00C15F53">
            <w:pPr>
              <w:jc w:val="both"/>
              <w:rPr>
                <w:rFonts w:asciiTheme="minorHAnsi" w:hAnsiTheme="minorHAnsi" w:cstheme="minorHAnsi"/>
                <w:sz w:val="22"/>
                <w:lang w:val="fr-BE"/>
              </w:rPr>
            </w:pPr>
            <w:r w:rsidRPr="00C15F53">
              <w:rPr>
                <w:rFonts w:asciiTheme="minorHAnsi" w:hAnsiTheme="minorHAnsi" w:cstheme="minorHAnsi"/>
                <w:spacing w:val="-3"/>
                <w:sz w:val="22"/>
                <w:lang w:val="fr-FR"/>
              </w:rPr>
              <w:t>La durée de conservation de 12 mois a été maintenue, dès lors que cette durée correspond à la durée de conservation strictement nécessaire pour permettre aux autorités de mener à bien leurs enquêtes, en particulier en matière de lutte contre la criminalité grave.</w:t>
            </w:r>
          </w:p>
        </w:tc>
        <w:tc>
          <w:tcPr>
            <w:tcW w:w="4508" w:type="dxa"/>
          </w:tcPr>
          <w:p w14:paraId="461FD29A" w14:textId="7546EAA8" w:rsidR="002547AE" w:rsidRPr="00C15F53" w:rsidRDefault="002547AE" w:rsidP="00C15F53">
            <w:pPr>
              <w:jc w:val="both"/>
              <w:rPr>
                <w:rFonts w:asciiTheme="minorHAnsi" w:hAnsiTheme="minorHAnsi" w:cstheme="minorHAnsi"/>
                <w:sz w:val="22"/>
              </w:rPr>
            </w:pPr>
            <w:r w:rsidRPr="00C15F53">
              <w:rPr>
                <w:rFonts w:asciiTheme="minorHAnsi" w:hAnsiTheme="minorHAnsi" w:cstheme="minorHAnsi"/>
                <w:spacing w:val="-3"/>
                <w:sz w:val="22"/>
              </w:rPr>
              <w:t>De bewaringstermijn van 12 maanden werd behouden, aangezien deze termijn overeenstemt met de strikt noodzakelijke bewaringstermijn om de autoriteiten in staat te stellen om hun onderzoeken tot een goed einde te brengen, in het bijzonder op het stuk van de strijd tegen de zware criminaliteit.</w:t>
            </w:r>
          </w:p>
        </w:tc>
      </w:tr>
      <w:tr w:rsidR="002547AE" w:rsidRPr="002F7AA5" w14:paraId="5149A512" w14:textId="77777777" w:rsidTr="00705040">
        <w:tc>
          <w:tcPr>
            <w:tcW w:w="4508" w:type="dxa"/>
          </w:tcPr>
          <w:p w14:paraId="080164F8" w14:textId="77777777" w:rsidR="002547AE" w:rsidRPr="00C15F53" w:rsidRDefault="002547AE" w:rsidP="00C15F53">
            <w:pPr>
              <w:jc w:val="both"/>
              <w:rPr>
                <w:rFonts w:asciiTheme="minorHAnsi" w:hAnsiTheme="minorHAnsi" w:cstheme="minorHAnsi"/>
                <w:sz w:val="22"/>
              </w:rPr>
            </w:pPr>
          </w:p>
        </w:tc>
        <w:tc>
          <w:tcPr>
            <w:tcW w:w="4508" w:type="dxa"/>
          </w:tcPr>
          <w:p w14:paraId="388B4101" w14:textId="77777777" w:rsidR="002547AE" w:rsidRPr="00C15F53" w:rsidRDefault="002547AE" w:rsidP="00C15F53">
            <w:pPr>
              <w:jc w:val="both"/>
              <w:rPr>
                <w:rFonts w:asciiTheme="minorHAnsi" w:hAnsiTheme="minorHAnsi" w:cstheme="minorHAnsi"/>
                <w:sz w:val="22"/>
              </w:rPr>
            </w:pPr>
          </w:p>
        </w:tc>
      </w:tr>
      <w:tr w:rsidR="002547AE" w:rsidRPr="002F7AA5" w14:paraId="4B96D2E8" w14:textId="77777777" w:rsidTr="00705040">
        <w:tc>
          <w:tcPr>
            <w:tcW w:w="4508" w:type="dxa"/>
          </w:tcPr>
          <w:p w14:paraId="114E77FD" w14:textId="1ABB99E8" w:rsidR="002547AE" w:rsidRPr="00EB6D2B" w:rsidRDefault="002547AE" w:rsidP="00C15F53">
            <w:pPr>
              <w:jc w:val="both"/>
              <w:rPr>
                <w:rFonts w:asciiTheme="minorHAnsi" w:hAnsiTheme="minorHAnsi" w:cstheme="minorHAnsi"/>
                <w:sz w:val="22"/>
                <w:lang w:val="fr-BE"/>
              </w:rPr>
            </w:pPr>
            <w:r w:rsidRPr="00C15F53">
              <w:rPr>
                <w:rFonts w:asciiTheme="minorHAnsi" w:hAnsiTheme="minorHAnsi" w:cstheme="minorHAnsi"/>
                <w:spacing w:val="-3"/>
                <w:sz w:val="22"/>
                <w:lang w:val="fr-FR"/>
              </w:rPr>
              <w:t xml:space="preserve">Cependant, une distinction est effectuée entre l’adresse IP utilisée pour souscrire au service et les autres adresses IP. En effet, l’adresse IP utilisée pour souscrire au service est une donnée que l’opérateur doit conserver afin de pouvoir vérifier l’identité de l’abonné (conservation jusqu’à 12 mois après la fin du contrat). Les autres adresses IP, soit les adresses IP à la source de la communication, sont conservées dans le cadre de l’article 126 jusqu’à 12 mois après la fin de la session. </w:t>
            </w:r>
          </w:p>
        </w:tc>
        <w:tc>
          <w:tcPr>
            <w:tcW w:w="4508" w:type="dxa"/>
          </w:tcPr>
          <w:p w14:paraId="0A5DCD3A" w14:textId="2A0C232A" w:rsidR="002547AE" w:rsidRPr="00C15F53" w:rsidRDefault="002547AE" w:rsidP="00C15F53">
            <w:pPr>
              <w:jc w:val="both"/>
              <w:rPr>
                <w:rFonts w:asciiTheme="minorHAnsi" w:hAnsiTheme="minorHAnsi" w:cstheme="minorHAnsi"/>
                <w:sz w:val="22"/>
              </w:rPr>
            </w:pPr>
            <w:r w:rsidRPr="00C15F53">
              <w:rPr>
                <w:rFonts w:asciiTheme="minorHAnsi" w:hAnsiTheme="minorHAnsi" w:cstheme="minorHAnsi"/>
                <w:sz w:val="22"/>
              </w:rPr>
              <w:t>Er wordt evenwel een onderscheid gemaakt tussen het IP-adres dat gebruikt is om op de dienst in te tekenen en de overige IP-adressen. Het IP-adres dat gebruikt is om in te tekenen op de dienst is immers een gegeven dat door de operator moet worden bewaard om de identiteit van de abonnee te kunnen verifiëren (bewaring tot 12 maanden na het einde van het contract). De overige IP-adressen, namelijk de IP-adressen aan de bron van de communicatie, worden in het kader van artikel 126 bewaard tot 12 maanden na het einde van de sessie.</w:t>
            </w:r>
          </w:p>
        </w:tc>
      </w:tr>
      <w:tr w:rsidR="002547AE" w:rsidRPr="002F7AA5" w14:paraId="0344729F" w14:textId="77777777" w:rsidTr="00705040">
        <w:tc>
          <w:tcPr>
            <w:tcW w:w="4508" w:type="dxa"/>
          </w:tcPr>
          <w:p w14:paraId="7425E7E5" w14:textId="77777777" w:rsidR="002547AE" w:rsidRPr="00C15F53" w:rsidRDefault="002547AE" w:rsidP="00C15F53">
            <w:pPr>
              <w:jc w:val="both"/>
              <w:rPr>
                <w:rFonts w:asciiTheme="minorHAnsi" w:hAnsiTheme="minorHAnsi" w:cstheme="minorHAnsi"/>
                <w:sz w:val="22"/>
              </w:rPr>
            </w:pPr>
          </w:p>
        </w:tc>
        <w:tc>
          <w:tcPr>
            <w:tcW w:w="4508" w:type="dxa"/>
          </w:tcPr>
          <w:p w14:paraId="6D3E1F52" w14:textId="77777777" w:rsidR="002547AE" w:rsidRPr="00C15F53" w:rsidRDefault="002547AE" w:rsidP="00C15F53">
            <w:pPr>
              <w:jc w:val="both"/>
              <w:rPr>
                <w:rFonts w:asciiTheme="minorHAnsi" w:hAnsiTheme="minorHAnsi" w:cstheme="minorHAnsi"/>
                <w:sz w:val="22"/>
              </w:rPr>
            </w:pPr>
          </w:p>
        </w:tc>
      </w:tr>
      <w:tr w:rsidR="002547AE" w:rsidRPr="002F7AA5" w14:paraId="775CA627" w14:textId="77777777" w:rsidTr="00705040">
        <w:tc>
          <w:tcPr>
            <w:tcW w:w="4508" w:type="dxa"/>
          </w:tcPr>
          <w:p w14:paraId="73EDEB8A" w14:textId="0F21918E" w:rsidR="002547AE" w:rsidRPr="00C15F53" w:rsidRDefault="002547AE" w:rsidP="00C15F53">
            <w:pPr>
              <w:jc w:val="both"/>
              <w:rPr>
                <w:rFonts w:asciiTheme="minorHAnsi" w:hAnsiTheme="minorHAnsi" w:cstheme="minorHAnsi"/>
                <w:sz w:val="22"/>
              </w:rPr>
            </w:pPr>
            <w:r w:rsidRPr="00C15F53">
              <w:rPr>
                <w:rFonts w:asciiTheme="minorHAnsi" w:hAnsiTheme="minorHAnsi" w:cstheme="minorHAnsi"/>
                <w:sz w:val="22"/>
                <w:lang w:val="fr-BE"/>
              </w:rPr>
              <w:t xml:space="preserve">Lors de la consultation publique sur l’avant-projet de loi, certains opérateurs ont indiqué que la durée de conservation des adresses MAC, du numéro IMEI et d’autres numéros qui permettent d’identifier l’équipement terminal devait être identique à la durée de conservation des adresses IP (autres que l’adresse IP ayant servi à la souscription du service) et donc être plus courte que douze mois après la fin du contrat. Ces opérateurs indiquent que leurs clients peuvent utiliser de multiples adresses MAC sur une courte période de temps et que la conservation de ces données risque de générer un volume de données significatif. Cette remarque a été prise en compte. </w:t>
            </w:r>
          </w:p>
        </w:tc>
        <w:tc>
          <w:tcPr>
            <w:tcW w:w="4508" w:type="dxa"/>
          </w:tcPr>
          <w:p w14:paraId="09720CAB" w14:textId="15D9A152" w:rsidR="002547AE" w:rsidRPr="00C15F53" w:rsidRDefault="002547AE" w:rsidP="00C15F53">
            <w:pPr>
              <w:jc w:val="both"/>
              <w:rPr>
                <w:rFonts w:asciiTheme="minorHAnsi" w:hAnsiTheme="minorHAnsi" w:cstheme="minorHAnsi"/>
                <w:sz w:val="22"/>
              </w:rPr>
            </w:pPr>
            <w:r w:rsidRPr="00C15F53">
              <w:rPr>
                <w:rFonts w:asciiTheme="minorHAnsi" w:hAnsiTheme="minorHAnsi" w:cstheme="minorHAnsi"/>
                <w:sz w:val="22"/>
              </w:rPr>
              <w:t>Tijdens de openbare raadpleging over het voorontwerp van wet, hebben sommige operatoren laten weten dat de bewaartermijn van de MAC-adressen, van het IMEI-nummer en van andere nummers aan de hand waarvan het eindapparaat geïdentificeerd kan worden, identiek moest zijn aan de bewaartermijn van de IP-adressen (andere dan het IP-adres dat gediend heeft voor de intekening op de dienst) en dus korter moet zijn dan twaalf maanden na het einde van het contract. Deze operatoren geven aan dat hun klanten op korte tijd talrijke MAC-adressen kunnen gebruiken en dat de bewaring van deze gegevens riskeert een aanzienlijk datavolume te doen ontstaan. Met die opmerking is rekening gehouden.</w:t>
            </w:r>
          </w:p>
        </w:tc>
      </w:tr>
      <w:tr w:rsidR="002547AE" w:rsidRPr="002F7AA5" w14:paraId="5BB7B80A" w14:textId="77777777" w:rsidTr="00705040">
        <w:tc>
          <w:tcPr>
            <w:tcW w:w="4508" w:type="dxa"/>
          </w:tcPr>
          <w:p w14:paraId="385F228D" w14:textId="77777777" w:rsidR="002547AE" w:rsidRPr="002F7AA5" w:rsidRDefault="002547AE" w:rsidP="002547AE">
            <w:pPr>
              <w:rPr>
                <w:rFonts w:asciiTheme="minorHAnsi" w:hAnsiTheme="minorHAnsi" w:cstheme="minorHAnsi"/>
                <w:sz w:val="22"/>
              </w:rPr>
            </w:pPr>
          </w:p>
        </w:tc>
        <w:tc>
          <w:tcPr>
            <w:tcW w:w="4508" w:type="dxa"/>
          </w:tcPr>
          <w:p w14:paraId="34BD42C8" w14:textId="77777777" w:rsidR="002547AE" w:rsidRPr="002F7AA5" w:rsidRDefault="002547AE" w:rsidP="002547AE">
            <w:pPr>
              <w:rPr>
                <w:rFonts w:asciiTheme="minorHAnsi" w:hAnsiTheme="minorHAnsi" w:cstheme="minorHAnsi"/>
                <w:sz w:val="22"/>
              </w:rPr>
            </w:pPr>
          </w:p>
        </w:tc>
      </w:tr>
      <w:tr w:rsidR="00A82A7E" w:rsidRPr="002F7AA5" w14:paraId="34D2EABA" w14:textId="77777777" w:rsidTr="00705040">
        <w:tc>
          <w:tcPr>
            <w:tcW w:w="4508" w:type="dxa"/>
          </w:tcPr>
          <w:p w14:paraId="321C391E" w14:textId="262E1F0B" w:rsidR="00A82A7E" w:rsidRPr="00A82A7E" w:rsidRDefault="00056D8A" w:rsidP="00C462D9">
            <w:pPr>
              <w:pStyle w:val="Kop1"/>
              <w:outlineLvl w:val="0"/>
            </w:pPr>
            <w:bookmarkStart w:id="52" w:name="_Toc96614950"/>
            <w:r w:rsidRPr="00056D8A">
              <w:t xml:space="preserve">Amendement </w:t>
            </w:r>
            <w:r w:rsidR="00A82A7E" w:rsidRPr="00A82A7E">
              <w:rPr>
                <w:rFonts w:eastAsia="Times New Roman"/>
                <w:lang w:val="fr-FR" w:eastAsia="fr-FR"/>
              </w:rPr>
              <w:t xml:space="preserve">n° </w:t>
            </w:r>
            <w:r w:rsidR="00A82A7E">
              <w:rPr>
                <w:rFonts w:eastAsia="Times New Roman"/>
                <w:lang w:val="fr-FR" w:eastAsia="fr-FR"/>
              </w:rPr>
              <w:t>2</w:t>
            </w:r>
            <w:bookmarkEnd w:id="52"/>
          </w:p>
        </w:tc>
        <w:tc>
          <w:tcPr>
            <w:tcW w:w="4508" w:type="dxa"/>
          </w:tcPr>
          <w:p w14:paraId="7FC7F36F" w14:textId="5410895D" w:rsidR="00A82A7E" w:rsidRPr="00A82A7E" w:rsidRDefault="00A82A7E" w:rsidP="00C462D9">
            <w:pPr>
              <w:pStyle w:val="Kop1"/>
              <w:outlineLvl w:val="0"/>
            </w:pPr>
            <w:bookmarkStart w:id="53" w:name="_Toc96614951"/>
            <w:r w:rsidRPr="00A82A7E">
              <w:rPr>
                <w:rFonts w:eastAsia="Times New Roman"/>
                <w:lang w:eastAsia="fr-FR"/>
              </w:rPr>
              <w:t xml:space="preserve">Amendement nr. </w:t>
            </w:r>
            <w:r>
              <w:rPr>
                <w:rFonts w:eastAsia="Times New Roman"/>
                <w:lang w:eastAsia="fr-FR"/>
              </w:rPr>
              <w:t>2</w:t>
            </w:r>
            <w:bookmarkEnd w:id="53"/>
          </w:p>
        </w:tc>
      </w:tr>
      <w:tr w:rsidR="00A82A7E" w:rsidRPr="002F7AA5" w14:paraId="63BDC0A0" w14:textId="77777777" w:rsidTr="00705040">
        <w:tc>
          <w:tcPr>
            <w:tcW w:w="4508" w:type="dxa"/>
          </w:tcPr>
          <w:p w14:paraId="60FC306B" w14:textId="77777777" w:rsidR="00A82A7E" w:rsidRPr="00056D8A" w:rsidRDefault="00A82A7E" w:rsidP="00A82A7E">
            <w:pPr>
              <w:jc w:val="center"/>
              <w:rPr>
                <w:rFonts w:asciiTheme="minorHAnsi" w:eastAsia="Times New Roman" w:hAnsiTheme="minorHAnsi" w:cstheme="minorHAnsi"/>
                <w:b/>
                <w:bCs/>
                <w:sz w:val="22"/>
                <w:lang w:eastAsia="fr-FR"/>
              </w:rPr>
            </w:pPr>
          </w:p>
        </w:tc>
        <w:tc>
          <w:tcPr>
            <w:tcW w:w="4508" w:type="dxa"/>
          </w:tcPr>
          <w:p w14:paraId="45DA5362" w14:textId="77777777" w:rsidR="00A82A7E" w:rsidRPr="00A82A7E" w:rsidRDefault="00A82A7E" w:rsidP="00A82A7E">
            <w:pPr>
              <w:jc w:val="center"/>
              <w:rPr>
                <w:rFonts w:asciiTheme="minorHAnsi" w:eastAsia="Times New Roman" w:hAnsiTheme="minorHAnsi" w:cstheme="minorHAnsi"/>
                <w:b/>
                <w:sz w:val="22"/>
                <w:lang w:eastAsia="fr-FR"/>
              </w:rPr>
            </w:pPr>
          </w:p>
        </w:tc>
      </w:tr>
      <w:tr w:rsidR="00A82A7E" w:rsidRPr="002F7AA5" w14:paraId="46E93100" w14:textId="77777777" w:rsidTr="00705040">
        <w:tc>
          <w:tcPr>
            <w:tcW w:w="4508" w:type="dxa"/>
          </w:tcPr>
          <w:p w14:paraId="53DD8D67" w14:textId="49313066" w:rsidR="00A82A7E" w:rsidRPr="00A82A7E" w:rsidRDefault="00A82A7E" w:rsidP="00A82A7E">
            <w:pPr>
              <w:jc w:val="center"/>
              <w:rPr>
                <w:rFonts w:asciiTheme="minorHAnsi" w:hAnsiTheme="minorHAnsi" w:cstheme="minorHAnsi"/>
                <w:sz w:val="22"/>
              </w:rPr>
            </w:pPr>
            <w:r w:rsidRPr="00A82A7E">
              <w:rPr>
                <w:rFonts w:asciiTheme="minorHAnsi" w:eastAsia="Times New Roman" w:hAnsiTheme="minorHAnsi" w:cstheme="minorHAnsi"/>
                <w:b/>
                <w:bCs/>
                <w:sz w:val="22"/>
                <w:lang w:val="fr-FR" w:eastAsia="fr-FR"/>
              </w:rPr>
              <w:t>Article 9</w:t>
            </w:r>
          </w:p>
        </w:tc>
        <w:tc>
          <w:tcPr>
            <w:tcW w:w="4508" w:type="dxa"/>
          </w:tcPr>
          <w:p w14:paraId="75869403" w14:textId="7F1AA2ED" w:rsidR="00A82A7E" w:rsidRPr="00A82A7E" w:rsidRDefault="00A82A7E" w:rsidP="00A82A7E">
            <w:pPr>
              <w:jc w:val="center"/>
              <w:rPr>
                <w:rFonts w:asciiTheme="minorHAnsi" w:hAnsiTheme="minorHAnsi" w:cstheme="minorHAnsi"/>
                <w:sz w:val="22"/>
              </w:rPr>
            </w:pPr>
            <w:r w:rsidRPr="00A82A7E">
              <w:rPr>
                <w:rFonts w:asciiTheme="minorHAnsi" w:eastAsia="Times New Roman" w:hAnsiTheme="minorHAnsi" w:cstheme="minorHAnsi"/>
                <w:b/>
                <w:sz w:val="22"/>
                <w:lang w:eastAsia="fr-FR"/>
              </w:rPr>
              <w:t>Artikel 9</w:t>
            </w:r>
          </w:p>
        </w:tc>
      </w:tr>
      <w:tr w:rsidR="00A82A7E" w:rsidRPr="002F7AA5" w14:paraId="18582307" w14:textId="77777777" w:rsidTr="00705040">
        <w:tc>
          <w:tcPr>
            <w:tcW w:w="4508" w:type="dxa"/>
          </w:tcPr>
          <w:p w14:paraId="375AF9AC" w14:textId="77777777" w:rsidR="00A82A7E" w:rsidRPr="00A82A7E" w:rsidRDefault="00A82A7E" w:rsidP="00A82A7E">
            <w:pPr>
              <w:jc w:val="center"/>
              <w:rPr>
                <w:rFonts w:asciiTheme="minorHAnsi" w:eastAsia="Times New Roman" w:hAnsiTheme="minorHAnsi" w:cstheme="minorHAnsi"/>
                <w:b/>
                <w:bCs/>
                <w:sz w:val="22"/>
                <w:lang w:val="fr-FR" w:eastAsia="fr-FR"/>
              </w:rPr>
            </w:pPr>
          </w:p>
        </w:tc>
        <w:tc>
          <w:tcPr>
            <w:tcW w:w="4508" w:type="dxa"/>
          </w:tcPr>
          <w:p w14:paraId="382902AB" w14:textId="77777777" w:rsidR="00A82A7E" w:rsidRPr="00A82A7E" w:rsidRDefault="00A82A7E" w:rsidP="00A82A7E">
            <w:pPr>
              <w:jc w:val="center"/>
              <w:rPr>
                <w:rFonts w:asciiTheme="minorHAnsi" w:eastAsia="Times New Roman" w:hAnsiTheme="minorHAnsi" w:cstheme="minorHAnsi"/>
                <w:b/>
                <w:sz w:val="22"/>
                <w:lang w:eastAsia="fr-FR"/>
              </w:rPr>
            </w:pPr>
          </w:p>
        </w:tc>
      </w:tr>
      <w:tr w:rsidR="00A82A7E" w:rsidRPr="002F7AA5" w14:paraId="5BFB0112" w14:textId="77777777" w:rsidTr="00705040">
        <w:tc>
          <w:tcPr>
            <w:tcW w:w="4508" w:type="dxa"/>
          </w:tcPr>
          <w:p w14:paraId="7B0994DA" w14:textId="3BE95130" w:rsidR="00A82A7E" w:rsidRPr="00EB6D2B" w:rsidRDefault="00A82A7E" w:rsidP="00A82A7E">
            <w:pPr>
              <w:jc w:val="both"/>
              <w:rPr>
                <w:rFonts w:asciiTheme="minorHAnsi" w:hAnsiTheme="minorHAnsi" w:cstheme="minorHAnsi"/>
                <w:sz w:val="22"/>
                <w:lang w:val="fr-BE"/>
              </w:rPr>
            </w:pPr>
            <w:r w:rsidRPr="00A82A7E">
              <w:rPr>
                <w:rFonts w:asciiTheme="minorHAnsi" w:eastAsia="Times New Roman" w:hAnsiTheme="minorHAnsi" w:cstheme="minorHAnsi"/>
                <w:bCs/>
                <w:sz w:val="22"/>
                <w:lang w:val="fr-FR" w:eastAsia="fr-FR"/>
              </w:rPr>
              <w:t>Dans l’article 126/1 proposé, les modifications suivantes sont apportées :</w:t>
            </w:r>
          </w:p>
        </w:tc>
        <w:tc>
          <w:tcPr>
            <w:tcW w:w="4508" w:type="dxa"/>
          </w:tcPr>
          <w:p w14:paraId="39A076D1" w14:textId="00DC7848" w:rsidR="00A82A7E" w:rsidRPr="00A82A7E" w:rsidRDefault="00A82A7E" w:rsidP="00A82A7E">
            <w:pPr>
              <w:jc w:val="both"/>
              <w:rPr>
                <w:rFonts w:asciiTheme="minorHAnsi" w:hAnsiTheme="minorHAnsi" w:cstheme="minorHAnsi"/>
                <w:sz w:val="22"/>
              </w:rPr>
            </w:pPr>
            <w:r w:rsidRPr="00A82A7E">
              <w:rPr>
                <w:rFonts w:asciiTheme="minorHAnsi" w:eastAsia="Times New Roman" w:hAnsiTheme="minorHAnsi" w:cstheme="minorHAnsi"/>
                <w:bCs/>
                <w:sz w:val="22"/>
                <w:lang w:eastAsia="fr-FR"/>
              </w:rPr>
              <w:t>In het voorgestelde artikel 126/1 worden de volgende wijzigingen aangebracht:</w:t>
            </w:r>
          </w:p>
        </w:tc>
      </w:tr>
      <w:tr w:rsidR="00A82A7E" w:rsidRPr="002F7AA5" w14:paraId="7FAD34E7" w14:textId="77777777" w:rsidTr="00705040">
        <w:tc>
          <w:tcPr>
            <w:tcW w:w="4508" w:type="dxa"/>
          </w:tcPr>
          <w:p w14:paraId="476504E0" w14:textId="77777777" w:rsidR="00A82A7E" w:rsidRPr="00A82A7E" w:rsidRDefault="00A82A7E" w:rsidP="00A82A7E">
            <w:pPr>
              <w:jc w:val="both"/>
              <w:rPr>
                <w:rFonts w:asciiTheme="minorHAnsi" w:hAnsiTheme="minorHAnsi" w:cstheme="minorHAnsi"/>
                <w:sz w:val="22"/>
              </w:rPr>
            </w:pPr>
          </w:p>
        </w:tc>
        <w:tc>
          <w:tcPr>
            <w:tcW w:w="4508" w:type="dxa"/>
          </w:tcPr>
          <w:p w14:paraId="0978F074" w14:textId="77777777" w:rsidR="00A82A7E" w:rsidRPr="00A82A7E" w:rsidRDefault="00A82A7E" w:rsidP="00A82A7E">
            <w:pPr>
              <w:jc w:val="both"/>
              <w:rPr>
                <w:rFonts w:asciiTheme="minorHAnsi" w:hAnsiTheme="minorHAnsi" w:cstheme="minorHAnsi"/>
                <w:sz w:val="22"/>
              </w:rPr>
            </w:pPr>
          </w:p>
        </w:tc>
      </w:tr>
      <w:tr w:rsidR="00A82A7E" w:rsidRPr="002F7AA5" w14:paraId="1CB60A58" w14:textId="77777777" w:rsidTr="00705040">
        <w:tc>
          <w:tcPr>
            <w:tcW w:w="4508" w:type="dxa"/>
          </w:tcPr>
          <w:p w14:paraId="32D38CE9" w14:textId="4B6AC822" w:rsidR="00A82A7E" w:rsidRPr="00EB6D2B" w:rsidRDefault="00A82A7E" w:rsidP="00A82A7E">
            <w:pPr>
              <w:jc w:val="both"/>
              <w:rPr>
                <w:rFonts w:asciiTheme="minorHAnsi" w:hAnsiTheme="minorHAnsi" w:cstheme="minorHAnsi"/>
                <w:sz w:val="22"/>
                <w:lang w:val="fr-BE"/>
              </w:rPr>
            </w:pPr>
            <w:r w:rsidRPr="00A82A7E">
              <w:rPr>
                <w:rFonts w:asciiTheme="minorHAnsi" w:eastAsia="Times New Roman" w:hAnsiTheme="minorHAnsi" w:cstheme="minorHAnsi"/>
                <w:b/>
                <w:bCs/>
                <w:sz w:val="22"/>
                <w:lang w:val="fr-FR" w:eastAsia="fr-FR"/>
              </w:rPr>
              <w:t>1°</w:t>
            </w:r>
            <w:r w:rsidRPr="00A82A7E">
              <w:rPr>
                <w:rFonts w:asciiTheme="minorHAnsi" w:eastAsia="Times New Roman" w:hAnsiTheme="minorHAnsi" w:cstheme="minorHAnsi"/>
                <w:bCs/>
                <w:sz w:val="22"/>
                <w:lang w:val="fr-FR" w:eastAsia="fr-FR"/>
              </w:rPr>
              <w:t xml:space="preserve"> le </w:t>
            </w:r>
            <w:r w:rsidR="00E63CBF">
              <w:rPr>
                <w:rFonts w:asciiTheme="minorHAnsi" w:eastAsia="Times New Roman" w:hAnsiTheme="minorHAnsi" w:cstheme="minorHAnsi"/>
                <w:bCs/>
                <w:sz w:val="22"/>
                <w:lang w:val="fr-FR" w:eastAsia="fr-FR"/>
              </w:rPr>
              <w:t xml:space="preserve">paragraphe </w:t>
            </w:r>
            <w:r w:rsidRPr="00A82A7E">
              <w:rPr>
                <w:rFonts w:asciiTheme="minorHAnsi" w:eastAsia="Times New Roman" w:hAnsiTheme="minorHAnsi" w:cstheme="minorHAnsi"/>
                <w:bCs/>
                <w:sz w:val="22"/>
                <w:lang w:val="fr-FR" w:eastAsia="fr-FR"/>
              </w:rPr>
              <w:t>2 de l’article 126/1 en projet est remplacé par ce qui suit :</w:t>
            </w:r>
          </w:p>
        </w:tc>
        <w:tc>
          <w:tcPr>
            <w:tcW w:w="4508" w:type="dxa"/>
          </w:tcPr>
          <w:p w14:paraId="78D19E62" w14:textId="5A8CACC6" w:rsidR="00A82A7E" w:rsidRPr="00A82A7E" w:rsidRDefault="00A82A7E" w:rsidP="00A82A7E">
            <w:pPr>
              <w:jc w:val="both"/>
              <w:rPr>
                <w:rFonts w:asciiTheme="minorHAnsi" w:hAnsiTheme="minorHAnsi" w:cstheme="minorHAnsi"/>
                <w:sz w:val="22"/>
              </w:rPr>
            </w:pPr>
            <w:r w:rsidRPr="00A82A7E">
              <w:rPr>
                <w:rFonts w:asciiTheme="minorHAnsi" w:eastAsia="Times New Roman" w:hAnsiTheme="minorHAnsi" w:cstheme="minorHAnsi"/>
                <w:b/>
                <w:bCs/>
                <w:sz w:val="22"/>
                <w:lang w:eastAsia="fr-FR"/>
              </w:rPr>
              <w:t>1°</w:t>
            </w:r>
            <w:r w:rsidRPr="00A82A7E">
              <w:rPr>
                <w:rFonts w:asciiTheme="minorHAnsi" w:eastAsia="Times New Roman" w:hAnsiTheme="minorHAnsi" w:cstheme="minorHAnsi"/>
                <w:bCs/>
                <w:sz w:val="22"/>
                <w:lang w:eastAsia="fr-FR"/>
              </w:rPr>
              <w:t xml:space="preserve"> </w:t>
            </w:r>
            <w:r w:rsidR="00C462D9">
              <w:rPr>
                <w:rFonts w:asciiTheme="minorHAnsi" w:eastAsia="Times New Roman" w:hAnsiTheme="minorHAnsi" w:cstheme="minorHAnsi"/>
                <w:bCs/>
                <w:sz w:val="22"/>
                <w:lang w:eastAsia="fr-FR"/>
              </w:rPr>
              <w:t>p</w:t>
            </w:r>
            <w:r w:rsidR="00E63CBF">
              <w:rPr>
                <w:rFonts w:asciiTheme="minorHAnsi" w:eastAsia="Times New Roman" w:hAnsiTheme="minorHAnsi" w:cstheme="minorHAnsi"/>
                <w:bCs/>
                <w:sz w:val="22"/>
                <w:lang w:eastAsia="fr-FR"/>
              </w:rPr>
              <w:t>aragraaf</w:t>
            </w:r>
            <w:r w:rsidR="00E63CBF" w:rsidRPr="00A82A7E">
              <w:rPr>
                <w:rFonts w:asciiTheme="minorHAnsi" w:eastAsia="Times New Roman" w:hAnsiTheme="minorHAnsi" w:cstheme="minorHAnsi"/>
                <w:bCs/>
                <w:sz w:val="22"/>
                <w:lang w:eastAsia="fr-FR"/>
              </w:rPr>
              <w:t xml:space="preserve"> </w:t>
            </w:r>
            <w:r w:rsidRPr="00A82A7E">
              <w:rPr>
                <w:rFonts w:asciiTheme="minorHAnsi" w:eastAsia="Times New Roman" w:hAnsiTheme="minorHAnsi" w:cstheme="minorHAnsi"/>
                <w:bCs/>
                <w:sz w:val="22"/>
                <w:lang w:eastAsia="fr-FR"/>
              </w:rPr>
              <w:t>2 van artikel 126/1 in ontwerp wordt vervangen als volgt :</w:t>
            </w:r>
          </w:p>
        </w:tc>
      </w:tr>
      <w:tr w:rsidR="00A82A7E" w:rsidRPr="002F7AA5" w14:paraId="0A19A6E5" w14:textId="77777777" w:rsidTr="00705040">
        <w:tc>
          <w:tcPr>
            <w:tcW w:w="4508" w:type="dxa"/>
          </w:tcPr>
          <w:p w14:paraId="2AE1A195" w14:textId="77777777" w:rsidR="00A82A7E" w:rsidRPr="00EB6D2B" w:rsidRDefault="00A82A7E" w:rsidP="00A82A7E">
            <w:pPr>
              <w:jc w:val="both"/>
              <w:rPr>
                <w:rFonts w:asciiTheme="minorHAnsi" w:eastAsia="Times New Roman" w:hAnsiTheme="minorHAnsi" w:cstheme="minorHAnsi"/>
                <w:b/>
                <w:bCs/>
                <w:sz w:val="22"/>
                <w:lang w:eastAsia="fr-FR"/>
              </w:rPr>
            </w:pPr>
          </w:p>
        </w:tc>
        <w:tc>
          <w:tcPr>
            <w:tcW w:w="4508" w:type="dxa"/>
          </w:tcPr>
          <w:p w14:paraId="2D009324" w14:textId="77777777" w:rsidR="00A82A7E" w:rsidRPr="00A82A7E" w:rsidRDefault="00A82A7E" w:rsidP="00A82A7E">
            <w:pPr>
              <w:jc w:val="both"/>
              <w:rPr>
                <w:rFonts w:asciiTheme="minorHAnsi" w:eastAsia="Times New Roman" w:hAnsiTheme="minorHAnsi" w:cstheme="minorHAnsi"/>
                <w:b/>
                <w:bCs/>
                <w:sz w:val="22"/>
                <w:lang w:eastAsia="fr-FR"/>
              </w:rPr>
            </w:pPr>
          </w:p>
        </w:tc>
      </w:tr>
      <w:tr w:rsidR="00A82A7E" w:rsidRPr="002F7AA5" w14:paraId="2B7F7D62" w14:textId="77777777" w:rsidTr="00705040">
        <w:tc>
          <w:tcPr>
            <w:tcW w:w="4508" w:type="dxa"/>
          </w:tcPr>
          <w:p w14:paraId="0EB78573" w14:textId="0EF8187E" w:rsidR="00A82A7E" w:rsidRPr="00EB6D2B" w:rsidRDefault="00A82A7E" w:rsidP="00A82A7E">
            <w:pPr>
              <w:jc w:val="both"/>
              <w:rPr>
                <w:rFonts w:asciiTheme="minorHAnsi" w:hAnsiTheme="minorHAnsi" w:cstheme="minorHAnsi"/>
                <w:sz w:val="22"/>
                <w:lang w:val="fr-BE"/>
              </w:rPr>
            </w:pPr>
            <w:r w:rsidRPr="00A82A7E">
              <w:rPr>
                <w:rFonts w:asciiTheme="minorHAnsi" w:eastAsia="Times New Roman" w:hAnsiTheme="minorHAnsi" w:cstheme="minorHAnsi"/>
                <w:bCs/>
                <w:sz w:val="22"/>
                <w:lang w:val="fr-FR" w:eastAsia="fr-FR"/>
              </w:rPr>
              <w:t>« </w:t>
            </w:r>
            <w:r w:rsidRPr="00A82A7E">
              <w:rPr>
                <w:rFonts w:asciiTheme="minorHAnsi" w:hAnsiTheme="minorHAnsi" w:cstheme="minorHAnsi"/>
                <w:bCs/>
                <w:sz w:val="22"/>
                <w:lang w:val="fr-FR"/>
              </w:rPr>
              <w:t>§ 2.</w:t>
            </w:r>
            <w:r w:rsidRPr="00A82A7E">
              <w:rPr>
                <w:rFonts w:asciiTheme="minorHAnsi" w:hAnsiTheme="minorHAnsi" w:cstheme="minorHAnsi"/>
                <w:sz w:val="22"/>
                <w:lang w:val="fr-FR"/>
              </w:rPr>
              <w:t xml:space="preserve"> Les métadonnées de communications électroniques, en ce compris les métadonnées pour les appels infructueux, auxquelles s’applique l’obligation de conservation visée au paragraphe 1</w:t>
            </w:r>
            <w:r w:rsidRPr="00A82A7E">
              <w:rPr>
                <w:rFonts w:asciiTheme="minorHAnsi" w:hAnsiTheme="minorHAnsi" w:cstheme="minorHAnsi"/>
                <w:sz w:val="22"/>
                <w:vertAlign w:val="superscript"/>
                <w:lang w:val="fr-FR"/>
              </w:rPr>
              <w:t xml:space="preserve">er </w:t>
            </w:r>
            <w:r w:rsidRPr="00A82A7E">
              <w:rPr>
                <w:rFonts w:asciiTheme="minorHAnsi" w:hAnsiTheme="minorHAnsi" w:cstheme="minorHAnsi"/>
                <w:sz w:val="22"/>
                <w:lang w:val="fr-FR"/>
              </w:rPr>
              <w:t>sont énumérées à l’article 126/2.</w:t>
            </w:r>
            <w:r w:rsidRPr="00A82A7E">
              <w:rPr>
                <w:rFonts w:asciiTheme="minorHAnsi" w:eastAsia="Times New Roman" w:hAnsiTheme="minorHAnsi" w:cstheme="minorHAnsi"/>
                <w:bCs/>
                <w:sz w:val="22"/>
                <w:lang w:val="fr-FR" w:eastAsia="fr-FR"/>
              </w:rPr>
              <w:t> </w:t>
            </w:r>
          </w:p>
        </w:tc>
        <w:tc>
          <w:tcPr>
            <w:tcW w:w="4508" w:type="dxa"/>
          </w:tcPr>
          <w:p w14:paraId="31873816" w14:textId="6FCE423B" w:rsidR="00A82A7E" w:rsidRPr="00A82A7E" w:rsidRDefault="00A82A7E" w:rsidP="00A82A7E">
            <w:pPr>
              <w:jc w:val="both"/>
              <w:rPr>
                <w:rFonts w:asciiTheme="minorHAnsi" w:hAnsiTheme="minorHAnsi" w:cstheme="minorHAnsi"/>
                <w:sz w:val="22"/>
              </w:rPr>
            </w:pPr>
            <w:r w:rsidRPr="00A82A7E">
              <w:rPr>
                <w:rFonts w:asciiTheme="minorHAnsi" w:eastAsia="Times New Roman" w:hAnsiTheme="minorHAnsi" w:cstheme="minorHAnsi"/>
                <w:bCs/>
                <w:sz w:val="22"/>
                <w:lang w:eastAsia="fr-FR"/>
              </w:rPr>
              <w:t xml:space="preserve">“§ 2. </w:t>
            </w:r>
            <w:r w:rsidR="005E2406">
              <w:rPr>
                <w:rFonts w:asciiTheme="minorHAnsi" w:eastAsia="Times New Roman" w:hAnsiTheme="minorHAnsi" w:cstheme="minorHAnsi"/>
                <w:bCs/>
                <w:sz w:val="22"/>
                <w:lang w:eastAsia="fr-FR"/>
              </w:rPr>
              <w:t xml:space="preserve">De </w:t>
            </w:r>
            <w:r w:rsidR="005E2406" w:rsidRPr="003B1E56">
              <w:rPr>
                <w:rFonts w:asciiTheme="minorHAnsi" w:hAnsiTheme="minorHAnsi" w:cstheme="minorHAnsi"/>
                <w:sz w:val="22"/>
              </w:rPr>
              <w:t>elektronische-</w:t>
            </w:r>
            <w:proofErr w:type="spellStart"/>
            <w:r w:rsidR="005E2406" w:rsidRPr="003B1E56">
              <w:rPr>
                <w:rFonts w:asciiTheme="minorHAnsi" w:hAnsiTheme="minorHAnsi" w:cstheme="minorHAnsi"/>
                <w:sz w:val="22"/>
              </w:rPr>
              <w:t>communicatiemetagegevens</w:t>
            </w:r>
            <w:proofErr w:type="spellEnd"/>
            <w:r w:rsidRPr="005E2406">
              <w:rPr>
                <w:rFonts w:asciiTheme="minorHAnsi" w:eastAsia="Times New Roman" w:hAnsiTheme="minorHAnsi" w:cstheme="minorHAnsi"/>
                <w:bCs/>
                <w:sz w:val="22"/>
                <w:lang w:eastAsia="fr-FR"/>
              </w:rPr>
              <w:t>, met inbegrip van de metagegevens voor de oproeppogingen</w:t>
            </w:r>
            <w:r w:rsidRPr="00A82A7E">
              <w:rPr>
                <w:rFonts w:asciiTheme="minorHAnsi" w:eastAsia="Times New Roman" w:hAnsiTheme="minorHAnsi" w:cstheme="minorHAnsi"/>
                <w:bCs/>
                <w:sz w:val="22"/>
                <w:lang w:eastAsia="fr-FR"/>
              </w:rPr>
              <w:t xml:space="preserve"> zonder resultaat, waarop de in paragraaf 1 bedoelde bewaarplicht van toepassing is, worden opgesomd in artikel 126/2.</w:t>
            </w:r>
          </w:p>
        </w:tc>
      </w:tr>
      <w:tr w:rsidR="00A82A7E" w:rsidRPr="002F7AA5" w14:paraId="68BE378B" w14:textId="77777777" w:rsidTr="00705040">
        <w:tc>
          <w:tcPr>
            <w:tcW w:w="4508" w:type="dxa"/>
          </w:tcPr>
          <w:p w14:paraId="54F9E6D3" w14:textId="77777777" w:rsidR="00A82A7E" w:rsidRPr="00A82A7E" w:rsidRDefault="00A82A7E" w:rsidP="00A82A7E">
            <w:pPr>
              <w:jc w:val="both"/>
              <w:rPr>
                <w:rFonts w:asciiTheme="minorHAnsi" w:hAnsiTheme="minorHAnsi" w:cstheme="minorHAnsi"/>
                <w:sz w:val="22"/>
              </w:rPr>
            </w:pPr>
          </w:p>
        </w:tc>
        <w:tc>
          <w:tcPr>
            <w:tcW w:w="4508" w:type="dxa"/>
          </w:tcPr>
          <w:p w14:paraId="12191EC5" w14:textId="78448103" w:rsidR="00A82A7E" w:rsidRPr="00A82A7E" w:rsidRDefault="00A82A7E" w:rsidP="00A82A7E">
            <w:pPr>
              <w:jc w:val="both"/>
              <w:rPr>
                <w:rFonts w:asciiTheme="minorHAnsi" w:hAnsiTheme="minorHAnsi" w:cstheme="minorHAnsi"/>
                <w:sz w:val="22"/>
              </w:rPr>
            </w:pPr>
            <w:r w:rsidRPr="00A82A7E">
              <w:rPr>
                <w:rFonts w:asciiTheme="minorHAnsi" w:hAnsiTheme="minorHAnsi" w:cstheme="minorHAnsi"/>
                <w:sz w:val="22"/>
              </w:rPr>
              <w:t xml:space="preserve"> </w:t>
            </w:r>
          </w:p>
        </w:tc>
      </w:tr>
      <w:tr w:rsidR="00A82A7E" w:rsidRPr="002F7AA5" w14:paraId="3AAFE11F" w14:textId="77777777" w:rsidTr="00705040">
        <w:tc>
          <w:tcPr>
            <w:tcW w:w="4508" w:type="dxa"/>
          </w:tcPr>
          <w:p w14:paraId="6465B060" w14:textId="61CCFB66" w:rsidR="00A82A7E" w:rsidRPr="00EB6D2B" w:rsidRDefault="00A82A7E" w:rsidP="00A82A7E">
            <w:pPr>
              <w:jc w:val="both"/>
              <w:rPr>
                <w:rFonts w:asciiTheme="minorHAnsi" w:hAnsiTheme="minorHAnsi" w:cstheme="minorHAnsi"/>
                <w:sz w:val="22"/>
                <w:lang w:val="fr-BE"/>
              </w:rPr>
            </w:pPr>
            <w:r w:rsidRPr="00A82A7E">
              <w:rPr>
                <w:rFonts w:asciiTheme="minorHAnsi" w:eastAsia="Times New Roman" w:hAnsiTheme="minorHAnsi" w:cstheme="minorHAnsi"/>
                <w:b/>
                <w:bCs/>
                <w:sz w:val="22"/>
                <w:lang w:val="fr-FR" w:eastAsia="fr-FR"/>
              </w:rPr>
              <w:t>2°</w:t>
            </w:r>
            <w:r w:rsidRPr="00A82A7E">
              <w:rPr>
                <w:rFonts w:asciiTheme="minorHAnsi" w:eastAsia="Times New Roman" w:hAnsiTheme="minorHAnsi" w:cstheme="minorHAnsi"/>
                <w:bCs/>
                <w:sz w:val="22"/>
                <w:lang w:val="fr-FR" w:eastAsia="fr-FR"/>
              </w:rPr>
              <w:t xml:space="preserve"> Au </w:t>
            </w:r>
            <w:r w:rsidR="00E63CBF">
              <w:rPr>
                <w:rFonts w:asciiTheme="minorHAnsi" w:eastAsia="Times New Roman" w:hAnsiTheme="minorHAnsi" w:cstheme="minorHAnsi"/>
                <w:bCs/>
                <w:sz w:val="22"/>
                <w:lang w:val="fr-FR" w:eastAsia="fr-FR"/>
              </w:rPr>
              <w:t>paragraphe</w:t>
            </w:r>
            <w:r w:rsidR="00E63CBF" w:rsidRPr="00A82A7E">
              <w:rPr>
                <w:rFonts w:asciiTheme="minorHAnsi" w:eastAsia="Times New Roman" w:hAnsiTheme="minorHAnsi" w:cstheme="minorHAnsi"/>
                <w:bCs/>
                <w:sz w:val="22"/>
                <w:lang w:val="fr-FR" w:eastAsia="fr-FR"/>
              </w:rPr>
              <w:t xml:space="preserve"> </w:t>
            </w:r>
            <w:r w:rsidRPr="00A82A7E">
              <w:rPr>
                <w:rFonts w:asciiTheme="minorHAnsi" w:eastAsia="Times New Roman" w:hAnsiTheme="minorHAnsi" w:cstheme="minorHAnsi"/>
                <w:bCs/>
                <w:sz w:val="22"/>
                <w:lang w:val="fr-FR" w:eastAsia="fr-FR"/>
              </w:rPr>
              <w:t>4, alinéa 4 de l’article 126/1 en projet, les mots «</w:t>
            </w:r>
            <w:r w:rsidRPr="00A82A7E">
              <w:rPr>
                <w:rFonts w:asciiTheme="minorHAnsi" w:hAnsiTheme="minorHAnsi" w:cstheme="minorHAnsi"/>
                <w:sz w:val="22"/>
                <w:lang w:val="fr-FR"/>
              </w:rPr>
              <w:t>dans l’arrêté royal visé au paragraphe 2, alinéa 2 » sont remplacés par les mots «  à l’article 126/2 » ;</w:t>
            </w:r>
          </w:p>
        </w:tc>
        <w:tc>
          <w:tcPr>
            <w:tcW w:w="4508" w:type="dxa"/>
          </w:tcPr>
          <w:p w14:paraId="2C2C4DC2" w14:textId="0FD55F3C" w:rsidR="00A82A7E" w:rsidRPr="00A82A7E" w:rsidRDefault="00A82A7E" w:rsidP="00A82A7E">
            <w:pPr>
              <w:jc w:val="both"/>
              <w:rPr>
                <w:rFonts w:asciiTheme="minorHAnsi" w:hAnsiTheme="minorHAnsi" w:cstheme="minorHAnsi"/>
                <w:sz w:val="22"/>
              </w:rPr>
            </w:pPr>
            <w:r w:rsidRPr="00A82A7E">
              <w:rPr>
                <w:rFonts w:asciiTheme="minorHAnsi" w:eastAsia="Times New Roman" w:hAnsiTheme="minorHAnsi" w:cstheme="minorHAnsi"/>
                <w:b/>
                <w:bCs/>
                <w:sz w:val="22"/>
                <w:lang w:eastAsia="fr-FR"/>
              </w:rPr>
              <w:t>2°</w:t>
            </w:r>
            <w:r w:rsidRPr="00A82A7E">
              <w:rPr>
                <w:rFonts w:asciiTheme="minorHAnsi" w:eastAsia="Times New Roman" w:hAnsiTheme="minorHAnsi" w:cstheme="minorHAnsi"/>
                <w:bCs/>
                <w:sz w:val="22"/>
                <w:lang w:eastAsia="fr-FR"/>
              </w:rPr>
              <w:t xml:space="preserve"> In </w:t>
            </w:r>
            <w:r w:rsidR="00E63CBF">
              <w:rPr>
                <w:rFonts w:asciiTheme="minorHAnsi" w:eastAsia="Times New Roman" w:hAnsiTheme="minorHAnsi" w:cstheme="minorHAnsi"/>
                <w:bCs/>
                <w:sz w:val="22"/>
                <w:lang w:eastAsia="fr-FR"/>
              </w:rPr>
              <w:t xml:space="preserve">paragraaf </w:t>
            </w:r>
            <w:r w:rsidRPr="00A82A7E">
              <w:rPr>
                <w:rFonts w:asciiTheme="minorHAnsi" w:eastAsia="Times New Roman" w:hAnsiTheme="minorHAnsi" w:cstheme="minorHAnsi"/>
                <w:bCs/>
                <w:sz w:val="22"/>
                <w:lang w:eastAsia="fr-FR"/>
              </w:rPr>
              <w:t>4, vierde lid, van artikel 126/1 in ontwerp, worden de woorden “in het koninklijk besluit bedoeld in paragraaf 2, tweede lid” vervangen door de woorden “in artikel 126/2”.</w:t>
            </w:r>
          </w:p>
        </w:tc>
      </w:tr>
      <w:tr w:rsidR="00A82A7E" w:rsidRPr="002F7AA5" w14:paraId="7BD572D3" w14:textId="77777777" w:rsidTr="00705040">
        <w:tc>
          <w:tcPr>
            <w:tcW w:w="4508" w:type="dxa"/>
          </w:tcPr>
          <w:p w14:paraId="085C2D58" w14:textId="77777777" w:rsidR="00A82A7E" w:rsidRPr="00A82A7E" w:rsidRDefault="00A82A7E" w:rsidP="00A82A7E">
            <w:pPr>
              <w:rPr>
                <w:rFonts w:asciiTheme="minorHAnsi" w:hAnsiTheme="minorHAnsi" w:cstheme="minorHAnsi"/>
                <w:sz w:val="22"/>
              </w:rPr>
            </w:pPr>
          </w:p>
        </w:tc>
        <w:tc>
          <w:tcPr>
            <w:tcW w:w="4508" w:type="dxa"/>
          </w:tcPr>
          <w:p w14:paraId="53443C98" w14:textId="77777777" w:rsidR="00A82A7E" w:rsidRPr="00A82A7E" w:rsidRDefault="00A82A7E" w:rsidP="00A82A7E">
            <w:pPr>
              <w:rPr>
                <w:rFonts w:asciiTheme="minorHAnsi" w:hAnsiTheme="minorHAnsi" w:cstheme="minorHAnsi"/>
                <w:sz w:val="22"/>
              </w:rPr>
            </w:pPr>
          </w:p>
        </w:tc>
      </w:tr>
      <w:tr w:rsidR="00A82A7E" w:rsidRPr="002F7AA5" w14:paraId="13E01461" w14:textId="77777777" w:rsidTr="00705040">
        <w:tc>
          <w:tcPr>
            <w:tcW w:w="4508" w:type="dxa"/>
          </w:tcPr>
          <w:p w14:paraId="46A3002A" w14:textId="4DDE039B" w:rsidR="00A82A7E" w:rsidRPr="00A82A7E" w:rsidRDefault="00A82A7E" w:rsidP="00A82A7E">
            <w:pPr>
              <w:jc w:val="center"/>
              <w:rPr>
                <w:rFonts w:asciiTheme="minorHAnsi" w:hAnsiTheme="minorHAnsi" w:cstheme="minorHAnsi"/>
                <w:sz w:val="22"/>
              </w:rPr>
            </w:pPr>
            <w:r w:rsidRPr="00A82A7E">
              <w:rPr>
                <w:rFonts w:asciiTheme="minorHAnsi" w:eastAsia="Times New Roman" w:hAnsiTheme="minorHAnsi" w:cstheme="minorHAnsi"/>
                <w:b/>
                <w:bCs/>
                <w:sz w:val="22"/>
                <w:lang w:val="fr-FR" w:eastAsia="fr-FR"/>
              </w:rPr>
              <w:t>JUSTIFICATION</w:t>
            </w:r>
          </w:p>
        </w:tc>
        <w:tc>
          <w:tcPr>
            <w:tcW w:w="4508" w:type="dxa"/>
          </w:tcPr>
          <w:p w14:paraId="764A1A4E" w14:textId="593D2D78" w:rsidR="00A82A7E" w:rsidRPr="00A82A7E" w:rsidRDefault="00A82A7E" w:rsidP="00A82A7E">
            <w:pPr>
              <w:jc w:val="center"/>
              <w:rPr>
                <w:rFonts w:asciiTheme="minorHAnsi" w:hAnsiTheme="minorHAnsi" w:cstheme="minorHAnsi"/>
                <w:sz w:val="22"/>
              </w:rPr>
            </w:pPr>
            <w:r w:rsidRPr="00A82A7E">
              <w:rPr>
                <w:rFonts w:asciiTheme="minorHAnsi" w:eastAsia="Times New Roman" w:hAnsiTheme="minorHAnsi" w:cstheme="minorHAnsi"/>
                <w:b/>
                <w:sz w:val="22"/>
                <w:lang w:val="fr-BE" w:eastAsia="fr-FR"/>
              </w:rPr>
              <w:t>VERANTWOORDING</w:t>
            </w:r>
          </w:p>
        </w:tc>
      </w:tr>
      <w:tr w:rsidR="00A82A7E" w:rsidRPr="002F7AA5" w14:paraId="2ADE895A" w14:textId="77777777" w:rsidTr="00705040">
        <w:tc>
          <w:tcPr>
            <w:tcW w:w="4508" w:type="dxa"/>
          </w:tcPr>
          <w:p w14:paraId="01DE23D4" w14:textId="77777777" w:rsidR="00A82A7E" w:rsidRPr="00A82A7E" w:rsidRDefault="00A82A7E" w:rsidP="00A82A7E">
            <w:pPr>
              <w:jc w:val="center"/>
              <w:rPr>
                <w:rFonts w:asciiTheme="minorHAnsi" w:eastAsia="Times New Roman" w:hAnsiTheme="minorHAnsi" w:cstheme="minorHAnsi"/>
                <w:b/>
                <w:bCs/>
                <w:sz w:val="22"/>
                <w:lang w:val="fr-FR" w:eastAsia="fr-FR"/>
              </w:rPr>
            </w:pPr>
          </w:p>
        </w:tc>
        <w:tc>
          <w:tcPr>
            <w:tcW w:w="4508" w:type="dxa"/>
          </w:tcPr>
          <w:p w14:paraId="4211405A" w14:textId="77777777" w:rsidR="00A82A7E" w:rsidRPr="00A82A7E" w:rsidRDefault="00A82A7E" w:rsidP="00A82A7E">
            <w:pPr>
              <w:jc w:val="center"/>
              <w:rPr>
                <w:rFonts w:asciiTheme="minorHAnsi" w:eastAsia="Times New Roman" w:hAnsiTheme="minorHAnsi" w:cstheme="minorHAnsi"/>
                <w:b/>
                <w:sz w:val="22"/>
                <w:lang w:val="fr-BE" w:eastAsia="fr-FR"/>
              </w:rPr>
            </w:pPr>
          </w:p>
        </w:tc>
      </w:tr>
      <w:tr w:rsidR="00A82A7E" w:rsidRPr="002F7AA5" w14:paraId="317D55C1" w14:textId="77777777" w:rsidTr="00705040">
        <w:tc>
          <w:tcPr>
            <w:tcW w:w="4508" w:type="dxa"/>
          </w:tcPr>
          <w:p w14:paraId="167A9266" w14:textId="1B063E78" w:rsidR="00A82A7E" w:rsidRPr="00EB6D2B" w:rsidRDefault="00A82A7E" w:rsidP="00A82A7E">
            <w:pPr>
              <w:jc w:val="both"/>
              <w:rPr>
                <w:rFonts w:asciiTheme="minorHAnsi" w:hAnsiTheme="minorHAnsi" w:cstheme="minorHAnsi"/>
                <w:sz w:val="22"/>
                <w:lang w:val="fr-BE"/>
              </w:rPr>
            </w:pPr>
            <w:r w:rsidRPr="00A82A7E">
              <w:rPr>
                <w:rFonts w:asciiTheme="minorHAnsi" w:eastAsia="Times New Roman" w:hAnsiTheme="minorHAnsi" w:cstheme="minorHAnsi"/>
                <w:bCs/>
                <w:sz w:val="22"/>
                <w:lang w:val="fr-FR" w:eastAsia="fr-FR"/>
              </w:rPr>
              <w:t xml:space="preserve">Les présentes modifications effectuées à l’article 9, qui insère un article 126/1 dans la loi du </w:t>
            </w:r>
            <w:r w:rsidRPr="00A82A7E">
              <w:rPr>
                <w:rFonts w:asciiTheme="minorHAnsi" w:hAnsiTheme="minorHAnsi" w:cstheme="minorHAnsi"/>
                <w:sz w:val="22"/>
                <w:lang w:val="fr-FR"/>
              </w:rPr>
              <w:t xml:space="preserve">13 juin 2005 relative aux communications électroniques, </w:t>
            </w:r>
            <w:r w:rsidRPr="00A82A7E">
              <w:rPr>
                <w:rFonts w:asciiTheme="minorHAnsi" w:eastAsia="Times New Roman" w:hAnsiTheme="minorHAnsi" w:cstheme="minorHAnsi"/>
                <w:bCs/>
                <w:sz w:val="22"/>
                <w:lang w:val="fr-FR" w:eastAsia="fr-FR"/>
              </w:rPr>
              <w:t xml:space="preserve">sont une conséquence de l’insertion d’un nouvel article 126/2 dans la même loi, qui énumère les données qui doivent être conservées sur base de l’article 126/1. En effet, il a été décidé, suite à l’arrêt n° 158/2021 du 18 novembre 2021 de la Cour Constitutionnelle, d’énumérer les métadonnées qui doivent être conservées dans la loi plutôt que dans un arrêté royal. Par conséquent, la délégation au Roi qui était prévue à l’article 126/1, § 2, n’a plus de raison d’être. </w:t>
            </w:r>
          </w:p>
        </w:tc>
        <w:tc>
          <w:tcPr>
            <w:tcW w:w="4508" w:type="dxa"/>
          </w:tcPr>
          <w:p w14:paraId="774F1FA1" w14:textId="59974E52" w:rsidR="00A82A7E" w:rsidRPr="00A82A7E" w:rsidRDefault="00A82A7E" w:rsidP="00A82A7E">
            <w:pPr>
              <w:jc w:val="both"/>
              <w:rPr>
                <w:rFonts w:asciiTheme="minorHAnsi" w:hAnsiTheme="minorHAnsi" w:cstheme="minorHAnsi"/>
                <w:sz w:val="22"/>
              </w:rPr>
            </w:pPr>
            <w:r w:rsidRPr="00A82A7E">
              <w:rPr>
                <w:rFonts w:asciiTheme="minorHAnsi" w:eastAsia="Times New Roman" w:hAnsiTheme="minorHAnsi" w:cstheme="minorHAnsi"/>
                <w:sz w:val="22"/>
                <w:lang w:eastAsia="fr-FR"/>
              </w:rPr>
              <w:t xml:space="preserve">De huidige wijzigingen van artikel 9, dat een artikel 126/1 invoegt in de wet van 13 juni 2005 betreffende de elektronische communicatie, zijn een gevolg van de invoeging van een nieuw artikel 126/2 in diezelfde wet, waarin de gegevens worden opgesomd die op grond van artikel 126/1 moeten worden bewaard. Naar aanleiding van arrest nr. 158/2021 van het Grondwettelijk Hof van 18 november 2021 is inderdaad besloten de metagegevens die moeten worden bewaard, in de wet op te nemen in plaats van in een koninklijk besluit. Bijgevolg is de in artikel 126/1, § 2, bedoelde delegatie aan de Koning niet langer nodig. </w:t>
            </w:r>
          </w:p>
        </w:tc>
      </w:tr>
      <w:tr w:rsidR="00A82A7E" w:rsidRPr="002F7AA5" w14:paraId="43399A3C" w14:textId="77777777" w:rsidTr="00705040">
        <w:tc>
          <w:tcPr>
            <w:tcW w:w="4508" w:type="dxa"/>
          </w:tcPr>
          <w:p w14:paraId="304FA71A" w14:textId="77777777" w:rsidR="00A82A7E" w:rsidRPr="00A82A7E" w:rsidRDefault="00A82A7E" w:rsidP="00A82A7E">
            <w:pPr>
              <w:rPr>
                <w:rFonts w:asciiTheme="minorHAnsi" w:hAnsiTheme="minorHAnsi" w:cstheme="minorHAnsi"/>
                <w:sz w:val="22"/>
              </w:rPr>
            </w:pPr>
          </w:p>
        </w:tc>
        <w:tc>
          <w:tcPr>
            <w:tcW w:w="4508" w:type="dxa"/>
          </w:tcPr>
          <w:p w14:paraId="7ACA700D" w14:textId="77777777" w:rsidR="00A82A7E" w:rsidRPr="00A82A7E" w:rsidRDefault="00A82A7E" w:rsidP="00A82A7E">
            <w:pPr>
              <w:rPr>
                <w:rFonts w:asciiTheme="minorHAnsi" w:hAnsiTheme="minorHAnsi" w:cstheme="minorHAnsi"/>
                <w:sz w:val="22"/>
              </w:rPr>
            </w:pPr>
          </w:p>
        </w:tc>
      </w:tr>
      <w:tr w:rsidR="00EB6D2B" w:rsidRPr="002F7AA5" w14:paraId="029FA49A" w14:textId="77777777" w:rsidTr="00705040">
        <w:tc>
          <w:tcPr>
            <w:tcW w:w="4508" w:type="dxa"/>
          </w:tcPr>
          <w:p w14:paraId="13DEBED9" w14:textId="2F905670" w:rsidR="00EB6D2B" w:rsidRPr="00EB6D2B" w:rsidRDefault="00056D8A" w:rsidP="00C462D9">
            <w:pPr>
              <w:pStyle w:val="Kop1"/>
              <w:outlineLvl w:val="0"/>
            </w:pPr>
            <w:bookmarkStart w:id="54" w:name="_Toc96614952"/>
            <w:r w:rsidRPr="00056D8A">
              <w:t xml:space="preserve">Amendement </w:t>
            </w:r>
            <w:r w:rsidR="00EB6D2B" w:rsidRPr="00EB6D2B">
              <w:rPr>
                <w:rFonts w:eastAsia="Times New Roman"/>
                <w:lang w:eastAsia="fr-FR"/>
              </w:rPr>
              <w:t xml:space="preserve">n° </w:t>
            </w:r>
            <w:r w:rsidR="00EB6D2B">
              <w:rPr>
                <w:rFonts w:eastAsia="Times New Roman"/>
                <w:lang w:eastAsia="fr-FR"/>
              </w:rPr>
              <w:t>3</w:t>
            </w:r>
            <w:bookmarkEnd w:id="54"/>
          </w:p>
        </w:tc>
        <w:tc>
          <w:tcPr>
            <w:tcW w:w="4508" w:type="dxa"/>
          </w:tcPr>
          <w:p w14:paraId="634C5682" w14:textId="6307C82E" w:rsidR="00EB6D2B" w:rsidRPr="00EB6D2B" w:rsidRDefault="00EB6D2B" w:rsidP="00C462D9">
            <w:pPr>
              <w:pStyle w:val="Kop1"/>
              <w:outlineLvl w:val="0"/>
            </w:pPr>
            <w:bookmarkStart w:id="55" w:name="_Toc96614953"/>
            <w:r w:rsidRPr="00EB6D2B">
              <w:rPr>
                <w:rFonts w:eastAsia="Times New Roman"/>
                <w:lang w:eastAsia="fr-FR"/>
              </w:rPr>
              <w:t>Amendement</w:t>
            </w:r>
            <w:r w:rsidR="00056D8A">
              <w:rPr>
                <w:rFonts w:eastAsia="Times New Roman"/>
                <w:lang w:eastAsia="fr-FR"/>
              </w:rPr>
              <w:t xml:space="preserve"> </w:t>
            </w:r>
            <w:r w:rsidRPr="00EB6D2B">
              <w:rPr>
                <w:rFonts w:eastAsia="Times New Roman"/>
                <w:lang w:eastAsia="fr-FR"/>
              </w:rPr>
              <w:t xml:space="preserve">nr. </w:t>
            </w:r>
            <w:r>
              <w:rPr>
                <w:rFonts w:eastAsia="Times New Roman"/>
                <w:lang w:eastAsia="fr-FR"/>
              </w:rPr>
              <w:t>3</w:t>
            </w:r>
            <w:bookmarkEnd w:id="55"/>
          </w:p>
        </w:tc>
      </w:tr>
      <w:tr w:rsidR="00EB6D2B" w:rsidRPr="002F7AA5" w14:paraId="04D9E946" w14:textId="77777777" w:rsidTr="00705040">
        <w:tc>
          <w:tcPr>
            <w:tcW w:w="4508" w:type="dxa"/>
          </w:tcPr>
          <w:p w14:paraId="78140A5F" w14:textId="77777777" w:rsidR="00EB6D2B" w:rsidRPr="00EB6D2B" w:rsidRDefault="00EB6D2B" w:rsidP="00EB6D2B">
            <w:pPr>
              <w:jc w:val="center"/>
              <w:rPr>
                <w:rFonts w:asciiTheme="minorHAnsi" w:eastAsia="Times New Roman" w:hAnsiTheme="minorHAnsi" w:cstheme="minorHAnsi"/>
                <w:sz w:val="22"/>
                <w:lang w:eastAsia="fr-FR"/>
              </w:rPr>
            </w:pPr>
          </w:p>
        </w:tc>
        <w:tc>
          <w:tcPr>
            <w:tcW w:w="4508" w:type="dxa"/>
          </w:tcPr>
          <w:p w14:paraId="33DEC936" w14:textId="77777777" w:rsidR="00EB6D2B" w:rsidRPr="00EB6D2B" w:rsidRDefault="00EB6D2B" w:rsidP="00EB6D2B">
            <w:pPr>
              <w:jc w:val="center"/>
              <w:rPr>
                <w:rFonts w:asciiTheme="minorHAnsi" w:eastAsia="Times New Roman" w:hAnsiTheme="minorHAnsi" w:cstheme="minorHAnsi"/>
                <w:sz w:val="22"/>
                <w:lang w:eastAsia="fr-FR"/>
              </w:rPr>
            </w:pPr>
          </w:p>
        </w:tc>
      </w:tr>
      <w:tr w:rsidR="00EB6D2B" w:rsidRPr="002F7AA5" w14:paraId="3EC92611" w14:textId="77777777" w:rsidTr="00705040">
        <w:tc>
          <w:tcPr>
            <w:tcW w:w="4508" w:type="dxa"/>
          </w:tcPr>
          <w:p w14:paraId="71433AB5" w14:textId="71710568" w:rsidR="00EB6D2B" w:rsidRPr="00EB6D2B" w:rsidRDefault="00EB6D2B" w:rsidP="00EB6D2B">
            <w:pPr>
              <w:jc w:val="center"/>
              <w:rPr>
                <w:rFonts w:asciiTheme="minorHAnsi" w:hAnsiTheme="minorHAnsi" w:cstheme="minorHAnsi"/>
                <w:sz w:val="22"/>
              </w:rPr>
            </w:pPr>
            <w:proofErr w:type="spellStart"/>
            <w:r w:rsidRPr="00EB6D2B">
              <w:rPr>
                <w:rFonts w:asciiTheme="minorHAnsi" w:eastAsia="Times New Roman" w:hAnsiTheme="minorHAnsi" w:cstheme="minorHAnsi"/>
                <w:b/>
                <w:bCs/>
                <w:sz w:val="22"/>
                <w:lang w:eastAsia="fr-FR"/>
              </w:rPr>
              <w:t>Article</w:t>
            </w:r>
            <w:proofErr w:type="spellEnd"/>
            <w:r w:rsidRPr="00EB6D2B">
              <w:rPr>
                <w:rFonts w:asciiTheme="minorHAnsi" w:eastAsia="Times New Roman" w:hAnsiTheme="minorHAnsi" w:cstheme="minorHAnsi"/>
                <w:b/>
                <w:bCs/>
                <w:sz w:val="22"/>
                <w:lang w:eastAsia="fr-FR"/>
              </w:rPr>
              <w:t xml:space="preserve"> 9/1</w:t>
            </w:r>
          </w:p>
        </w:tc>
        <w:tc>
          <w:tcPr>
            <w:tcW w:w="4508" w:type="dxa"/>
          </w:tcPr>
          <w:p w14:paraId="3B301602" w14:textId="17E95527" w:rsidR="00EB6D2B" w:rsidRPr="00EB6D2B" w:rsidRDefault="00EB6D2B" w:rsidP="00EB6D2B">
            <w:pPr>
              <w:jc w:val="center"/>
              <w:rPr>
                <w:rFonts w:asciiTheme="minorHAnsi" w:hAnsiTheme="minorHAnsi" w:cstheme="minorHAnsi"/>
                <w:sz w:val="22"/>
              </w:rPr>
            </w:pPr>
            <w:r w:rsidRPr="00EB6D2B">
              <w:rPr>
                <w:rFonts w:asciiTheme="minorHAnsi" w:eastAsia="Times New Roman" w:hAnsiTheme="minorHAnsi" w:cstheme="minorHAnsi"/>
                <w:b/>
                <w:sz w:val="22"/>
                <w:lang w:eastAsia="fr-FR"/>
              </w:rPr>
              <w:t>Artikel 9/1</w:t>
            </w:r>
          </w:p>
        </w:tc>
      </w:tr>
      <w:tr w:rsidR="00EB6D2B" w:rsidRPr="002F7AA5" w14:paraId="5E5B0BC9" w14:textId="77777777" w:rsidTr="00705040">
        <w:tc>
          <w:tcPr>
            <w:tcW w:w="4508" w:type="dxa"/>
          </w:tcPr>
          <w:p w14:paraId="10F25034" w14:textId="77777777" w:rsidR="00EB6D2B" w:rsidRPr="00EB6D2B" w:rsidRDefault="00EB6D2B" w:rsidP="00EB6D2B">
            <w:pPr>
              <w:rPr>
                <w:rFonts w:asciiTheme="minorHAnsi" w:eastAsia="Times New Roman" w:hAnsiTheme="minorHAnsi" w:cstheme="minorHAnsi"/>
                <w:b/>
                <w:bCs/>
                <w:sz w:val="22"/>
                <w:lang w:eastAsia="fr-FR"/>
              </w:rPr>
            </w:pPr>
          </w:p>
        </w:tc>
        <w:tc>
          <w:tcPr>
            <w:tcW w:w="4508" w:type="dxa"/>
          </w:tcPr>
          <w:p w14:paraId="3AFB8646" w14:textId="77777777" w:rsidR="00EB6D2B" w:rsidRPr="00EB6D2B" w:rsidRDefault="00EB6D2B" w:rsidP="00EB6D2B">
            <w:pPr>
              <w:rPr>
                <w:rFonts w:asciiTheme="minorHAnsi" w:eastAsia="Times New Roman" w:hAnsiTheme="minorHAnsi" w:cstheme="minorHAnsi"/>
                <w:b/>
                <w:sz w:val="22"/>
                <w:lang w:eastAsia="fr-FR"/>
              </w:rPr>
            </w:pPr>
          </w:p>
        </w:tc>
      </w:tr>
      <w:tr w:rsidR="00EB6D2B" w:rsidRPr="002F7AA5" w14:paraId="66257E7C" w14:textId="77777777" w:rsidTr="00705040">
        <w:tc>
          <w:tcPr>
            <w:tcW w:w="4508" w:type="dxa"/>
          </w:tcPr>
          <w:p w14:paraId="45C61DC3" w14:textId="6D748212" w:rsidR="00EB6D2B" w:rsidRPr="00EB6D2B" w:rsidRDefault="00EB6D2B" w:rsidP="00515994">
            <w:pPr>
              <w:jc w:val="both"/>
              <w:rPr>
                <w:rFonts w:asciiTheme="minorHAnsi" w:hAnsiTheme="minorHAnsi" w:cstheme="minorHAnsi"/>
                <w:sz w:val="22"/>
                <w:lang w:val="fr-BE"/>
              </w:rPr>
            </w:pPr>
            <w:r w:rsidRPr="00EB6D2B">
              <w:rPr>
                <w:rFonts w:asciiTheme="minorHAnsi" w:eastAsia="Times New Roman" w:hAnsiTheme="minorHAnsi" w:cstheme="minorHAnsi"/>
                <w:bCs/>
                <w:sz w:val="22"/>
                <w:lang w:val="fr-FR" w:eastAsia="fr-FR"/>
              </w:rPr>
              <w:t xml:space="preserve">Insérer un article 9/1, rédigé comme suit : </w:t>
            </w:r>
          </w:p>
        </w:tc>
        <w:tc>
          <w:tcPr>
            <w:tcW w:w="4508" w:type="dxa"/>
          </w:tcPr>
          <w:p w14:paraId="5C709589" w14:textId="29AEE2A1" w:rsidR="00EB6D2B" w:rsidRPr="00EB6D2B" w:rsidRDefault="00EB6D2B" w:rsidP="00515994">
            <w:pPr>
              <w:jc w:val="both"/>
              <w:rPr>
                <w:rFonts w:asciiTheme="minorHAnsi" w:hAnsiTheme="minorHAnsi" w:cstheme="minorHAnsi"/>
                <w:sz w:val="22"/>
              </w:rPr>
            </w:pPr>
            <w:r w:rsidRPr="00EB6D2B">
              <w:rPr>
                <w:rFonts w:asciiTheme="minorHAnsi" w:eastAsia="Times New Roman" w:hAnsiTheme="minorHAnsi" w:cstheme="minorHAnsi"/>
                <w:sz w:val="22"/>
                <w:lang w:eastAsia="fr-FR"/>
              </w:rPr>
              <w:t>Een artikel 9/1 invoegen, luidende:</w:t>
            </w:r>
          </w:p>
        </w:tc>
      </w:tr>
      <w:tr w:rsidR="00EB6D2B" w:rsidRPr="002F7AA5" w14:paraId="44253EE5" w14:textId="77777777" w:rsidTr="00705040">
        <w:tc>
          <w:tcPr>
            <w:tcW w:w="4508" w:type="dxa"/>
          </w:tcPr>
          <w:p w14:paraId="7CE07F96" w14:textId="77777777" w:rsidR="00EB6D2B" w:rsidRPr="00EB6D2B" w:rsidRDefault="00EB6D2B" w:rsidP="00EB6D2B">
            <w:pPr>
              <w:rPr>
                <w:rFonts w:asciiTheme="minorHAnsi" w:eastAsia="Times New Roman" w:hAnsiTheme="minorHAnsi" w:cstheme="minorHAnsi"/>
                <w:bCs/>
                <w:sz w:val="22"/>
                <w:lang w:val="fr-FR" w:eastAsia="fr-FR"/>
              </w:rPr>
            </w:pPr>
          </w:p>
        </w:tc>
        <w:tc>
          <w:tcPr>
            <w:tcW w:w="4508" w:type="dxa"/>
          </w:tcPr>
          <w:p w14:paraId="4B8B9022" w14:textId="77777777" w:rsidR="00EB6D2B" w:rsidRPr="00EB6D2B" w:rsidRDefault="00EB6D2B" w:rsidP="00EB6D2B">
            <w:pPr>
              <w:rPr>
                <w:rFonts w:asciiTheme="minorHAnsi" w:eastAsia="Times New Roman" w:hAnsiTheme="minorHAnsi" w:cstheme="minorHAnsi"/>
                <w:sz w:val="22"/>
                <w:lang w:eastAsia="fr-FR"/>
              </w:rPr>
            </w:pPr>
          </w:p>
        </w:tc>
      </w:tr>
      <w:tr w:rsidR="00EB6D2B" w:rsidRPr="002F7AA5" w14:paraId="64216D7E" w14:textId="77777777" w:rsidTr="00705040">
        <w:tc>
          <w:tcPr>
            <w:tcW w:w="4508" w:type="dxa"/>
          </w:tcPr>
          <w:p w14:paraId="47725375" w14:textId="3538F828" w:rsidR="00EB6D2B" w:rsidRPr="00EB6D2B" w:rsidRDefault="00EB6D2B" w:rsidP="00515994">
            <w:pPr>
              <w:jc w:val="both"/>
              <w:rPr>
                <w:rFonts w:asciiTheme="minorHAnsi" w:hAnsiTheme="minorHAnsi" w:cstheme="minorHAnsi"/>
                <w:sz w:val="22"/>
                <w:lang w:val="fr-BE"/>
              </w:rPr>
            </w:pPr>
            <w:r w:rsidRPr="00EB6D2B">
              <w:rPr>
                <w:rFonts w:asciiTheme="minorHAnsi" w:eastAsia="Times New Roman" w:hAnsiTheme="minorHAnsi" w:cstheme="minorHAnsi"/>
                <w:bCs/>
                <w:sz w:val="22"/>
                <w:lang w:val="fr-FR" w:eastAsia="fr-FR"/>
              </w:rPr>
              <w:t xml:space="preserve">« Art. 9/1. </w:t>
            </w:r>
            <w:r w:rsidRPr="00EB6D2B">
              <w:rPr>
                <w:rFonts w:asciiTheme="minorHAnsi" w:hAnsiTheme="minorHAnsi" w:cstheme="minorHAnsi"/>
                <w:sz w:val="22"/>
                <w:lang w:val="fr-FR"/>
              </w:rPr>
              <w:t>Dans la même loi, un article 126/2 est inséré, rédigé comme suit :</w:t>
            </w:r>
          </w:p>
        </w:tc>
        <w:tc>
          <w:tcPr>
            <w:tcW w:w="4508" w:type="dxa"/>
          </w:tcPr>
          <w:p w14:paraId="07F88560" w14:textId="6594DCD0" w:rsidR="00EB6D2B" w:rsidRPr="00EB6D2B" w:rsidRDefault="00EB6D2B" w:rsidP="00515994">
            <w:pPr>
              <w:jc w:val="both"/>
              <w:rPr>
                <w:rFonts w:asciiTheme="minorHAnsi" w:hAnsiTheme="minorHAnsi" w:cstheme="minorHAnsi"/>
                <w:sz w:val="22"/>
              </w:rPr>
            </w:pPr>
            <w:r w:rsidRPr="00EB6D2B">
              <w:rPr>
                <w:rFonts w:asciiTheme="minorHAnsi" w:eastAsia="Times New Roman" w:hAnsiTheme="minorHAnsi" w:cstheme="minorHAnsi"/>
                <w:sz w:val="22"/>
                <w:lang w:eastAsia="fr-FR"/>
              </w:rPr>
              <w:t>“Art. 9/1. In dezelfde wet wordt een artikel 126/2 ingevoegd, luidende:</w:t>
            </w:r>
          </w:p>
        </w:tc>
      </w:tr>
      <w:tr w:rsidR="00EB6D2B" w:rsidRPr="002F7AA5" w14:paraId="4D30B87C" w14:textId="77777777" w:rsidTr="00705040">
        <w:tc>
          <w:tcPr>
            <w:tcW w:w="4508" w:type="dxa"/>
          </w:tcPr>
          <w:p w14:paraId="0FE305A4" w14:textId="77777777" w:rsidR="00EB6D2B" w:rsidRPr="00C462D9" w:rsidRDefault="00EB6D2B" w:rsidP="00EB6D2B">
            <w:pPr>
              <w:rPr>
                <w:rFonts w:asciiTheme="minorHAnsi" w:eastAsia="Times New Roman" w:hAnsiTheme="minorHAnsi" w:cstheme="minorHAnsi"/>
                <w:bCs/>
                <w:sz w:val="22"/>
                <w:lang w:eastAsia="fr-FR"/>
              </w:rPr>
            </w:pPr>
          </w:p>
        </w:tc>
        <w:tc>
          <w:tcPr>
            <w:tcW w:w="4508" w:type="dxa"/>
          </w:tcPr>
          <w:p w14:paraId="135C0B78" w14:textId="77777777" w:rsidR="00EB6D2B" w:rsidRPr="00EB6D2B" w:rsidRDefault="00EB6D2B" w:rsidP="00EB6D2B">
            <w:pPr>
              <w:rPr>
                <w:rFonts w:asciiTheme="minorHAnsi" w:eastAsia="Times New Roman" w:hAnsiTheme="minorHAnsi" w:cstheme="minorHAnsi"/>
                <w:sz w:val="22"/>
                <w:lang w:eastAsia="fr-FR"/>
              </w:rPr>
            </w:pPr>
          </w:p>
        </w:tc>
      </w:tr>
      <w:tr w:rsidR="00EB6D2B" w:rsidRPr="002F7AA5" w14:paraId="5932410F" w14:textId="77777777" w:rsidTr="00705040">
        <w:tc>
          <w:tcPr>
            <w:tcW w:w="4508" w:type="dxa"/>
          </w:tcPr>
          <w:p w14:paraId="71726EC2" w14:textId="53BD82D1" w:rsidR="00EB6D2B" w:rsidRPr="00515994" w:rsidRDefault="00EB6D2B" w:rsidP="00515994">
            <w:pPr>
              <w:jc w:val="both"/>
              <w:rPr>
                <w:rFonts w:asciiTheme="minorHAnsi" w:hAnsiTheme="minorHAnsi" w:cstheme="minorHAnsi"/>
                <w:sz w:val="22"/>
                <w:lang w:val="fr-BE"/>
              </w:rPr>
            </w:pPr>
            <w:r w:rsidRPr="00515994">
              <w:rPr>
                <w:rFonts w:asciiTheme="minorHAnsi" w:eastAsia="Times New Roman" w:hAnsiTheme="minorHAnsi" w:cstheme="minorHAnsi"/>
                <w:bCs/>
                <w:sz w:val="22"/>
                <w:lang w:val="fr-FR" w:eastAsia="fr-FR"/>
              </w:rPr>
              <w:t xml:space="preserve">« Art. 126/2. </w:t>
            </w:r>
            <w:r w:rsidRPr="00515994">
              <w:rPr>
                <w:rFonts w:asciiTheme="minorHAnsi" w:eastAsia="Times New Roman" w:hAnsiTheme="minorHAnsi" w:cstheme="minorHAnsi"/>
                <w:b/>
                <w:bCs/>
                <w:sz w:val="22"/>
                <w:lang w:val="fr-FR" w:eastAsia="fr-FR"/>
              </w:rPr>
              <w:t>§ 1</w:t>
            </w:r>
            <w:r w:rsidRPr="00515994">
              <w:rPr>
                <w:rFonts w:asciiTheme="minorHAnsi" w:eastAsia="Times New Roman" w:hAnsiTheme="minorHAnsi" w:cstheme="minorHAnsi"/>
                <w:b/>
                <w:bCs/>
                <w:sz w:val="22"/>
                <w:vertAlign w:val="superscript"/>
                <w:lang w:val="fr-FR" w:eastAsia="fr-FR"/>
              </w:rPr>
              <w:t>er</w:t>
            </w:r>
            <w:r w:rsidRPr="00515994">
              <w:rPr>
                <w:rFonts w:asciiTheme="minorHAnsi" w:eastAsia="Times New Roman" w:hAnsiTheme="minorHAnsi" w:cstheme="minorHAnsi"/>
                <w:b/>
                <w:bCs/>
                <w:sz w:val="22"/>
                <w:lang w:val="fr-FR" w:eastAsia="fr-FR"/>
              </w:rPr>
              <w:t>.</w:t>
            </w:r>
            <w:r w:rsidRPr="00515994">
              <w:rPr>
                <w:rFonts w:asciiTheme="minorHAnsi" w:eastAsia="Times New Roman" w:hAnsiTheme="minorHAnsi" w:cstheme="minorHAnsi"/>
                <w:bCs/>
                <w:sz w:val="22"/>
                <w:lang w:val="fr-FR" w:eastAsia="fr-FR"/>
              </w:rPr>
              <w:t xml:space="preserve"> Pour l’application du présent article, il y a lieu d’entendre par</w:t>
            </w:r>
            <w:r w:rsidR="00E63CBF">
              <w:rPr>
                <w:rFonts w:asciiTheme="minorHAnsi" w:eastAsia="Times New Roman" w:hAnsiTheme="minorHAnsi" w:cstheme="minorHAnsi"/>
                <w:bCs/>
                <w:sz w:val="22"/>
                <w:lang w:val="fr-FR" w:eastAsia="fr-FR"/>
              </w:rPr>
              <w:t> :</w:t>
            </w:r>
          </w:p>
        </w:tc>
        <w:tc>
          <w:tcPr>
            <w:tcW w:w="4508" w:type="dxa"/>
          </w:tcPr>
          <w:p w14:paraId="4E100F92" w14:textId="51527500" w:rsidR="00EB6D2B" w:rsidRPr="00515994" w:rsidRDefault="00EB6D2B" w:rsidP="00515994">
            <w:pPr>
              <w:jc w:val="both"/>
              <w:rPr>
                <w:rFonts w:asciiTheme="minorHAnsi" w:hAnsiTheme="minorHAnsi" w:cstheme="minorHAnsi"/>
                <w:sz w:val="22"/>
              </w:rPr>
            </w:pPr>
            <w:r w:rsidRPr="00515994">
              <w:rPr>
                <w:rFonts w:asciiTheme="minorHAnsi" w:eastAsia="Times New Roman" w:hAnsiTheme="minorHAnsi" w:cstheme="minorHAnsi"/>
                <w:sz w:val="22"/>
                <w:lang w:eastAsia="fr-FR"/>
              </w:rPr>
              <w:t xml:space="preserve">“Art. 126/2. </w:t>
            </w:r>
            <w:r w:rsidRPr="00515994">
              <w:rPr>
                <w:rFonts w:asciiTheme="minorHAnsi" w:eastAsia="Times New Roman" w:hAnsiTheme="minorHAnsi" w:cstheme="minorHAnsi"/>
                <w:b/>
                <w:sz w:val="22"/>
                <w:lang w:eastAsia="fr-FR"/>
              </w:rPr>
              <w:t>§ 1.</w:t>
            </w:r>
            <w:r w:rsidRPr="00515994">
              <w:rPr>
                <w:rFonts w:asciiTheme="minorHAnsi" w:eastAsia="Times New Roman" w:hAnsiTheme="minorHAnsi" w:cstheme="minorHAnsi"/>
                <w:sz w:val="22"/>
                <w:lang w:eastAsia="fr-FR"/>
              </w:rPr>
              <w:t xml:space="preserve"> Voor de toepassing van dit artikel wordt verstaan onder:</w:t>
            </w:r>
          </w:p>
        </w:tc>
      </w:tr>
      <w:tr w:rsidR="00EB6D2B" w:rsidRPr="002F7AA5" w14:paraId="70C31CFA" w14:textId="77777777" w:rsidTr="00705040">
        <w:tc>
          <w:tcPr>
            <w:tcW w:w="4508" w:type="dxa"/>
          </w:tcPr>
          <w:p w14:paraId="77F6C14D" w14:textId="77777777" w:rsidR="00EB6D2B" w:rsidRPr="00515994" w:rsidRDefault="00EB6D2B" w:rsidP="00515994">
            <w:pPr>
              <w:jc w:val="both"/>
              <w:rPr>
                <w:rFonts w:asciiTheme="minorHAnsi" w:hAnsiTheme="minorHAnsi" w:cstheme="minorHAnsi"/>
                <w:sz w:val="22"/>
              </w:rPr>
            </w:pPr>
          </w:p>
        </w:tc>
        <w:tc>
          <w:tcPr>
            <w:tcW w:w="4508" w:type="dxa"/>
          </w:tcPr>
          <w:p w14:paraId="5062938B" w14:textId="77777777" w:rsidR="00EB6D2B" w:rsidRPr="00515994" w:rsidRDefault="00EB6D2B" w:rsidP="00515994">
            <w:pPr>
              <w:jc w:val="both"/>
              <w:rPr>
                <w:rFonts w:asciiTheme="minorHAnsi" w:hAnsiTheme="minorHAnsi" w:cstheme="minorHAnsi"/>
                <w:sz w:val="22"/>
              </w:rPr>
            </w:pPr>
          </w:p>
        </w:tc>
      </w:tr>
      <w:tr w:rsidR="00EB6D2B" w:rsidRPr="002F7AA5" w14:paraId="60F1CAF6" w14:textId="77777777" w:rsidTr="00705040">
        <w:tc>
          <w:tcPr>
            <w:tcW w:w="4508" w:type="dxa"/>
          </w:tcPr>
          <w:p w14:paraId="083B88BA" w14:textId="6EB756DE" w:rsidR="00EB6D2B" w:rsidRPr="00515994" w:rsidRDefault="00EB6D2B" w:rsidP="00515994">
            <w:pPr>
              <w:jc w:val="both"/>
              <w:rPr>
                <w:rFonts w:asciiTheme="minorHAnsi" w:hAnsiTheme="minorHAnsi" w:cstheme="minorHAnsi"/>
                <w:sz w:val="22"/>
                <w:lang w:val="fr-BE"/>
              </w:rPr>
            </w:pPr>
            <w:r w:rsidRPr="00C462D9">
              <w:rPr>
                <w:rFonts w:asciiTheme="minorHAnsi" w:eastAsia="Times New Roman" w:hAnsiTheme="minorHAnsi" w:cstheme="minorHAnsi"/>
                <w:bCs/>
                <w:sz w:val="22"/>
                <w:lang w:eastAsia="fr-FR"/>
              </w:rPr>
              <w:t xml:space="preserve"> </w:t>
            </w:r>
            <w:r w:rsidRPr="00515994">
              <w:rPr>
                <w:rFonts w:asciiTheme="minorHAnsi" w:eastAsia="Times New Roman" w:hAnsiTheme="minorHAnsi" w:cstheme="minorHAnsi"/>
                <w:bCs/>
                <w:sz w:val="22"/>
                <w:lang w:val="fr-FR" w:eastAsia="fr-FR"/>
              </w:rPr>
              <w:t>« Communication »</w:t>
            </w:r>
            <w:r w:rsidR="00E63CBF">
              <w:rPr>
                <w:rFonts w:asciiTheme="minorHAnsi" w:eastAsia="Times New Roman" w:hAnsiTheme="minorHAnsi" w:cstheme="minorHAnsi"/>
                <w:bCs/>
                <w:sz w:val="22"/>
                <w:lang w:val="fr-FR" w:eastAsia="fr-FR"/>
              </w:rPr>
              <w:t xml:space="preserve"> </w:t>
            </w:r>
            <w:r w:rsidRPr="00515994">
              <w:rPr>
                <w:rFonts w:asciiTheme="minorHAnsi" w:eastAsia="Times New Roman" w:hAnsiTheme="minorHAnsi" w:cstheme="minorHAnsi"/>
                <w:bCs/>
                <w:sz w:val="22"/>
                <w:lang w:val="fr-FR" w:eastAsia="fr-FR"/>
              </w:rPr>
              <w:t xml:space="preserve">: toute information échangée ou acheminée entre un nombre fini de parties au moyen d'un service de communications électroniques accessible au public. Cela ne comprend pas les informations qui sont acheminées dans le cadre d'un service de radiodiffusion au public par l'intermédiaire </w:t>
            </w:r>
            <w:r w:rsidRPr="00515994">
              <w:rPr>
                <w:rFonts w:asciiTheme="minorHAnsi" w:eastAsia="Times New Roman" w:hAnsiTheme="minorHAnsi" w:cstheme="minorHAnsi"/>
                <w:bCs/>
                <w:sz w:val="22"/>
                <w:lang w:val="fr-FR" w:eastAsia="fr-FR"/>
              </w:rPr>
              <w:lastRenderedPageBreak/>
              <w:t>d'un réseau de communications électroniques, sauf dans la mesure où un lien peut être établi entre l'information et l'abonné ou utilisateur identifiable qui la reçoit.</w:t>
            </w:r>
          </w:p>
        </w:tc>
        <w:tc>
          <w:tcPr>
            <w:tcW w:w="4508" w:type="dxa"/>
          </w:tcPr>
          <w:p w14:paraId="6EF8FC3E" w14:textId="0CB279D5" w:rsidR="00EB6D2B" w:rsidRPr="00515994" w:rsidRDefault="00EB6D2B" w:rsidP="00515994">
            <w:pPr>
              <w:jc w:val="both"/>
              <w:rPr>
                <w:rFonts w:asciiTheme="minorHAnsi" w:hAnsiTheme="minorHAnsi" w:cstheme="minorHAnsi"/>
                <w:sz w:val="22"/>
              </w:rPr>
            </w:pPr>
            <w:r w:rsidRPr="00EF5D0F">
              <w:rPr>
                <w:rFonts w:asciiTheme="minorHAnsi" w:eastAsia="Times New Roman" w:hAnsiTheme="minorHAnsi" w:cstheme="minorHAnsi"/>
                <w:bCs/>
                <w:sz w:val="22"/>
                <w:lang w:val="fr-BE" w:eastAsia="fr-FR"/>
              </w:rPr>
              <w:lastRenderedPageBreak/>
              <w:t xml:space="preserve"> </w:t>
            </w:r>
            <w:r w:rsidRPr="00515994">
              <w:rPr>
                <w:rFonts w:asciiTheme="minorHAnsi" w:eastAsia="Times New Roman" w:hAnsiTheme="minorHAnsi" w:cstheme="minorHAnsi"/>
                <w:bCs/>
                <w:sz w:val="22"/>
                <w:lang w:eastAsia="fr-FR"/>
              </w:rPr>
              <w:t xml:space="preserve">“Communicatie”: informatie die wordt uitgewisseld of overgebracht tussen een eindig aantal partijen door middel van een </w:t>
            </w:r>
            <w:r w:rsidR="00B4052E">
              <w:rPr>
                <w:rFonts w:asciiTheme="minorHAnsi" w:eastAsia="Times New Roman" w:hAnsiTheme="minorHAnsi" w:cstheme="minorHAnsi"/>
                <w:bCs/>
                <w:sz w:val="22"/>
                <w:lang w:eastAsia="fr-FR"/>
              </w:rPr>
              <w:t>publiek beschikbare</w:t>
            </w:r>
            <w:r w:rsidR="00B4052E" w:rsidRPr="00515994">
              <w:rPr>
                <w:rFonts w:asciiTheme="minorHAnsi" w:eastAsia="Times New Roman" w:hAnsiTheme="minorHAnsi" w:cstheme="minorHAnsi"/>
                <w:bCs/>
                <w:sz w:val="22"/>
                <w:lang w:eastAsia="fr-FR"/>
              </w:rPr>
              <w:t xml:space="preserve"> </w:t>
            </w:r>
            <w:r w:rsidRPr="00515994">
              <w:rPr>
                <w:rFonts w:asciiTheme="minorHAnsi" w:eastAsia="Times New Roman" w:hAnsiTheme="minorHAnsi" w:cstheme="minorHAnsi"/>
                <w:bCs/>
                <w:sz w:val="22"/>
                <w:lang w:eastAsia="fr-FR"/>
              </w:rPr>
              <w:t xml:space="preserve">elektronische-communicatiedienst. Dit omvat niet de informatie die via een </w:t>
            </w:r>
            <w:r w:rsidR="00B4052E">
              <w:rPr>
                <w:rFonts w:asciiTheme="minorHAnsi" w:eastAsia="Times New Roman" w:hAnsiTheme="minorHAnsi" w:cstheme="minorHAnsi"/>
                <w:bCs/>
                <w:sz w:val="22"/>
                <w:lang w:eastAsia="fr-FR"/>
              </w:rPr>
              <w:t xml:space="preserve">openbare </w:t>
            </w:r>
            <w:r w:rsidRPr="00515994">
              <w:rPr>
                <w:rFonts w:asciiTheme="minorHAnsi" w:eastAsia="Times New Roman" w:hAnsiTheme="minorHAnsi" w:cstheme="minorHAnsi"/>
                <w:bCs/>
                <w:sz w:val="22"/>
                <w:lang w:eastAsia="fr-FR"/>
              </w:rPr>
              <w:t xml:space="preserve">omroepdienst over een elektronische-communicatienetwerk wordt overgebracht, </w:t>
            </w:r>
            <w:r w:rsidRPr="00515994">
              <w:rPr>
                <w:rFonts w:asciiTheme="minorHAnsi" w:eastAsia="Times New Roman" w:hAnsiTheme="minorHAnsi" w:cstheme="minorHAnsi"/>
                <w:bCs/>
                <w:sz w:val="22"/>
                <w:lang w:eastAsia="fr-FR"/>
              </w:rPr>
              <w:lastRenderedPageBreak/>
              <w:t>behalve wanneer de informatie kan worden gerelateerd aan de identificeerbare abonnee of gebruiker die de informatie ontvangt.</w:t>
            </w:r>
          </w:p>
        </w:tc>
      </w:tr>
      <w:tr w:rsidR="00EB6D2B" w:rsidRPr="002F7AA5" w14:paraId="34B5612E" w14:textId="77777777" w:rsidTr="00705040">
        <w:tc>
          <w:tcPr>
            <w:tcW w:w="4508" w:type="dxa"/>
          </w:tcPr>
          <w:p w14:paraId="370423B2" w14:textId="77777777" w:rsidR="00EB6D2B" w:rsidRPr="00515994" w:rsidRDefault="00EB6D2B" w:rsidP="00515994">
            <w:pPr>
              <w:jc w:val="both"/>
              <w:rPr>
                <w:rFonts w:asciiTheme="minorHAnsi" w:hAnsiTheme="minorHAnsi" w:cstheme="minorHAnsi"/>
                <w:sz w:val="22"/>
              </w:rPr>
            </w:pPr>
          </w:p>
        </w:tc>
        <w:tc>
          <w:tcPr>
            <w:tcW w:w="4508" w:type="dxa"/>
          </w:tcPr>
          <w:p w14:paraId="34DA45D2" w14:textId="77777777" w:rsidR="00EB6D2B" w:rsidRPr="00515994" w:rsidRDefault="00EB6D2B" w:rsidP="00515994">
            <w:pPr>
              <w:jc w:val="both"/>
              <w:rPr>
                <w:rFonts w:asciiTheme="minorHAnsi" w:hAnsiTheme="minorHAnsi" w:cstheme="minorHAnsi"/>
                <w:sz w:val="22"/>
              </w:rPr>
            </w:pPr>
          </w:p>
        </w:tc>
      </w:tr>
      <w:tr w:rsidR="00EB6D2B" w:rsidRPr="002F7AA5" w14:paraId="7D9CCDF8" w14:textId="77777777" w:rsidTr="00705040">
        <w:tc>
          <w:tcPr>
            <w:tcW w:w="4508" w:type="dxa"/>
          </w:tcPr>
          <w:p w14:paraId="2D5DFE06" w14:textId="5D88130F" w:rsidR="00EB6D2B" w:rsidRPr="00515994" w:rsidRDefault="00EB6D2B" w:rsidP="00515994">
            <w:pPr>
              <w:jc w:val="both"/>
              <w:rPr>
                <w:rFonts w:asciiTheme="minorHAnsi" w:hAnsiTheme="minorHAnsi" w:cstheme="minorHAnsi"/>
                <w:sz w:val="22"/>
                <w:lang w:val="fr-BE"/>
              </w:rPr>
            </w:pPr>
            <w:r w:rsidRPr="00515994">
              <w:rPr>
                <w:rFonts w:asciiTheme="minorHAnsi" w:eastAsia="Times New Roman" w:hAnsiTheme="minorHAnsi" w:cstheme="minorHAnsi"/>
                <w:b/>
                <w:bCs/>
                <w:sz w:val="22"/>
                <w:lang w:val="fr-FR" w:eastAsia="fr-FR"/>
              </w:rPr>
              <w:t>§ 2</w:t>
            </w:r>
            <w:r w:rsidRPr="00515994">
              <w:rPr>
                <w:rFonts w:asciiTheme="minorHAnsi" w:eastAsia="Times New Roman" w:hAnsiTheme="minorHAnsi" w:cstheme="minorHAnsi"/>
                <w:bCs/>
                <w:sz w:val="22"/>
                <w:lang w:val="fr-FR" w:eastAsia="fr-FR"/>
              </w:rPr>
              <w:t xml:space="preserve">. Les données visées à l’article 126/1, § 2, qui doivent être conservées en exécution de l’article 126/1 par les opérateurs </w:t>
            </w:r>
            <w:r w:rsidRPr="00515994">
              <w:rPr>
                <w:rFonts w:asciiTheme="minorHAnsi" w:hAnsiTheme="minorHAnsi" w:cstheme="minorHAnsi"/>
                <w:color w:val="000000" w:themeColor="text1"/>
                <w:sz w:val="22"/>
                <w:lang w:val="fr-FR"/>
              </w:rPr>
              <w:t>qui offrent aux utilisateurs finaux des services de communications électroniques</w:t>
            </w:r>
            <w:r w:rsidRPr="00515994">
              <w:rPr>
                <w:rFonts w:asciiTheme="minorHAnsi" w:hAnsiTheme="minorHAnsi" w:cstheme="minorHAnsi"/>
                <w:sz w:val="22"/>
                <w:lang w:val="fr-BE"/>
              </w:rPr>
              <w:t>,</w:t>
            </w:r>
            <w:r w:rsidRPr="00515994">
              <w:rPr>
                <w:rFonts w:asciiTheme="minorHAnsi" w:hAnsiTheme="minorHAnsi" w:cstheme="minorHAnsi"/>
                <w:color w:val="000000" w:themeColor="text1"/>
                <w:sz w:val="22"/>
                <w:lang w:val="fr-FR"/>
              </w:rPr>
              <w:t xml:space="preserve"> ainsi que les opérateurs fournissant les réseaux de communications électroniques qui permettent la fourniture de ces services</w:t>
            </w:r>
            <w:r w:rsidRPr="00515994">
              <w:rPr>
                <w:rFonts w:asciiTheme="minorHAnsi" w:eastAsia="Times New Roman" w:hAnsiTheme="minorHAnsi" w:cstheme="minorHAnsi"/>
                <w:bCs/>
                <w:sz w:val="22"/>
                <w:lang w:val="fr-FR" w:eastAsia="fr-FR"/>
              </w:rPr>
              <w:t>, sont les suivantes :</w:t>
            </w:r>
          </w:p>
        </w:tc>
        <w:tc>
          <w:tcPr>
            <w:tcW w:w="4508" w:type="dxa"/>
          </w:tcPr>
          <w:p w14:paraId="09E6FDA1" w14:textId="794D6639" w:rsidR="00EB6D2B" w:rsidRPr="00515994" w:rsidRDefault="00EB6D2B" w:rsidP="00515994">
            <w:pPr>
              <w:jc w:val="both"/>
              <w:rPr>
                <w:rFonts w:asciiTheme="minorHAnsi" w:hAnsiTheme="minorHAnsi" w:cstheme="minorHAnsi"/>
                <w:sz w:val="22"/>
              </w:rPr>
            </w:pPr>
            <w:r w:rsidRPr="00515994">
              <w:rPr>
                <w:rFonts w:asciiTheme="minorHAnsi" w:eastAsia="Times New Roman" w:hAnsiTheme="minorHAnsi" w:cstheme="minorHAnsi"/>
                <w:b/>
                <w:bCs/>
                <w:sz w:val="22"/>
                <w:lang w:eastAsia="fr-FR"/>
              </w:rPr>
              <w:t>§ 2</w:t>
            </w:r>
            <w:r w:rsidRPr="00515994">
              <w:rPr>
                <w:rFonts w:asciiTheme="minorHAnsi" w:eastAsia="Times New Roman" w:hAnsiTheme="minorHAnsi" w:cstheme="minorHAnsi"/>
                <w:bCs/>
                <w:sz w:val="22"/>
                <w:lang w:eastAsia="fr-FR"/>
              </w:rPr>
              <w:t>. De gegevens bedoeld in artikel 126/1, § 2 die in uitvoering van artikel 126/1 bewaard moeten worden door de operatoren die aan de eindgebruikers elektronische</w:t>
            </w:r>
            <w:r w:rsidR="00B4052E">
              <w:rPr>
                <w:rFonts w:asciiTheme="minorHAnsi" w:eastAsia="Times New Roman" w:hAnsiTheme="minorHAnsi" w:cstheme="minorHAnsi"/>
                <w:bCs/>
                <w:sz w:val="22"/>
                <w:lang w:eastAsia="fr-FR"/>
              </w:rPr>
              <w:t>-</w:t>
            </w:r>
            <w:r w:rsidRPr="00515994">
              <w:rPr>
                <w:rFonts w:asciiTheme="minorHAnsi" w:eastAsia="Times New Roman" w:hAnsiTheme="minorHAnsi" w:cstheme="minorHAnsi"/>
                <w:bCs/>
                <w:sz w:val="22"/>
                <w:lang w:eastAsia="fr-FR"/>
              </w:rPr>
              <w:t xml:space="preserve"> communicatiediensten aanbieden, alsook de operatoren die elektronische-communicatienetwerken aanbieden die het aanbieden van die diensten mogelijk maken, zijn de volgende:</w:t>
            </w:r>
          </w:p>
        </w:tc>
      </w:tr>
      <w:tr w:rsidR="00EB6D2B" w:rsidRPr="002F7AA5" w14:paraId="7E20E252" w14:textId="77777777" w:rsidTr="00705040">
        <w:tc>
          <w:tcPr>
            <w:tcW w:w="4508" w:type="dxa"/>
          </w:tcPr>
          <w:p w14:paraId="0396A40D" w14:textId="77777777" w:rsidR="00EB6D2B" w:rsidRPr="00515994" w:rsidRDefault="00EB6D2B" w:rsidP="00515994">
            <w:pPr>
              <w:jc w:val="both"/>
              <w:rPr>
                <w:rFonts w:asciiTheme="minorHAnsi" w:hAnsiTheme="minorHAnsi" w:cstheme="minorHAnsi"/>
                <w:sz w:val="22"/>
              </w:rPr>
            </w:pPr>
          </w:p>
        </w:tc>
        <w:tc>
          <w:tcPr>
            <w:tcW w:w="4508" w:type="dxa"/>
          </w:tcPr>
          <w:p w14:paraId="45202B10" w14:textId="77777777" w:rsidR="00EB6D2B" w:rsidRPr="00515994" w:rsidRDefault="00EB6D2B" w:rsidP="00515994">
            <w:pPr>
              <w:jc w:val="both"/>
              <w:rPr>
                <w:rFonts w:asciiTheme="minorHAnsi" w:hAnsiTheme="minorHAnsi" w:cstheme="minorHAnsi"/>
                <w:sz w:val="22"/>
              </w:rPr>
            </w:pPr>
          </w:p>
        </w:tc>
      </w:tr>
      <w:tr w:rsidR="00EB6D2B" w:rsidRPr="002F7AA5" w14:paraId="740746AA" w14:textId="77777777" w:rsidTr="00705040">
        <w:tc>
          <w:tcPr>
            <w:tcW w:w="4508" w:type="dxa"/>
          </w:tcPr>
          <w:p w14:paraId="4E975801" w14:textId="56A17F84" w:rsidR="00EB6D2B" w:rsidRPr="00515994" w:rsidRDefault="00EB6D2B" w:rsidP="00515994">
            <w:pPr>
              <w:jc w:val="both"/>
              <w:rPr>
                <w:rFonts w:asciiTheme="minorHAnsi" w:hAnsiTheme="minorHAnsi" w:cstheme="minorHAnsi"/>
                <w:sz w:val="22"/>
                <w:lang w:val="fr-BE"/>
              </w:rPr>
            </w:pPr>
            <w:r w:rsidRPr="00515994">
              <w:rPr>
                <w:rFonts w:asciiTheme="minorHAnsi" w:eastAsia="Times New Roman" w:hAnsiTheme="minorHAnsi" w:cstheme="minorHAnsi"/>
                <w:bCs/>
                <w:sz w:val="22"/>
                <w:lang w:val="fr-FR" w:eastAsia="fr-FR"/>
              </w:rPr>
              <w:t>1° la description et les caractéristiques techniques du service de communications électroniques utilisé lors de la communication</w:t>
            </w:r>
            <w:r w:rsidR="00E63CBF">
              <w:rPr>
                <w:rFonts w:asciiTheme="minorHAnsi" w:eastAsia="Times New Roman" w:hAnsiTheme="minorHAnsi" w:cstheme="minorHAnsi"/>
                <w:bCs/>
                <w:sz w:val="22"/>
                <w:lang w:val="fr-FR" w:eastAsia="fr-FR"/>
              </w:rPr>
              <w:t xml:space="preserve"> </w:t>
            </w:r>
            <w:r w:rsidRPr="00515994">
              <w:rPr>
                <w:rFonts w:asciiTheme="minorHAnsi" w:eastAsia="Times New Roman" w:hAnsiTheme="minorHAnsi" w:cstheme="minorHAnsi"/>
                <w:bCs/>
                <w:sz w:val="22"/>
                <w:lang w:val="fr-FR" w:eastAsia="fr-FR"/>
              </w:rPr>
              <w:t>;</w:t>
            </w:r>
          </w:p>
        </w:tc>
        <w:tc>
          <w:tcPr>
            <w:tcW w:w="4508" w:type="dxa"/>
          </w:tcPr>
          <w:p w14:paraId="1F17EDB7" w14:textId="36162DED" w:rsidR="00EB6D2B" w:rsidRPr="00515994" w:rsidRDefault="00EB6D2B" w:rsidP="00515994">
            <w:pPr>
              <w:jc w:val="both"/>
              <w:rPr>
                <w:rFonts w:asciiTheme="minorHAnsi" w:hAnsiTheme="minorHAnsi" w:cstheme="minorHAnsi"/>
                <w:sz w:val="22"/>
              </w:rPr>
            </w:pPr>
            <w:r w:rsidRPr="00515994">
              <w:rPr>
                <w:rFonts w:asciiTheme="minorHAnsi" w:eastAsia="Times New Roman" w:hAnsiTheme="minorHAnsi" w:cstheme="minorHAnsi"/>
                <w:sz w:val="22"/>
                <w:lang w:eastAsia="fr-FR"/>
              </w:rPr>
              <w:t xml:space="preserve">1° </w:t>
            </w:r>
            <w:r w:rsidRPr="00515994">
              <w:rPr>
                <w:rFonts w:asciiTheme="minorHAnsi" w:hAnsiTheme="minorHAnsi" w:cstheme="minorHAnsi"/>
                <w:sz w:val="22"/>
              </w:rPr>
              <w:t>de beschrijving en de technische karakteristieken van de elektronische-communicatiedienst aangewend tijdens de communicatie;</w:t>
            </w:r>
          </w:p>
        </w:tc>
      </w:tr>
      <w:tr w:rsidR="00EB6D2B" w:rsidRPr="002F7AA5" w14:paraId="084FF55E" w14:textId="77777777" w:rsidTr="00705040">
        <w:tc>
          <w:tcPr>
            <w:tcW w:w="4508" w:type="dxa"/>
          </w:tcPr>
          <w:p w14:paraId="562EE902" w14:textId="77777777" w:rsidR="00EB6D2B" w:rsidRPr="00515994" w:rsidRDefault="00EB6D2B" w:rsidP="00515994">
            <w:pPr>
              <w:jc w:val="both"/>
              <w:rPr>
                <w:rFonts w:asciiTheme="minorHAnsi" w:hAnsiTheme="minorHAnsi" w:cstheme="minorHAnsi"/>
                <w:sz w:val="22"/>
              </w:rPr>
            </w:pPr>
          </w:p>
        </w:tc>
        <w:tc>
          <w:tcPr>
            <w:tcW w:w="4508" w:type="dxa"/>
          </w:tcPr>
          <w:p w14:paraId="60ADD84D" w14:textId="77777777" w:rsidR="00EB6D2B" w:rsidRPr="00515994" w:rsidRDefault="00EB6D2B" w:rsidP="00515994">
            <w:pPr>
              <w:jc w:val="both"/>
              <w:rPr>
                <w:rFonts w:asciiTheme="minorHAnsi" w:hAnsiTheme="minorHAnsi" w:cstheme="minorHAnsi"/>
                <w:sz w:val="22"/>
              </w:rPr>
            </w:pPr>
          </w:p>
        </w:tc>
      </w:tr>
      <w:tr w:rsidR="00EB6D2B" w:rsidRPr="002F7AA5" w14:paraId="348DDBF5" w14:textId="77777777" w:rsidTr="00705040">
        <w:tc>
          <w:tcPr>
            <w:tcW w:w="4508" w:type="dxa"/>
          </w:tcPr>
          <w:p w14:paraId="7E84C021" w14:textId="368AA858" w:rsidR="00EB6D2B" w:rsidRPr="00515994" w:rsidRDefault="00EB6D2B" w:rsidP="00515994">
            <w:pPr>
              <w:jc w:val="both"/>
              <w:rPr>
                <w:rFonts w:asciiTheme="minorHAnsi" w:hAnsiTheme="minorHAnsi" w:cstheme="minorHAnsi"/>
                <w:sz w:val="22"/>
                <w:lang w:val="fr-BE"/>
              </w:rPr>
            </w:pPr>
            <w:r w:rsidRPr="00515994">
              <w:rPr>
                <w:rFonts w:asciiTheme="minorHAnsi" w:eastAsia="Times New Roman" w:hAnsiTheme="minorHAnsi" w:cstheme="minorHAnsi"/>
                <w:bCs/>
                <w:sz w:val="22"/>
                <w:lang w:val="fr-FR" w:eastAsia="fr-FR"/>
              </w:rPr>
              <w:t>2° les données d’identification visées à l’article 126, § 1</w:t>
            </w:r>
            <w:r w:rsidRPr="00515994">
              <w:rPr>
                <w:rFonts w:asciiTheme="minorHAnsi" w:eastAsia="Times New Roman" w:hAnsiTheme="minorHAnsi" w:cstheme="minorHAnsi"/>
                <w:bCs/>
                <w:sz w:val="22"/>
                <w:vertAlign w:val="superscript"/>
                <w:lang w:val="fr-FR" w:eastAsia="fr-FR"/>
              </w:rPr>
              <w:t>er</w:t>
            </w:r>
            <w:r w:rsidRPr="00515994">
              <w:rPr>
                <w:rFonts w:asciiTheme="minorHAnsi" w:eastAsia="Times New Roman" w:hAnsiTheme="minorHAnsi" w:cstheme="minorHAnsi"/>
                <w:bCs/>
                <w:sz w:val="22"/>
                <w:lang w:val="fr-FR" w:eastAsia="fr-FR"/>
              </w:rPr>
              <w:t>, 2°, 10° à 14</w:t>
            </w:r>
            <w:r w:rsidR="00C818A2">
              <w:rPr>
                <w:rFonts w:asciiTheme="minorHAnsi" w:eastAsia="Times New Roman" w:hAnsiTheme="minorHAnsi" w:cstheme="minorHAnsi"/>
                <w:bCs/>
                <w:sz w:val="22"/>
                <w:lang w:val="fr-FR" w:eastAsia="fr-FR"/>
              </w:rPr>
              <w:t>°</w:t>
            </w:r>
            <w:r w:rsidRPr="00515994">
              <w:rPr>
                <w:rFonts w:asciiTheme="minorHAnsi" w:eastAsia="Times New Roman" w:hAnsiTheme="minorHAnsi" w:cstheme="minorHAnsi"/>
                <w:bCs/>
                <w:sz w:val="22"/>
                <w:lang w:val="fr-FR" w:eastAsia="fr-FR"/>
              </w:rPr>
              <w:t xml:space="preserve"> et 16°, du destinataire de la communication ;</w:t>
            </w:r>
          </w:p>
        </w:tc>
        <w:tc>
          <w:tcPr>
            <w:tcW w:w="4508" w:type="dxa"/>
          </w:tcPr>
          <w:p w14:paraId="45CBBFE7" w14:textId="00690AEB" w:rsidR="00EB6D2B" w:rsidRPr="00515994" w:rsidRDefault="00EB6D2B" w:rsidP="00515994">
            <w:pPr>
              <w:jc w:val="both"/>
              <w:rPr>
                <w:rFonts w:asciiTheme="minorHAnsi" w:hAnsiTheme="minorHAnsi" w:cstheme="minorHAnsi"/>
                <w:sz w:val="22"/>
              </w:rPr>
            </w:pPr>
            <w:r w:rsidRPr="00515994">
              <w:rPr>
                <w:rFonts w:asciiTheme="minorHAnsi" w:eastAsia="Times New Roman" w:hAnsiTheme="minorHAnsi" w:cstheme="minorHAnsi"/>
                <w:sz w:val="22"/>
                <w:lang w:eastAsia="fr-FR"/>
              </w:rPr>
              <w:t xml:space="preserve">2° </w:t>
            </w:r>
            <w:r w:rsidRPr="00515994">
              <w:rPr>
                <w:rFonts w:asciiTheme="minorHAnsi" w:hAnsiTheme="minorHAnsi" w:cstheme="minorHAnsi"/>
                <w:sz w:val="22"/>
              </w:rPr>
              <w:t>de identificatiegegevens bedoeld in artikel 126, § 1, 2°, 10° tot 14</w:t>
            </w:r>
            <w:r w:rsidR="00C818A2">
              <w:rPr>
                <w:rFonts w:asciiTheme="minorHAnsi" w:hAnsiTheme="minorHAnsi" w:cstheme="minorHAnsi"/>
                <w:sz w:val="22"/>
              </w:rPr>
              <w:t>°</w:t>
            </w:r>
            <w:r w:rsidRPr="00515994">
              <w:rPr>
                <w:rFonts w:asciiTheme="minorHAnsi" w:hAnsiTheme="minorHAnsi" w:cstheme="minorHAnsi"/>
                <w:sz w:val="22"/>
              </w:rPr>
              <w:t xml:space="preserve"> en 16°, van de geadresseerde van de communicatie;</w:t>
            </w:r>
          </w:p>
        </w:tc>
      </w:tr>
      <w:tr w:rsidR="00EB6D2B" w:rsidRPr="002F7AA5" w14:paraId="2917B5B6" w14:textId="77777777" w:rsidTr="00705040">
        <w:tc>
          <w:tcPr>
            <w:tcW w:w="4508" w:type="dxa"/>
          </w:tcPr>
          <w:p w14:paraId="30CAA42F" w14:textId="77777777" w:rsidR="00EB6D2B" w:rsidRPr="00515994" w:rsidRDefault="00EB6D2B" w:rsidP="00515994">
            <w:pPr>
              <w:jc w:val="both"/>
              <w:rPr>
                <w:rFonts w:asciiTheme="minorHAnsi" w:hAnsiTheme="minorHAnsi" w:cstheme="minorHAnsi"/>
                <w:sz w:val="22"/>
              </w:rPr>
            </w:pPr>
          </w:p>
        </w:tc>
        <w:tc>
          <w:tcPr>
            <w:tcW w:w="4508" w:type="dxa"/>
          </w:tcPr>
          <w:p w14:paraId="69096940" w14:textId="77777777" w:rsidR="00EB6D2B" w:rsidRPr="00515994" w:rsidRDefault="00EB6D2B" w:rsidP="00515994">
            <w:pPr>
              <w:jc w:val="both"/>
              <w:rPr>
                <w:rFonts w:asciiTheme="minorHAnsi" w:hAnsiTheme="minorHAnsi" w:cstheme="minorHAnsi"/>
                <w:sz w:val="22"/>
              </w:rPr>
            </w:pPr>
          </w:p>
        </w:tc>
      </w:tr>
      <w:tr w:rsidR="00EB6D2B" w:rsidRPr="002F7AA5" w14:paraId="49A6579E" w14:textId="77777777" w:rsidTr="00705040">
        <w:tc>
          <w:tcPr>
            <w:tcW w:w="4508" w:type="dxa"/>
          </w:tcPr>
          <w:p w14:paraId="0DA2CB75" w14:textId="449F41F6" w:rsidR="00EB6D2B" w:rsidRPr="00515994" w:rsidRDefault="00EB6D2B" w:rsidP="00515994">
            <w:pPr>
              <w:jc w:val="both"/>
              <w:rPr>
                <w:rFonts w:asciiTheme="minorHAnsi" w:hAnsiTheme="minorHAnsi" w:cstheme="minorHAnsi"/>
                <w:sz w:val="22"/>
                <w:lang w:val="fr-BE"/>
              </w:rPr>
            </w:pPr>
            <w:r w:rsidRPr="00515994">
              <w:rPr>
                <w:rFonts w:asciiTheme="minorHAnsi" w:eastAsia="Times New Roman" w:hAnsiTheme="minorHAnsi" w:cstheme="minorHAnsi"/>
                <w:bCs/>
                <w:sz w:val="22"/>
                <w:lang w:val="fr-FR" w:eastAsia="fr-FR"/>
              </w:rPr>
              <w:t>3° pour les services de communications électroniques à l’exception des services d’accès à Internet, l’adresse IP utilisée par le destinataire de la communication, l’horodatage ainsi que, en cas d'utilisation partagée d'une adresse IP du destinataire, les ports qui lui ont été attribués ;</w:t>
            </w:r>
          </w:p>
        </w:tc>
        <w:tc>
          <w:tcPr>
            <w:tcW w:w="4508" w:type="dxa"/>
          </w:tcPr>
          <w:p w14:paraId="3963EDCB" w14:textId="6C0229D8" w:rsidR="00EB6D2B" w:rsidRPr="00515994" w:rsidRDefault="00EB6D2B" w:rsidP="00515994">
            <w:pPr>
              <w:jc w:val="both"/>
              <w:rPr>
                <w:rFonts w:asciiTheme="minorHAnsi" w:hAnsiTheme="minorHAnsi" w:cstheme="minorHAnsi"/>
                <w:sz w:val="22"/>
              </w:rPr>
            </w:pPr>
            <w:r w:rsidRPr="00515994">
              <w:rPr>
                <w:rFonts w:asciiTheme="minorHAnsi" w:eastAsia="Times New Roman" w:hAnsiTheme="minorHAnsi" w:cstheme="minorHAnsi"/>
                <w:sz w:val="22"/>
                <w:lang w:eastAsia="fr-FR"/>
              </w:rPr>
              <w:t>3° voor de elektronische-communicatiediensten met uitzondering van de internettoegangsdiensten, het IP-adres dat gebruikt is door de geadresseerde van de communicatie, het tijdstempel alsook, in geval van gedeeld gebruik van een IP-adres van de geadresseerde, de poorten die aan hem zijn toegewezen;</w:t>
            </w:r>
          </w:p>
        </w:tc>
      </w:tr>
      <w:tr w:rsidR="00EB6D2B" w:rsidRPr="002F7AA5" w14:paraId="4CA83F71" w14:textId="77777777" w:rsidTr="00705040">
        <w:tc>
          <w:tcPr>
            <w:tcW w:w="4508" w:type="dxa"/>
          </w:tcPr>
          <w:p w14:paraId="0B3B21AD" w14:textId="77777777" w:rsidR="00EB6D2B" w:rsidRPr="00515994" w:rsidRDefault="00EB6D2B" w:rsidP="00515994">
            <w:pPr>
              <w:jc w:val="both"/>
              <w:rPr>
                <w:rFonts w:asciiTheme="minorHAnsi" w:hAnsiTheme="minorHAnsi" w:cstheme="minorHAnsi"/>
                <w:sz w:val="22"/>
              </w:rPr>
            </w:pPr>
          </w:p>
        </w:tc>
        <w:tc>
          <w:tcPr>
            <w:tcW w:w="4508" w:type="dxa"/>
          </w:tcPr>
          <w:p w14:paraId="7687A3EA" w14:textId="77777777" w:rsidR="00EB6D2B" w:rsidRPr="00515994" w:rsidRDefault="00EB6D2B" w:rsidP="00515994">
            <w:pPr>
              <w:jc w:val="both"/>
              <w:rPr>
                <w:rFonts w:asciiTheme="minorHAnsi" w:hAnsiTheme="minorHAnsi" w:cstheme="minorHAnsi"/>
                <w:sz w:val="22"/>
              </w:rPr>
            </w:pPr>
          </w:p>
        </w:tc>
      </w:tr>
      <w:tr w:rsidR="00EB6D2B" w:rsidRPr="002F7AA5" w14:paraId="350F00DD" w14:textId="77777777" w:rsidTr="00705040">
        <w:tc>
          <w:tcPr>
            <w:tcW w:w="4508" w:type="dxa"/>
          </w:tcPr>
          <w:p w14:paraId="6D96C091" w14:textId="4EE5577B" w:rsidR="00EB6D2B" w:rsidRPr="00515994" w:rsidRDefault="00EB6D2B" w:rsidP="00515994">
            <w:pPr>
              <w:jc w:val="both"/>
              <w:rPr>
                <w:rFonts w:asciiTheme="minorHAnsi" w:hAnsiTheme="minorHAnsi" w:cstheme="minorHAnsi"/>
                <w:sz w:val="22"/>
                <w:lang w:val="fr-BE"/>
              </w:rPr>
            </w:pPr>
            <w:r w:rsidRPr="00515994">
              <w:rPr>
                <w:rFonts w:asciiTheme="minorHAnsi" w:eastAsia="Times New Roman" w:hAnsiTheme="minorHAnsi" w:cstheme="minorHAnsi"/>
                <w:bCs/>
                <w:sz w:val="22"/>
                <w:lang w:val="fr-FR" w:eastAsia="fr-FR"/>
              </w:rPr>
              <w:t>4° l’identifiant unique pour les appels individuels (« SIP call ID ») ;</w:t>
            </w:r>
          </w:p>
        </w:tc>
        <w:tc>
          <w:tcPr>
            <w:tcW w:w="4508" w:type="dxa"/>
          </w:tcPr>
          <w:p w14:paraId="4B6677CE" w14:textId="35F89A99" w:rsidR="00EB6D2B" w:rsidRPr="00515994" w:rsidRDefault="00EB6D2B" w:rsidP="00515994">
            <w:pPr>
              <w:jc w:val="both"/>
              <w:rPr>
                <w:rFonts w:asciiTheme="minorHAnsi" w:hAnsiTheme="minorHAnsi" w:cstheme="minorHAnsi"/>
                <w:sz w:val="22"/>
              </w:rPr>
            </w:pPr>
            <w:r w:rsidRPr="00515994">
              <w:rPr>
                <w:rFonts w:asciiTheme="minorHAnsi" w:eastAsia="Times New Roman" w:hAnsiTheme="minorHAnsi" w:cstheme="minorHAnsi"/>
                <w:sz w:val="22"/>
                <w:lang w:eastAsia="fr-FR"/>
              </w:rPr>
              <w:t xml:space="preserve">4° de unieke </w:t>
            </w:r>
            <w:proofErr w:type="spellStart"/>
            <w:r w:rsidR="00D169DD">
              <w:rPr>
                <w:rFonts w:asciiTheme="minorHAnsi" w:eastAsia="Times New Roman" w:hAnsiTheme="minorHAnsi" w:cstheme="minorHAnsi"/>
                <w:sz w:val="22"/>
                <w:lang w:eastAsia="fr-FR"/>
              </w:rPr>
              <w:t>identifi</w:t>
            </w:r>
            <w:r w:rsidR="0005635B">
              <w:rPr>
                <w:rFonts w:asciiTheme="minorHAnsi" w:eastAsia="Times New Roman" w:hAnsiTheme="minorHAnsi" w:cstheme="minorHAnsi"/>
                <w:sz w:val="22"/>
                <w:lang w:eastAsia="fr-FR"/>
              </w:rPr>
              <w:t>er</w:t>
            </w:r>
            <w:proofErr w:type="spellEnd"/>
            <w:r w:rsidRPr="00515994">
              <w:rPr>
                <w:rFonts w:asciiTheme="minorHAnsi" w:eastAsia="Times New Roman" w:hAnsiTheme="minorHAnsi" w:cstheme="minorHAnsi"/>
                <w:sz w:val="22"/>
                <w:lang w:eastAsia="fr-FR"/>
              </w:rPr>
              <w:t xml:space="preserve"> voor de individuele oproepen (“SIP call ID”);</w:t>
            </w:r>
          </w:p>
        </w:tc>
      </w:tr>
      <w:tr w:rsidR="00EB6D2B" w:rsidRPr="002F7AA5" w14:paraId="45E549AA" w14:textId="77777777" w:rsidTr="00705040">
        <w:tc>
          <w:tcPr>
            <w:tcW w:w="4508" w:type="dxa"/>
          </w:tcPr>
          <w:p w14:paraId="1BA0EEC3" w14:textId="77777777" w:rsidR="00EB6D2B" w:rsidRPr="00515994" w:rsidRDefault="00EB6D2B" w:rsidP="00515994">
            <w:pPr>
              <w:jc w:val="both"/>
              <w:rPr>
                <w:rFonts w:asciiTheme="minorHAnsi" w:hAnsiTheme="minorHAnsi" w:cstheme="minorHAnsi"/>
                <w:sz w:val="22"/>
              </w:rPr>
            </w:pPr>
          </w:p>
        </w:tc>
        <w:tc>
          <w:tcPr>
            <w:tcW w:w="4508" w:type="dxa"/>
          </w:tcPr>
          <w:p w14:paraId="07F46577" w14:textId="77777777" w:rsidR="00EB6D2B" w:rsidRPr="00515994" w:rsidRDefault="00EB6D2B" w:rsidP="00515994">
            <w:pPr>
              <w:jc w:val="both"/>
              <w:rPr>
                <w:rFonts w:asciiTheme="minorHAnsi" w:hAnsiTheme="minorHAnsi" w:cstheme="minorHAnsi"/>
                <w:sz w:val="22"/>
              </w:rPr>
            </w:pPr>
          </w:p>
        </w:tc>
      </w:tr>
      <w:tr w:rsidR="00EB6D2B" w:rsidRPr="002F7AA5" w14:paraId="136A7F54" w14:textId="77777777" w:rsidTr="00705040">
        <w:tc>
          <w:tcPr>
            <w:tcW w:w="4508" w:type="dxa"/>
          </w:tcPr>
          <w:p w14:paraId="0847EAE2" w14:textId="3488F884" w:rsidR="00EB6D2B" w:rsidRPr="00C462D9" w:rsidRDefault="00EB6D2B" w:rsidP="00515994">
            <w:pPr>
              <w:jc w:val="both"/>
              <w:rPr>
                <w:rFonts w:asciiTheme="minorHAnsi" w:hAnsiTheme="minorHAnsi" w:cstheme="minorHAnsi"/>
                <w:bCs/>
                <w:sz w:val="22"/>
                <w:lang w:val="fr-BE"/>
              </w:rPr>
            </w:pPr>
            <w:bookmarkStart w:id="56" w:name="_Hlk96521762"/>
            <w:r w:rsidRPr="00C462D9">
              <w:rPr>
                <w:rFonts w:asciiTheme="minorHAnsi" w:eastAsia="Times New Roman" w:hAnsiTheme="minorHAnsi" w:cstheme="minorHAnsi"/>
                <w:bCs/>
                <w:sz w:val="22"/>
                <w:lang w:val="fr-FR" w:eastAsia="fr-FR"/>
              </w:rPr>
              <w:t>5° en cas d'appel multiple, de déviation ou de renvoi, l'identification de toutes les lignes en ce compris, celles vers lesquelles l'appel a été transféré ;</w:t>
            </w:r>
          </w:p>
        </w:tc>
        <w:tc>
          <w:tcPr>
            <w:tcW w:w="4508" w:type="dxa"/>
          </w:tcPr>
          <w:p w14:paraId="4A0A97B3" w14:textId="05B2A81D" w:rsidR="00EB6D2B" w:rsidRPr="00C462D9" w:rsidRDefault="00EB6D2B" w:rsidP="00515994">
            <w:pPr>
              <w:jc w:val="both"/>
              <w:rPr>
                <w:rFonts w:asciiTheme="minorHAnsi" w:hAnsiTheme="minorHAnsi" w:cstheme="minorHAnsi"/>
                <w:bCs/>
                <w:sz w:val="22"/>
              </w:rPr>
            </w:pPr>
            <w:r w:rsidRPr="00C462D9">
              <w:rPr>
                <w:rFonts w:asciiTheme="minorHAnsi" w:eastAsia="Times New Roman" w:hAnsiTheme="minorHAnsi" w:cstheme="minorHAnsi"/>
                <w:bCs/>
                <w:sz w:val="22"/>
                <w:lang w:eastAsia="fr-FR"/>
              </w:rPr>
              <w:t>5° in geval van een groepsgesprek, oproepdoorschakeling of -doorverbinding, de identificatie van alle lijnen waaronder ook diegene waarnaar de oproep is doorgeleid;</w:t>
            </w:r>
          </w:p>
        </w:tc>
      </w:tr>
      <w:bookmarkEnd w:id="56"/>
      <w:tr w:rsidR="00EB6D2B" w:rsidRPr="002F7AA5" w14:paraId="5D659BE5" w14:textId="77777777" w:rsidTr="00705040">
        <w:tc>
          <w:tcPr>
            <w:tcW w:w="4508" w:type="dxa"/>
          </w:tcPr>
          <w:p w14:paraId="77A3700F" w14:textId="77777777" w:rsidR="00EB6D2B" w:rsidRPr="00C462D9" w:rsidRDefault="00EB6D2B" w:rsidP="00515994">
            <w:pPr>
              <w:jc w:val="both"/>
              <w:rPr>
                <w:rFonts w:asciiTheme="minorHAnsi" w:hAnsiTheme="minorHAnsi" w:cstheme="minorHAnsi"/>
                <w:bCs/>
                <w:sz w:val="22"/>
              </w:rPr>
            </w:pPr>
          </w:p>
        </w:tc>
        <w:tc>
          <w:tcPr>
            <w:tcW w:w="4508" w:type="dxa"/>
          </w:tcPr>
          <w:p w14:paraId="540EF8A4" w14:textId="77777777" w:rsidR="00EB6D2B" w:rsidRPr="00C462D9" w:rsidRDefault="00EB6D2B" w:rsidP="00515994">
            <w:pPr>
              <w:jc w:val="both"/>
              <w:rPr>
                <w:rFonts w:asciiTheme="minorHAnsi" w:hAnsiTheme="minorHAnsi" w:cstheme="minorHAnsi"/>
                <w:bCs/>
                <w:sz w:val="22"/>
              </w:rPr>
            </w:pPr>
          </w:p>
        </w:tc>
      </w:tr>
      <w:tr w:rsidR="00EB6D2B" w:rsidRPr="002F7AA5" w14:paraId="52036B85" w14:textId="77777777" w:rsidTr="00705040">
        <w:tc>
          <w:tcPr>
            <w:tcW w:w="4508" w:type="dxa"/>
          </w:tcPr>
          <w:p w14:paraId="1E1A84BF" w14:textId="31E810F1" w:rsidR="00EB6D2B" w:rsidRPr="00C462D9" w:rsidRDefault="00EB6D2B" w:rsidP="00515994">
            <w:pPr>
              <w:jc w:val="both"/>
              <w:rPr>
                <w:rFonts w:asciiTheme="minorHAnsi" w:hAnsiTheme="minorHAnsi" w:cstheme="minorHAnsi"/>
                <w:bCs/>
                <w:sz w:val="22"/>
                <w:lang w:val="fr-BE"/>
              </w:rPr>
            </w:pPr>
            <w:r w:rsidRPr="00C462D9">
              <w:rPr>
                <w:rFonts w:asciiTheme="minorHAnsi" w:eastAsia="Times New Roman" w:hAnsiTheme="minorHAnsi" w:cstheme="minorHAnsi"/>
                <w:bCs/>
                <w:sz w:val="22"/>
                <w:lang w:val="fr-BE" w:eastAsia="fr-FR"/>
              </w:rPr>
              <w:t>6</w:t>
            </w:r>
            <w:r w:rsidRPr="00C462D9">
              <w:rPr>
                <w:rFonts w:asciiTheme="minorHAnsi" w:eastAsia="Times New Roman" w:hAnsiTheme="minorHAnsi" w:cstheme="minorHAnsi"/>
                <w:bCs/>
                <w:sz w:val="22"/>
                <w:lang w:val="fr-FR" w:eastAsia="fr-FR"/>
              </w:rPr>
              <w:t>° la date et l'heure exacte du début et de la fin de la session du service de communication électronique concerné, en ce compris la date et l'heure exacte du début et de la fin de l’appel ;</w:t>
            </w:r>
          </w:p>
        </w:tc>
        <w:tc>
          <w:tcPr>
            <w:tcW w:w="4508" w:type="dxa"/>
          </w:tcPr>
          <w:p w14:paraId="7A636415" w14:textId="174F8CFC" w:rsidR="00EB6D2B" w:rsidRPr="00C462D9" w:rsidRDefault="00EB6D2B" w:rsidP="00515994">
            <w:pPr>
              <w:jc w:val="both"/>
              <w:rPr>
                <w:rFonts w:asciiTheme="minorHAnsi" w:hAnsiTheme="minorHAnsi" w:cstheme="minorHAnsi"/>
                <w:bCs/>
                <w:sz w:val="22"/>
              </w:rPr>
            </w:pPr>
            <w:r w:rsidRPr="00C462D9">
              <w:rPr>
                <w:rFonts w:asciiTheme="minorHAnsi" w:eastAsia="Times New Roman" w:hAnsiTheme="minorHAnsi" w:cstheme="minorHAnsi"/>
                <w:bCs/>
                <w:sz w:val="22"/>
                <w:lang w:eastAsia="fr-FR"/>
              </w:rPr>
              <w:t xml:space="preserve">6° </w:t>
            </w:r>
            <w:r w:rsidRPr="00C462D9">
              <w:rPr>
                <w:rFonts w:asciiTheme="minorHAnsi" w:hAnsiTheme="minorHAnsi" w:cstheme="minorHAnsi"/>
                <w:bCs/>
                <w:sz w:val="22"/>
              </w:rPr>
              <w:t xml:space="preserve">de datum en het </w:t>
            </w:r>
            <w:r w:rsidR="00153FF6">
              <w:rPr>
                <w:rFonts w:asciiTheme="minorHAnsi" w:hAnsiTheme="minorHAnsi" w:cstheme="minorHAnsi"/>
                <w:bCs/>
                <w:sz w:val="22"/>
              </w:rPr>
              <w:t>exacte</w:t>
            </w:r>
            <w:r w:rsidR="00153FF6" w:rsidRPr="00C462D9">
              <w:rPr>
                <w:rFonts w:asciiTheme="minorHAnsi" w:hAnsiTheme="minorHAnsi" w:cstheme="minorHAnsi"/>
                <w:bCs/>
                <w:sz w:val="22"/>
              </w:rPr>
              <w:t xml:space="preserve"> </w:t>
            </w:r>
            <w:r w:rsidRPr="00C462D9">
              <w:rPr>
                <w:rFonts w:asciiTheme="minorHAnsi" w:hAnsiTheme="minorHAnsi" w:cstheme="minorHAnsi"/>
                <w:bCs/>
                <w:sz w:val="22"/>
              </w:rPr>
              <w:t xml:space="preserve">tijdstip van </w:t>
            </w:r>
            <w:r w:rsidR="00153FF6">
              <w:rPr>
                <w:rFonts w:asciiTheme="minorHAnsi" w:hAnsiTheme="minorHAnsi" w:cstheme="minorHAnsi"/>
                <w:bCs/>
                <w:sz w:val="22"/>
              </w:rPr>
              <w:t xml:space="preserve">de </w:t>
            </w:r>
            <w:r w:rsidRPr="00C462D9">
              <w:rPr>
                <w:rFonts w:asciiTheme="minorHAnsi" w:hAnsiTheme="minorHAnsi" w:cstheme="minorHAnsi"/>
                <w:bCs/>
                <w:sz w:val="22"/>
              </w:rPr>
              <w:t xml:space="preserve">aanvang en </w:t>
            </w:r>
            <w:r w:rsidR="00153FF6">
              <w:rPr>
                <w:rFonts w:asciiTheme="minorHAnsi" w:hAnsiTheme="minorHAnsi" w:cstheme="minorHAnsi"/>
                <w:bCs/>
                <w:sz w:val="22"/>
              </w:rPr>
              <w:t xml:space="preserve">het </w:t>
            </w:r>
            <w:r w:rsidRPr="00C462D9">
              <w:rPr>
                <w:rFonts w:asciiTheme="minorHAnsi" w:hAnsiTheme="minorHAnsi" w:cstheme="minorHAnsi"/>
                <w:bCs/>
                <w:sz w:val="22"/>
              </w:rPr>
              <w:t xml:space="preserve">einde van de sessie van de betrokken elektronische-communicatiedienst, waaronder de datum en het </w:t>
            </w:r>
            <w:r w:rsidR="00153FF6">
              <w:rPr>
                <w:rFonts w:asciiTheme="minorHAnsi" w:hAnsiTheme="minorHAnsi" w:cstheme="minorHAnsi"/>
                <w:bCs/>
                <w:sz w:val="22"/>
              </w:rPr>
              <w:t>exacte</w:t>
            </w:r>
            <w:r w:rsidR="00153FF6" w:rsidRPr="00C462D9">
              <w:rPr>
                <w:rFonts w:asciiTheme="minorHAnsi" w:hAnsiTheme="minorHAnsi" w:cstheme="minorHAnsi"/>
                <w:bCs/>
                <w:sz w:val="22"/>
              </w:rPr>
              <w:t xml:space="preserve"> </w:t>
            </w:r>
            <w:r w:rsidRPr="00C462D9">
              <w:rPr>
                <w:rFonts w:asciiTheme="minorHAnsi" w:hAnsiTheme="minorHAnsi" w:cstheme="minorHAnsi"/>
                <w:bCs/>
                <w:sz w:val="22"/>
              </w:rPr>
              <w:t xml:space="preserve">tijdstip van </w:t>
            </w:r>
            <w:r w:rsidR="00153FF6">
              <w:rPr>
                <w:rFonts w:asciiTheme="minorHAnsi" w:hAnsiTheme="minorHAnsi" w:cstheme="minorHAnsi"/>
                <w:bCs/>
                <w:sz w:val="22"/>
              </w:rPr>
              <w:t xml:space="preserve">de </w:t>
            </w:r>
            <w:r w:rsidRPr="00C462D9">
              <w:rPr>
                <w:rFonts w:asciiTheme="minorHAnsi" w:hAnsiTheme="minorHAnsi" w:cstheme="minorHAnsi"/>
                <w:bCs/>
                <w:sz w:val="22"/>
              </w:rPr>
              <w:t xml:space="preserve">aanvang en </w:t>
            </w:r>
            <w:r w:rsidR="00153FF6">
              <w:rPr>
                <w:rFonts w:asciiTheme="minorHAnsi" w:hAnsiTheme="minorHAnsi" w:cstheme="minorHAnsi"/>
                <w:bCs/>
                <w:sz w:val="22"/>
              </w:rPr>
              <w:t xml:space="preserve">het </w:t>
            </w:r>
            <w:r w:rsidRPr="00C462D9">
              <w:rPr>
                <w:rFonts w:asciiTheme="minorHAnsi" w:hAnsiTheme="minorHAnsi" w:cstheme="minorHAnsi"/>
                <w:bCs/>
                <w:sz w:val="22"/>
              </w:rPr>
              <w:t>einde van de oproep;</w:t>
            </w:r>
          </w:p>
        </w:tc>
      </w:tr>
      <w:tr w:rsidR="00EB6D2B" w:rsidRPr="002F7AA5" w14:paraId="180C2E09" w14:textId="77777777" w:rsidTr="00705040">
        <w:tc>
          <w:tcPr>
            <w:tcW w:w="4508" w:type="dxa"/>
          </w:tcPr>
          <w:p w14:paraId="6840AAC0" w14:textId="77777777" w:rsidR="00EB6D2B" w:rsidRPr="00C462D9" w:rsidRDefault="00EB6D2B" w:rsidP="00515994">
            <w:pPr>
              <w:jc w:val="both"/>
              <w:rPr>
                <w:rFonts w:asciiTheme="minorHAnsi" w:hAnsiTheme="minorHAnsi" w:cstheme="minorHAnsi"/>
                <w:bCs/>
                <w:sz w:val="22"/>
              </w:rPr>
            </w:pPr>
          </w:p>
        </w:tc>
        <w:tc>
          <w:tcPr>
            <w:tcW w:w="4508" w:type="dxa"/>
          </w:tcPr>
          <w:p w14:paraId="13E37500" w14:textId="77777777" w:rsidR="00EB6D2B" w:rsidRPr="00C462D9" w:rsidRDefault="00EB6D2B" w:rsidP="00515994">
            <w:pPr>
              <w:jc w:val="both"/>
              <w:rPr>
                <w:rFonts w:asciiTheme="minorHAnsi" w:hAnsiTheme="minorHAnsi" w:cstheme="minorHAnsi"/>
                <w:bCs/>
                <w:sz w:val="22"/>
              </w:rPr>
            </w:pPr>
          </w:p>
        </w:tc>
      </w:tr>
      <w:tr w:rsidR="00EB6D2B" w:rsidRPr="002F7AA5" w14:paraId="3454A08C" w14:textId="77777777" w:rsidTr="00705040">
        <w:tc>
          <w:tcPr>
            <w:tcW w:w="4508" w:type="dxa"/>
          </w:tcPr>
          <w:p w14:paraId="264EC91E" w14:textId="6601EF55" w:rsidR="00EB6D2B" w:rsidRPr="00C462D9" w:rsidRDefault="00EB6D2B" w:rsidP="00515994">
            <w:pPr>
              <w:jc w:val="both"/>
              <w:rPr>
                <w:rFonts w:asciiTheme="minorHAnsi" w:hAnsiTheme="minorHAnsi" w:cstheme="minorHAnsi"/>
                <w:bCs/>
                <w:sz w:val="22"/>
                <w:lang w:val="fr-BE"/>
              </w:rPr>
            </w:pPr>
            <w:r w:rsidRPr="00C462D9">
              <w:rPr>
                <w:rFonts w:asciiTheme="minorHAnsi" w:hAnsiTheme="minorHAnsi" w:cstheme="minorHAnsi"/>
                <w:bCs/>
                <w:sz w:val="22"/>
                <w:lang w:val="fr-BE"/>
              </w:rPr>
              <w:t xml:space="preserve">7° les données permettant d’identifier et de localiser les cellules ou d’autres points de terminaison du réseau, qui ont été utilisé(e)s pour effectuer la communication, du début </w:t>
            </w:r>
            <w:r w:rsidRPr="00C462D9">
              <w:rPr>
                <w:rFonts w:asciiTheme="minorHAnsi" w:hAnsiTheme="minorHAnsi" w:cstheme="minorHAnsi"/>
                <w:bCs/>
                <w:sz w:val="22"/>
                <w:lang w:val="fr-BE"/>
              </w:rPr>
              <w:lastRenderedPageBreak/>
              <w:t>jusqu’à la fin de la communication, ainsi que les dates et heures précises de ces  différentes localisations ;</w:t>
            </w:r>
          </w:p>
        </w:tc>
        <w:tc>
          <w:tcPr>
            <w:tcW w:w="4508" w:type="dxa"/>
          </w:tcPr>
          <w:p w14:paraId="37864011" w14:textId="73477D6C" w:rsidR="00EB6D2B" w:rsidRPr="00C462D9" w:rsidRDefault="00EB6D2B" w:rsidP="00515994">
            <w:pPr>
              <w:jc w:val="both"/>
              <w:rPr>
                <w:rFonts w:asciiTheme="minorHAnsi" w:hAnsiTheme="minorHAnsi" w:cstheme="minorHAnsi"/>
                <w:bCs/>
                <w:sz w:val="22"/>
              </w:rPr>
            </w:pPr>
            <w:r w:rsidRPr="00C462D9">
              <w:rPr>
                <w:rFonts w:asciiTheme="minorHAnsi" w:hAnsiTheme="minorHAnsi" w:cstheme="minorHAnsi"/>
                <w:bCs/>
                <w:sz w:val="22"/>
              </w:rPr>
              <w:lastRenderedPageBreak/>
              <w:t xml:space="preserve">7° de gegevens voor het identificeren en het lokaliseren van de cellen of andere netwerkaansluitpunten, die werden gebruikt voor de communicatie, van de start tot het einde </w:t>
            </w:r>
            <w:r w:rsidRPr="00C462D9">
              <w:rPr>
                <w:rFonts w:asciiTheme="minorHAnsi" w:hAnsiTheme="minorHAnsi" w:cstheme="minorHAnsi"/>
                <w:bCs/>
                <w:sz w:val="22"/>
              </w:rPr>
              <w:lastRenderedPageBreak/>
              <w:t>van de communicatie, alsook de exacte data en tijdstippen van deze verschillende locaties;</w:t>
            </w:r>
          </w:p>
        </w:tc>
      </w:tr>
      <w:tr w:rsidR="00EB6D2B" w:rsidRPr="002F7AA5" w14:paraId="2F33828A" w14:textId="77777777" w:rsidTr="00705040">
        <w:tc>
          <w:tcPr>
            <w:tcW w:w="4508" w:type="dxa"/>
          </w:tcPr>
          <w:p w14:paraId="1210BAE1" w14:textId="77777777" w:rsidR="00EB6D2B" w:rsidRPr="00C462D9" w:rsidRDefault="00EB6D2B" w:rsidP="00515994">
            <w:pPr>
              <w:jc w:val="both"/>
              <w:rPr>
                <w:rFonts w:asciiTheme="minorHAnsi" w:hAnsiTheme="minorHAnsi" w:cstheme="minorHAnsi"/>
                <w:bCs/>
                <w:sz w:val="22"/>
              </w:rPr>
            </w:pPr>
          </w:p>
        </w:tc>
        <w:tc>
          <w:tcPr>
            <w:tcW w:w="4508" w:type="dxa"/>
          </w:tcPr>
          <w:p w14:paraId="26DE0A07" w14:textId="77777777" w:rsidR="00EB6D2B" w:rsidRPr="00C462D9" w:rsidRDefault="00EB6D2B" w:rsidP="00515994">
            <w:pPr>
              <w:jc w:val="both"/>
              <w:rPr>
                <w:rFonts w:asciiTheme="minorHAnsi" w:hAnsiTheme="minorHAnsi" w:cstheme="minorHAnsi"/>
                <w:bCs/>
                <w:sz w:val="22"/>
              </w:rPr>
            </w:pPr>
          </w:p>
        </w:tc>
      </w:tr>
      <w:tr w:rsidR="00EB6D2B" w:rsidRPr="002F7AA5" w14:paraId="044105B4" w14:textId="77777777" w:rsidTr="00705040">
        <w:tc>
          <w:tcPr>
            <w:tcW w:w="4508" w:type="dxa"/>
          </w:tcPr>
          <w:p w14:paraId="6623B35C" w14:textId="339EA5D5" w:rsidR="00EB6D2B" w:rsidRPr="00C462D9" w:rsidRDefault="00EB6D2B" w:rsidP="00515994">
            <w:pPr>
              <w:jc w:val="both"/>
              <w:rPr>
                <w:rFonts w:asciiTheme="minorHAnsi" w:hAnsiTheme="minorHAnsi" w:cstheme="minorHAnsi"/>
                <w:bCs/>
                <w:sz w:val="22"/>
                <w:lang w:val="fr-BE"/>
              </w:rPr>
            </w:pPr>
            <w:r w:rsidRPr="00C462D9">
              <w:rPr>
                <w:rFonts w:asciiTheme="minorHAnsi" w:hAnsiTheme="minorHAnsi" w:cstheme="minorHAnsi"/>
                <w:bCs/>
                <w:sz w:val="22"/>
                <w:lang w:val="fr-BE"/>
              </w:rPr>
              <w:t>8° le volume de données envoyées vers le réseau et téléchargées pendant la durée de la session ;</w:t>
            </w:r>
          </w:p>
        </w:tc>
        <w:tc>
          <w:tcPr>
            <w:tcW w:w="4508" w:type="dxa"/>
          </w:tcPr>
          <w:p w14:paraId="02A4B85A" w14:textId="76D7E431" w:rsidR="00EB6D2B" w:rsidRPr="00C462D9" w:rsidRDefault="00EB6D2B" w:rsidP="00515994">
            <w:pPr>
              <w:jc w:val="both"/>
              <w:rPr>
                <w:rFonts w:asciiTheme="minorHAnsi" w:hAnsiTheme="minorHAnsi" w:cstheme="minorHAnsi"/>
                <w:bCs/>
                <w:sz w:val="22"/>
              </w:rPr>
            </w:pPr>
            <w:r w:rsidRPr="00C462D9">
              <w:rPr>
                <w:rFonts w:asciiTheme="minorHAnsi" w:hAnsiTheme="minorHAnsi" w:cstheme="minorHAnsi"/>
                <w:bCs/>
                <w:sz w:val="22"/>
              </w:rPr>
              <w:t>8° het tijdens de sessie geüploade en gedownloade volume van gegevens;</w:t>
            </w:r>
          </w:p>
        </w:tc>
      </w:tr>
      <w:tr w:rsidR="00EB6D2B" w:rsidRPr="002F7AA5" w14:paraId="1CB48A0E" w14:textId="77777777" w:rsidTr="00705040">
        <w:tc>
          <w:tcPr>
            <w:tcW w:w="4508" w:type="dxa"/>
          </w:tcPr>
          <w:p w14:paraId="4D8475ED" w14:textId="77777777" w:rsidR="00EB6D2B" w:rsidRPr="00C462D9" w:rsidRDefault="00EB6D2B" w:rsidP="00515994">
            <w:pPr>
              <w:jc w:val="both"/>
              <w:rPr>
                <w:rFonts w:asciiTheme="minorHAnsi" w:hAnsiTheme="minorHAnsi" w:cstheme="minorHAnsi"/>
                <w:bCs/>
                <w:sz w:val="22"/>
              </w:rPr>
            </w:pPr>
          </w:p>
        </w:tc>
        <w:tc>
          <w:tcPr>
            <w:tcW w:w="4508" w:type="dxa"/>
          </w:tcPr>
          <w:p w14:paraId="6DACE405" w14:textId="77777777" w:rsidR="00EB6D2B" w:rsidRPr="00C462D9" w:rsidRDefault="00EB6D2B" w:rsidP="00515994">
            <w:pPr>
              <w:jc w:val="both"/>
              <w:rPr>
                <w:rFonts w:asciiTheme="minorHAnsi" w:hAnsiTheme="minorHAnsi" w:cstheme="minorHAnsi"/>
                <w:bCs/>
                <w:sz w:val="22"/>
              </w:rPr>
            </w:pPr>
          </w:p>
        </w:tc>
      </w:tr>
      <w:tr w:rsidR="00EB6D2B" w:rsidRPr="002F7AA5" w14:paraId="5B5E3083" w14:textId="77777777" w:rsidTr="00705040">
        <w:tc>
          <w:tcPr>
            <w:tcW w:w="4508" w:type="dxa"/>
          </w:tcPr>
          <w:p w14:paraId="552106D6" w14:textId="5F6AD15F" w:rsidR="00EB6D2B" w:rsidRPr="00C462D9" w:rsidRDefault="00EB6D2B" w:rsidP="00515994">
            <w:pPr>
              <w:jc w:val="both"/>
              <w:rPr>
                <w:rFonts w:asciiTheme="minorHAnsi" w:hAnsiTheme="minorHAnsi" w:cstheme="minorHAnsi"/>
                <w:bCs/>
                <w:sz w:val="22"/>
                <w:lang w:val="fr-BE"/>
              </w:rPr>
            </w:pPr>
            <w:r w:rsidRPr="00C462D9">
              <w:rPr>
                <w:rFonts w:asciiTheme="minorHAnsi" w:hAnsiTheme="minorHAnsi" w:cstheme="minorHAnsi"/>
                <w:bCs/>
                <w:sz w:val="22"/>
                <w:lang w:val="fr-BE"/>
              </w:rPr>
              <w:t>9° pour ce qui concerne les services de communications électroniques mobiles, la date et l’heure  de la connexion de l’équipement terminal au réseau en raison du démarrage de cet équipement et le moment de la déconnexion de cet équipement au réseau en raison de l’extinction de cet équipement ;</w:t>
            </w:r>
          </w:p>
        </w:tc>
        <w:tc>
          <w:tcPr>
            <w:tcW w:w="4508" w:type="dxa"/>
          </w:tcPr>
          <w:p w14:paraId="6F103215" w14:textId="792DD8B2" w:rsidR="00EB6D2B" w:rsidRPr="00C462D9" w:rsidRDefault="00EB6D2B" w:rsidP="00515994">
            <w:pPr>
              <w:jc w:val="both"/>
              <w:rPr>
                <w:rFonts w:asciiTheme="minorHAnsi" w:hAnsiTheme="minorHAnsi" w:cstheme="minorHAnsi"/>
                <w:bCs/>
                <w:sz w:val="22"/>
              </w:rPr>
            </w:pPr>
            <w:r w:rsidRPr="00C462D9">
              <w:rPr>
                <w:rFonts w:asciiTheme="minorHAnsi" w:hAnsiTheme="minorHAnsi" w:cstheme="minorHAnsi"/>
                <w:bCs/>
                <w:sz w:val="22"/>
              </w:rPr>
              <w:t xml:space="preserve">9° voor wat betreft de mobiele elektronische-communicatiediensten, de datum en het tijdstip van de verbinding van de eindapparatuur met het netwerk </w:t>
            </w:r>
            <w:r w:rsidR="00560ABB">
              <w:rPr>
                <w:rFonts w:asciiTheme="minorHAnsi" w:hAnsiTheme="minorHAnsi" w:cstheme="minorHAnsi"/>
                <w:bCs/>
                <w:sz w:val="22"/>
              </w:rPr>
              <w:t xml:space="preserve">wegens van het opstarten van die apparatuur, </w:t>
            </w:r>
            <w:r w:rsidRPr="00C462D9">
              <w:rPr>
                <w:rFonts w:asciiTheme="minorHAnsi" w:hAnsiTheme="minorHAnsi" w:cstheme="minorHAnsi"/>
                <w:bCs/>
                <w:sz w:val="22"/>
              </w:rPr>
              <w:t xml:space="preserve">en het moment waarop de verbinding van deze eindapparatuur met het netwerk wordt verbroken </w:t>
            </w:r>
            <w:r w:rsidR="00560ABB">
              <w:rPr>
                <w:rFonts w:asciiTheme="minorHAnsi" w:hAnsiTheme="minorHAnsi" w:cstheme="minorHAnsi"/>
                <w:bCs/>
                <w:sz w:val="22"/>
              </w:rPr>
              <w:t>wegens het uitschakelen van die apparatuur</w:t>
            </w:r>
            <w:r w:rsidRPr="00C462D9">
              <w:rPr>
                <w:rFonts w:asciiTheme="minorHAnsi" w:hAnsiTheme="minorHAnsi" w:cstheme="minorHAnsi"/>
                <w:bCs/>
                <w:sz w:val="22"/>
              </w:rPr>
              <w:t>;</w:t>
            </w:r>
          </w:p>
        </w:tc>
      </w:tr>
      <w:tr w:rsidR="00EB6D2B" w:rsidRPr="002F7AA5" w14:paraId="219DA7E6" w14:textId="77777777" w:rsidTr="00705040">
        <w:tc>
          <w:tcPr>
            <w:tcW w:w="4508" w:type="dxa"/>
          </w:tcPr>
          <w:p w14:paraId="4777E62F" w14:textId="77777777" w:rsidR="00EB6D2B" w:rsidRPr="00C462D9" w:rsidRDefault="00EB6D2B" w:rsidP="00515994">
            <w:pPr>
              <w:jc w:val="both"/>
              <w:rPr>
                <w:rFonts w:asciiTheme="minorHAnsi" w:hAnsiTheme="minorHAnsi" w:cstheme="minorHAnsi"/>
                <w:bCs/>
                <w:sz w:val="22"/>
              </w:rPr>
            </w:pPr>
          </w:p>
        </w:tc>
        <w:tc>
          <w:tcPr>
            <w:tcW w:w="4508" w:type="dxa"/>
          </w:tcPr>
          <w:p w14:paraId="5DC675AF" w14:textId="77777777" w:rsidR="00EB6D2B" w:rsidRPr="00C462D9" w:rsidRDefault="00EB6D2B" w:rsidP="00515994">
            <w:pPr>
              <w:jc w:val="both"/>
              <w:rPr>
                <w:rFonts w:asciiTheme="minorHAnsi" w:hAnsiTheme="minorHAnsi" w:cstheme="minorHAnsi"/>
                <w:bCs/>
                <w:sz w:val="22"/>
              </w:rPr>
            </w:pPr>
          </w:p>
        </w:tc>
      </w:tr>
      <w:tr w:rsidR="00EB6D2B" w:rsidRPr="002F7AA5" w14:paraId="3F136664" w14:textId="77777777" w:rsidTr="00705040">
        <w:tc>
          <w:tcPr>
            <w:tcW w:w="4508" w:type="dxa"/>
          </w:tcPr>
          <w:p w14:paraId="383ED68E" w14:textId="4D04365C" w:rsidR="00EB6D2B" w:rsidRPr="00C462D9" w:rsidRDefault="00EB6D2B" w:rsidP="00515994">
            <w:pPr>
              <w:jc w:val="both"/>
              <w:rPr>
                <w:rFonts w:asciiTheme="minorHAnsi" w:hAnsiTheme="minorHAnsi" w:cstheme="minorHAnsi"/>
                <w:bCs/>
                <w:sz w:val="22"/>
                <w:lang w:val="fr-BE"/>
              </w:rPr>
            </w:pPr>
            <w:r w:rsidRPr="00C462D9">
              <w:rPr>
                <w:rFonts w:asciiTheme="minorHAnsi" w:hAnsiTheme="minorHAnsi" w:cstheme="minorHAnsi"/>
                <w:bCs/>
                <w:sz w:val="22"/>
                <w:lang w:val="fr-BE"/>
              </w:rPr>
              <w:t xml:space="preserve">10° pour ce qui concerne les services de communications électroniques mobiles, la localisation de l’équipement terminal et la date et l’heure de cette localisation chaque fois que l’opérateur cherche à connaître la présence des équipements terminaux sur son réseau ; </w:t>
            </w:r>
          </w:p>
        </w:tc>
        <w:tc>
          <w:tcPr>
            <w:tcW w:w="4508" w:type="dxa"/>
          </w:tcPr>
          <w:p w14:paraId="5DB9E1AC" w14:textId="034DF68A" w:rsidR="00EB6D2B" w:rsidRPr="00C462D9" w:rsidRDefault="00EB6D2B" w:rsidP="00515994">
            <w:pPr>
              <w:jc w:val="both"/>
              <w:rPr>
                <w:rFonts w:asciiTheme="minorHAnsi" w:hAnsiTheme="minorHAnsi" w:cstheme="minorHAnsi"/>
                <w:bCs/>
                <w:sz w:val="22"/>
              </w:rPr>
            </w:pPr>
            <w:r w:rsidRPr="00C462D9">
              <w:rPr>
                <w:rFonts w:asciiTheme="minorHAnsi" w:hAnsiTheme="minorHAnsi" w:cstheme="minorHAnsi"/>
                <w:bCs/>
                <w:sz w:val="22"/>
              </w:rPr>
              <w:t>10° voor wat betreft de mobiele elektronische-communicatiediensten, de locatie van de eindapparatuur en de datum en het tijdstip van deze locatie telkens wanneer de operator wil weten welke eind</w:t>
            </w:r>
            <w:r w:rsidR="00560ABB">
              <w:rPr>
                <w:rFonts w:asciiTheme="minorHAnsi" w:hAnsiTheme="minorHAnsi" w:cstheme="minorHAnsi"/>
                <w:bCs/>
                <w:sz w:val="22"/>
              </w:rPr>
              <w:t>apparat</w:t>
            </w:r>
            <w:r w:rsidR="008B21D2">
              <w:rPr>
                <w:rFonts w:asciiTheme="minorHAnsi" w:hAnsiTheme="minorHAnsi" w:cstheme="minorHAnsi"/>
                <w:bCs/>
                <w:sz w:val="22"/>
              </w:rPr>
              <w:t xml:space="preserve">uur </w:t>
            </w:r>
            <w:r w:rsidRPr="00C462D9">
              <w:rPr>
                <w:rFonts w:asciiTheme="minorHAnsi" w:hAnsiTheme="minorHAnsi" w:cstheme="minorHAnsi"/>
                <w:bCs/>
                <w:sz w:val="22"/>
              </w:rPr>
              <w:t xml:space="preserve"> </w:t>
            </w:r>
            <w:r w:rsidR="008B21D2">
              <w:rPr>
                <w:rFonts w:asciiTheme="minorHAnsi" w:hAnsiTheme="minorHAnsi" w:cstheme="minorHAnsi"/>
                <w:bCs/>
                <w:sz w:val="22"/>
              </w:rPr>
              <w:t xml:space="preserve">is </w:t>
            </w:r>
            <w:r w:rsidRPr="00C462D9">
              <w:rPr>
                <w:rFonts w:asciiTheme="minorHAnsi" w:hAnsiTheme="minorHAnsi" w:cstheme="minorHAnsi"/>
                <w:bCs/>
                <w:sz w:val="22"/>
              </w:rPr>
              <w:t xml:space="preserve"> verbonden met zijn netwerk;  </w:t>
            </w:r>
          </w:p>
        </w:tc>
      </w:tr>
      <w:tr w:rsidR="00EB6D2B" w:rsidRPr="002F7AA5" w14:paraId="10F1CEC2" w14:textId="77777777" w:rsidTr="00705040">
        <w:tc>
          <w:tcPr>
            <w:tcW w:w="4508" w:type="dxa"/>
          </w:tcPr>
          <w:p w14:paraId="664BDB2C" w14:textId="77777777" w:rsidR="00EB6D2B" w:rsidRPr="00C462D9" w:rsidRDefault="00EB6D2B" w:rsidP="00515994">
            <w:pPr>
              <w:jc w:val="both"/>
              <w:rPr>
                <w:rFonts w:asciiTheme="minorHAnsi" w:hAnsiTheme="minorHAnsi" w:cstheme="minorHAnsi"/>
                <w:bCs/>
                <w:sz w:val="22"/>
              </w:rPr>
            </w:pPr>
          </w:p>
        </w:tc>
        <w:tc>
          <w:tcPr>
            <w:tcW w:w="4508" w:type="dxa"/>
          </w:tcPr>
          <w:p w14:paraId="072426D1" w14:textId="77777777" w:rsidR="00EB6D2B" w:rsidRPr="00C462D9" w:rsidRDefault="00EB6D2B" w:rsidP="00515994">
            <w:pPr>
              <w:jc w:val="both"/>
              <w:rPr>
                <w:rFonts w:asciiTheme="minorHAnsi" w:hAnsiTheme="minorHAnsi" w:cstheme="minorHAnsi"/>
                <w:bCs/>
                <w:sz w:val="22"/>
              </w:rPr>
            </w:pPr>
          </w:p>
        </w:tc>
      </w:tr>
      <w:tr w:rsidR="00EB6D2B" w:rsidRPr="002F7AA5" w14:paraId="5D78680A" w14:textId="77777777" w:rsidTr="00705040">
        <w:tc>
          <w:tcPr>
            <w:tcW w:w="4508" w:type="dxa"/>
          </w:tcPr>
          <w:p w14:paraId="2795B01C" w14:textId="445C4D72" w:rsidR="00EB6D2B" w:rsidRPr="00C462D9" w:rsidRDefault="00EB6D2B" w:rsidP="00515994">
            <w:pPr>
              <w:jc w:val="both"/>
              <w:rPr>
                <w:rFonts w:asciiTheme="minorHAnsi" w:hAnsiTheme="minorHAnsi" w:cstheme="minorHAnsi"/>
                <w:bCs/>
                <w:sz w:val="22"/>
                <w:lang w:val="fr-BE"/>
              </w:rPr>
            </w:pPr>
            <w:r w:rsidRPr="00C462D9">
              <w:rPr>
                <w:rFonts w:asciiTheme="minorHAnsi" w:hAnsiTheme="minorHAnsi" w:cstheme="minorHAnsi"/>
                <w:bCs/>
                <w:sz w:val="22"/>
                <w:lang w:val="fr-BE"/>
              </w:rPr>
              <w:t>11° lorsqu’une donnée précitée n’est pas disponible, toute donnée ayant une fonction équivalente ;</w:t>
            </w:r>
          </w:p>
        </w:tc>
        <w:tc>
          <w:tcPr>
            <w:tcW w:w="4508" w:type="dxa"/>
          </w:tcPr>
          <w:p w14:paraId="3491EE86" w14:textId="2413E6C2" w:rsidR="00EB6D2B" w:rsidRPr="00C462D9" w:rsidRDefault="00EB6D2B" w:rsidP="00515994">
            <w:pPr>
              <w:jc w:val="both"/>
              <w:rPr>
                <w:rFonts w:asciiTheme="minorHAnsi" w:hAnsiTheme="minorHAnsi" w:cstheme="minorHAnsi"/>
                <w:bCs/>
                <w:sz w:val="22"/>
              </w:rPr>
            </w:pPr>
            <w:r w:rsidRPr="00C462D9">
              <w:rPr>
                <w:rFonts w:asciiTheme="minorHAnsi" w:hAnsiTheme="minorHAnsi" w:cstheme="minorHAnsi"/>
                <w:bCs/>
                <w:sz w:val="22"/>
              </w:rPr>
              <w:t>11° wanneer een van de voormelde gegevens niet beschikbaar is, elk gegeven met een gelijkwaardige functie ;</w:t>
            </w:r>
          </w:p>
        </w:tc>
      </w:tr>
      <w:tr w:rsidR="00EB6D2B" w:rsidRPr="002F7AA5" w14:paraId="31D1D89C" w14:textId="77777777" w:rsidTr="00705040">
        <w:tc>
          <w:tcPr>
            <w:tcW w:w="4508" w:type="dxa"/>
          </w:tcPr>
          <w:p w14:paraId="68B0D3BA" w14:textId="77777777" w:rsidR="00EB6D2B" w:rsidRPr="00C462D9" w:rsidRDefault="00EB6D2B" w:rsidP="00515994">
            <w:pPr>
              <w:jc w:val="both"/>
              <w:rPr>
                <w:rFonts w:asciiTheme="minorHAnsi" w:hAnsiTheme="minorHAnsi" w:cstheme="minorHAnsi"/>
                <w:bCs/>
                <w:sz w:val="22"/>
              </w:rPr>
            </w:pPr>
          </w:p>
        </w:tc>
        <w:tc>
          <w:tcPr>
            <w:tcW w:w="4508" w:type="dxa"/>
          </w:tcPr>
          <w:p w14:paraId="62B76CB2" w14:textId="77777777" w:rsidR="00EB6D2B" w:rsidRPr="00C462D9" w:rsidRDefault="00EB6D2B" w:rsidP="00515994">
            <w:pPr>
              <w:jc w:val="both"/>
              <w:rPr>
                <w:rFonts w:asciiTheme="minorHAnsi" w:hAnsiTheme="minorHAnsi" w:cstheme="minorHAnsi"/>
                <w:bCs/>
                <w:sz w:val="22"/>
              </w:rPr>
            </w:pPr>
          </w:p>
        </w:tc>
      </w:tr>
      <w:tr w:rsidR="00EB6D2B" w:rsidRPr="002F7AA5" w14:paraId="587E3BEF" w14:textId="77777777" w:rsidTr="00705040">
        <w:tc>
          <w:tcPr>
            <w:tcW w:w="4508" w:type="dxa"/>
          </w:tcPr>
          <w:p w14:paraId="5A6F9A62" w14:textId="79B8466B" w:rsidR="00EB6D2B" w:rsidRPr="00C462D9" w:rsidRDefault="00EB6D2B" w:rsidP="00515994">
            <w:pPr>
              <w:jc w:val="both"/>
              <w:rPr>
                <w:rFonts w:asciiTheme="minorHAnsi" w:hAnsiTheme="minorHAnsi" w:cstheme="minorHAnsi"/>
                <w:bCs/>
                <w:sz w:val="22"/>
                <w:lang w:val="fr-BE"/>
              </w:rPr>
            </w:pPr>
            <w:r w:rsidRPr="00C462D9">
              <w:rPr>
                <w:rFonts w:asciiTheme="minorHAnsi" w:hAnsiTheme="minorHAnsi" w:cstheme="minorHAnsi"/>
                <w:bCs/>
                <w:sz w:val="22"/>
                <w:lang w:val="fr-BE"/>
              </w:rPr>
              <w:t xml:space="preserve">12° les autres identifiants relatifs au destinataire de la communication électronique, à son équipement terminal ou à l’équipement le plus proche de cet équipement terminal, qui résultent de l’évolution technologique et qui sont déterminés  par le Roi, après avis de l’Autorité de protection des données et de l’Institut, pour autant que cet arrêté soit confirmé par la loi dans les douze mois suivant la publication de cet arrêté. </w:t>
            </w:r>
          </w:p>
        </w:tc>
        <w:tc>
          <w:tcPr>
            <w:tcW w:w="4508" w:type="dxa"/>
          </w:tcPr>
          <w:p w14:paraId="068286E9" w14:textId="18EF32D6" w:rsidR="00EB6D2B" w:rsidRPr="00C462D9" w:rsidRDefault="00EB6D2B" w:rsidP="00515994">
            <w:pPr>
              <w:jc w:val="both"/>
              <w:rPr>
                <w:rFonts w:asciiTheme="minorHAnsi" w:hAnsiTheme="minorHAnsi" w:cstheme="minorHAnsi"/>
                <w:bCs/>
                <w:sz w:val="22"/>
              </w:rPr>
            </w:pPr>
            <w:r w:rsidRPr="00C462D9">
              <w:rPr>
                <w:rFonts w:asciiTheme="minorHAnsi" w:hAnsiTheme="minorHAnsi" w:cstheme="minorHAnsi"/>
                <w:bCs/>
                <w:sz w:val="22"/>
              </w:rPr>
              <w:t xml:space="preserve">12° de andere </w:t>
            </w:r>
            <w:proofErr w:type="spellStart"/>
            <w:r w:rsidR="00D169DD">
              <w:rPr>
                <w:rFonts w:asciiTheme="minorHAnsi" w:hAnsiTheme="minorHAnsi" w:cstheme="minorHAnsi"/>
                <w:bCs/>
                <w:sz w:val="22"/>
              </w:rPr>
              <w:t>identifi</w:t>
            </w:r>
            <w:r w:rsidR="0005635B">
              <w:rPr>
                <w:rFonts w:asciiTheme="minorHAnsi" w:hAnsiTheme="minorHAnsi" w:cstheme="minorHAnsi"/>
                <w:bCs/>
                <w:sz w:val="22"/>
              </w:rPr>
              <w:t>er</w:t>
            </w:r>
            <w:proofErr w:type="spellEnd"/>
            <w:r w:rsidRPr="00C462D9">
              <w:rPr>
                <w:rFonts w:asciiTheme="minorHAnsi" w:hAnsiTheme="minorHAnsi" w:cstheme="minorHAnsi"/>
                <w:bCs/>
                <w:sz w:val="22"/>
              </w:rPr>
              <w:t xml:space="preserve"> met betrekking tot de geadresseerde van de elektronische communicatie, </w:t>
            </w:r>
            <w:r w:rsidR="00560ABB">
              <w:rPr>
                <w:rFonts w:asciiTheme="minorHAnsi" w:hAnsiTheme="minorHAnsi" w:cstheme="minorHAnsi"/>
                <w:bCs/>
                <w:sz w:val="22"/>
              </w:rPr>
              <w:t xml:space="preserve">tot </w:t>
            </w:r>
            <w:r w:rsidRPr="00C462D9">
              <w:rPr>
                <w:rFonts w:asciiTheme="minorHAnsi" w:hAnsiTheme="minorHAnsi" w:cstheme="minorHAnsi"/>
                <w:bCs/>
                <w:sz w:val="22"/>
              </w:rPr>
              <w:t xml:space="preserve">de eindapparatuur of </w:t>
            </w:r>
            <w:r w:rsidR="00560ABB">
              <w:rPr>
                <w:rFonts w:asciiTheme="minorHAnsi" w:hAnsiTheme="minorHAnsi" w:cstheme="minorHAnsi"/>
                <w:bCs/>
                <w:sz w:val="22"/>
              </w:rPr>
              <w:t xml:space="preserve">tot </w:t>
            </w:r>
            <w:r w:rsidRPr="00C462D9">
              <w:rPr>
                <w:rFonts w:asciiTheme="minorHAnsi" w:hAnsiTheme="minorHAnsi" w:cstheme="minorHAnsi"/>
                <w:bCs/>
                <w:sz w:val="22"/>
              </w:rPr>
              <w:t>de apparatuur het dichtst bij die eindapparatuur</w:t>
            </w:r>
            <w:r w:rsidR="00560ABB">
              <w:rPr>
                <w:rFonts w:asciiTheme="minorHAnsi" w:hAnsiTheme="minorHAnsi" w:cstheme="minorHAnsi"/>
                <w:bCs/>
                <w:sz w:val="22"/>
              </w:rPr>
              <w:t>,</w:t>
            </w:r>
            <w:r w:rsidRPr="00C462D9">
              <w:rPr>
                <w:rFonts w:asciiTheme="minorHAnsi" w:hAnsiTheme="minorHAnsi" w:cstheme="minorHAnsi"/>
                <w:bCs/>
                <w:sz w:val="22"/>
              </w:rPr>
              <w:t xml:space="preserve"> die uit de technologische evolutie resulteren en die door de Koning bepaald worden, na advies van de Gegevensbeschermingsautoriteit en het Instituut, op voorwaarde dat dit besluit door de wet wordt bekrachtigd binnen twaalf maanden na de bekendmaking van dit besluit.</w:t>
            </w:r>
          </w:p>
        </w:tc>
      </w:tr>
      <w:tr w:rsidR="00EB6D2B" w:rsidRPr="002F7AA5" w14:paraId="2546447C" w14:textId="77777777" w:rsidTr="00705040">
        <w:tc>
          <w:tcPr>
            <w:tcW w:w="4508" w:type="dxa"/>
          </w:tcPr>
          <w:p w14:paraId="7DCE2EDD" w14:textId="77777777" w:rsidR="00EB6D2B" w:rsidRPr="00C462D9" w:rsidRDefault="00EB6D2B" w:rsidP="00515994">
            <w:pPr>
              <w:jc w:val="both"/>
              <w:rPr>
                <w:rFonts w:asciiTheme="minorHAnsi" w:hAnsiTheme="minorHAnsi" w:cstheme="minorHAnsi"/>
                <w:bCs/>
                <w:sz w:val="22"/>
              </w:rPr>
            </w:pPr>
          </w:p>
        </w:tc>
        <w:tc>
          <w:tcPr>
            <w:tcW w:w="4508" w:type="dxa"/>
          </w:tcPr>
          <w:p w14:paraId="69E8DBD4" w14:textId="77777777" w:rsidR="00EB6D2B" w:rsidRPr="00C462D9" w:rsidRDefault="00EB6D2B" w:rsidP="00515994">
            <w:pPr>
              <w:jc w:val="both"/>
              <w:rPr>
                <w:rFonts w:asciiTheme="minorHAnsi" w:hAnsiTheme="minorHAnsi" w:cstheme="minorHAnsi"/>
                <w:bCs/>
                <w:sz w:val="22"/>
              </w:rPr>
            </w:pPr>
          </w:p>
        </w:tc>
      </w:tr>
      <w:tr w:rsidR="00EB6D2B" w:rsidRPr="002F7AA5" w14:paraId="57E6D61D" w14:textId="77777777" w:rsidTr="00705040">
        <w:tc>
          <w:tcPr>
            <w:tcW w:w="4508" w:type="dxa"/>
          </w:tcPr>
          <w:p w14:paraId="13BE152D" w14:textId="36AD1B55" w:rsidR="00EB6D2B" w:rsidRPr="00C462D9" w:rsidRDefault="00EB6D2B" w:rsidP="00515994">
            <w:pPr>
              <w:jc w:val="both"/>
              <w:rPr>
                <w:rFonts w:asciiTheme="minorHAnsi" w:hAnsiTheme="minorHAnsi" w:cstheme="minorHAnsi"/>
                <w:bCs/>
                <w:sz w:val="22"/>
                <w:lang w:val="fr-BE"/>
              </w:rPr>
            </w:pPr>
            <w:r w:rsidRPr="00C462D9">
              <w:rPr>
                <w:rFonts w:asciiTheme="minorHAnsi" w:hAnsiTheme="minorHAnsi" w:cstheme="minorHAnsi"/>
                <w:bCs/>
                <w:sz w:val="22"/>
                <w:lang w:val="fr-BE"/>
              </w:rPr>
              <w:t>L’arrêté royal visé au paragraphe 1</w:t>
            </w:r>
            <w:r w:rsidRPr="00C462D9">
              <w:rPr>
                <w:rFonts w:asciiTheme="minorHAnsi" w:hAnsiTheme="minorHAnsi" w:cstheme="minorHAnsi"/>
                <w:bCs/>
                <w:sz w:val="22"/>
                <w:vertAlign w:val="superscript"/>
                <w:lang w:val="fr-BE"/>
              </w:rPr>
              <w:t>er</w:t>
            </w:r>
            <w:r w:rsidRPr="00C462D9">
              <w:rPr>
                <w:rFonts w:asciiTheme="minorHAnsi" w:hAnsiTheme="minorHAnsi" w:cstheme="minorHAnsi"/>
                <w:bCs/>
                <w:sz w:val="22"/>
                <w:lang w:val="fr-BE"/>
              </w:rPr>
              <w:t xml:space="preserve">, 11° ne porte pas sur le contenu des communications électroniques.  </w:t>
            </w:r>
          </w:p>
        </w:tc>
        <w:tc>
          <w:tcPr>
            <w:tcW w:w="4508" w:type="dxa"/>
          </w:tcPr>
          <w:p w14:paraId="7E3F27CD" w14:textId="789F333A" w:rsidR="00EB6D2B" w:rsidRPr="00C462D9" w:rsidRDefault="00EB6D2B" w:rsidP="00515994">
            <w:pPr>
              <w:jc w:val="both"/>
              <w:rPr>
                <w:rFonts w:asciiTheme="minorHAnsi" w:hAnsiTheme="minorHAnsi" w:cstheme="minorHAnsi"/>
                <w:bCs/>
                <w:sz w:val="22"/>
              </w:rPr>
            </w:pPr>
            <w:r w:rsidRPr="00C462D9">
              <w:rPr>
                <w:rFonts w:asciiTheme="minorHAnsi" w:hAnsiTheme="minorHAnsi" w:cstheme="minorHAnsi"/>
                <w:bCs/>
                <w:sz w:val="22"/>
              </w:rPr>
              <w:t xml:space="preserve">Het koninklijk besluit bedoeld in paragraaf 1, 11°, slaat niet op de inhoud van de elektronische communicatie.  </w:t>
            </w:r>
          </w:p>
        </w:tc>
      </w:tr>
      <w:tr w:rsidR="00EB6D2B" w:rsidRPr="002F7AA5" w14:paraId="3ABDF50F" w14:textId="77777777" w:rsidTr="00705040">
        <w:tc>
          <w:tcPr>
            <w:tcW w:w="4508" w:type="dxa"/>
          </w:tcPr>
          <w:p w14:paraId="4DB0ED14" w14:textId="77777777" w:rsidR="00EB6D2B" w:rsidRPr="00C462D9" w:rsidRDefault="00EB6D2B" w:rsidP="00515994">
            <w:pPr>
              <w:jc w:val="both"/>
              <w:rPr>
                <w:rFonts w:asciiTheme="minorHAnsi" w:hAnsiTheme="minorHAnsi" w:cstheme="minorHAnsi"/>
                <w:bCs/>
                <w:sz w:val="22"/>
              </w:rPr>
            </w:pPr>
          </w:p>
        </w:tc>
        <w:tc>
          <w:tcPr>
            <w:tcW w:w="4508" w:type="dxa"/>
          </w:tcPr>
          <w:p w14:paraId="1783EA3D" w14:textId="77777777" w:rsidR="00EB6D2B" w:rsidRPr="00C462D9" w:rsidRDefault="00EB6D2B" w:rsidP="00515994">
            <w:pPr>
              <w:jc w:val="both"/>
              <w:rPr>
                <w:rFonts w:asciiTheme="minorHAnsi" w:hAnsiTheme="minorHAnsi" w:cstheme="minorHAnsi"/>
                <w:bCs/>
                <w:sz w:val="22"/>
              </w:rPr>
            </w:pPr>
          </w:p>
        </w:tc>
      </w:tr>
      <w:tr w:rsidR="00EB6D2B" w:rsidRPr="002F7AA5" w14:paraId="0A5D7E00" w14:textId="77777777" w:rsidTr="00705040">
        <w:tc>
          <w:tcPr>
            <w:tcW w:w="4508" w:type="dxa"/>
          </w:tcPr>
          <w:p w14:paraId="246F248E" w14:textId="47634852" w:rsidR="00EB6D2B" w:rsidRPr="00C462D9" w:rsidRDefault="00EB6D2B" w:rsidP="00515994">
            <w:pPr>
              <w:jc w:val="both"/>
              <w:rPr>
                <w:rFonts w:asciiTheme="minorHAnsi" w:hAnsiTheme="minorHAnsi" w:cstheme="minorHAnsi"/>
                <w:bCs/>
                <w:sz w:val="22"/>
                <w:lang w:val="fr-BE"/>
              </w:rPr>
            </w:pPr>
            <w:r w:rsidRPr="00C462D9">
              <w:rPr>
                <w:rFonts w:asciiTheme="minorHAnsi" w:hAnsiTheme="minorHAnsi" w:cstheme="minorHAnsi"/>
                <w:bCs/>
                <w:color w:val="000000" w:themeColor="text1"/>
                <w:sz w:val="22"/>
                <w:lang w:val="fr-BE"/>
              </w:rPr>
              <w:t xml:space="preserve">Le Roi peut, après avis de l’Autorité de protection des données et de l’Institut, préciser les données visées </w:t>
            </w:r>
            <w:r w:rsidRPr="00C462D9">
              <w:rPr>
                <w:rFonts w:asciiTheme="minorHAnsi" w:hAnsiTheme="minorHAnsi" w:cstheme="minorHAnsi"/>
                <w:bCs/>
                <w:color w:val="000000" w:themeColor="text1"/>
                <w:sz w:val="22"/>
                <w:lang w:val="fr-FR"/>
              </w:rPr>
              <w:t>au paragraphe 1</w:t>
            </w:r>
            <w:r w:rsidRPr="00C462D9">
              <w:rPr>
                <w:rFonts w:asciiTheme="minorHAnsi" w:hAnsiTheme="minorHAnsi" w:cstheme="minorHAnsi"/>
                <w:bCs/>
                <w:color w:val="000000" w:themeColor="text1"/>
                <w:sz w:val="22"/>
                <w:vertAlign w:val="superscript"/>
                <w:lang w:val="fr-FR"/>
              </w:rPr>
              <w:t>er</w:t>
            </w:r>
            <w:r w:rsidRPr="00C462D9">
              <w:rPr>
                <w:rFonts w:asciiTheme="minorHAnsi" w:hAnsiTheme="minorHAnsi" w:cstheme="minorHAnsi"/>
                <w:bCs/>
                <w:color w:val="000000" w:themeColor="text1"/>
                <w:sz w:val="22"/>
                <w:lang w:val="fr-FR"/>
              </w:rPr>
              <w:t>,</w:t>
            </w:r>
            <w:r w:rsidRPr="00C462D9">
              <w:rPr>
                <w:rFonts w:asciiTheme="minorHAnsi" w:hAnsiTheme="minorHAnsi" w:cstheme="minorHAnsi"/>
                <w:bCs/>
                <w:color w:val="000000" w:themeColor="text1"/>
                <w:sz w:val="22"/>
                <w:lang w:val="fr-BE"/>
              </w:rPr>
              <w:t xml:space="preserve"> alinéa 1</w:t>
            </w:r>
            <w:r w:rsidRPr="00C462D9">
              <w:rPr>
                <w:rFonts w:asciiTheme="minorHAnsi" w:hAnsiTheme="minorHAnsi" w:cstheme="minorHAnsi"/>
                <w:bCs/>
                <w:color w:val="000000" w:themeColor="text1"/>
                <w:sz w:val="22"/>
                <w:vertAlign w:val="superscript"/>
                <w:lang w:val="fr-BE"/>
              </w:rPr>
              <w:t>er</w:t>
            </w:r>
            <w:r w:rsidRPr="00C462D9">
              <w:rPr>
                <w:rFonts w:asciiTheme="minorHAnsi" w:hAnsiTheme="minorHAnsi" w:cstheme="minorHAnsi"/>
                <w:bCs/>
                <w:color w:val="000000" w:themeColor="text1"/>
                <w:sz w:val="22"/>
                <w:lang w:val="fr-BE"/>
              </w:rPr>
              <w:t xml:space="preserve">. </w:t>
            </w:r>
          </w:p>
        </w:tc>
        <w:tc>
          <w:tcPr>
            <w:tcW w:w="4508" w:type="dxa"/>
          </w:tcPr>
          <w:p w14:paraId="56DA28D6" w14:textId="46DA3A05" w:rsidR="00EB6D2B" w:rsidRPr="00C462D9" w:rsidRDefault="00EB6D2B" w:rsidP="00515994">
            <w:pPr>
              <w:jc w:val="both"/>
              <w:rPr>
                <w:rFonts w:asciiTheme="minorHAnsi" w:hAnsiTheme="minorHAnsi" w:cstheme="minorHAnsi"/>
                <w:bCs/>
                <w:sz w:val="22"/>
              </w:rPr>
            </w:pPr>
            <w:r w:rsidRPr="00C462D9">
              <w:rPr>
                <w:rFonts w:asciiTheme="minorHAnsi" w:hAnsiTheme="minorHAnsi" w:cstheme="minorHAnsi"/>
                <w:bCs/>
                <w:color w:val="000000" w:themeColor="text1"/>
                <w:sz w:val="22"/>
              </w:rPr>
              <w:t>De Koning kan, na advies van de Gegevensbeschermingsautoriteit en het Instituut, de gegevens bedoeld in paragraaf 1, eerste lid, preciseren.</w:t>
            </w:r>
          </w:p>
        </w:tc>
      </w:tr>
      <w:tr w:rsidR="00EB6D2B" w:rsidRPr="002F7AA5" w14:paraId="168B71B3" w14:textId="77777777" w:rsidTr="00705040">
        <w:tc>
          <w:tcPr>
            <w:tcW w:w="4508" w:type="dxa"/>
          </w:tcPr>
          <w:p w14:paraId="3FB77AD3" w14:textId="77777777" w:rsidR="00EB6D2B" w:rsidRPr="00515994" w:rsidRDefault="00EB6D2B" w:rsidP="00515994">
            <w:pPr>
              <w:jc w:val="both"/>
              <w:rPr>
                <w:rFonts w:asciiTheme="minorHAnsi" w:hAnsiTheme="minorHAnsi" w:cstheme="minorHAnsi"/>
                <w:sz w:val="22"/>
              </w:rPr>
            </w:pPr>
          </w:p>
        </w:tc>
        <w:tc>
          <w:tcPr>
            <w:tcW w:w="4508" w:type="dxa"/>
          </w:tcPr>
          <w:p w14:paraId="7CEFCCA9" w14:textId="77777777" w:rsidR="00EB6D2B" w:rsidRPr="00515994" w:rsidRDefault="00EB6D2B" w:rsidP="00515994">
            <w:pPr>
              <w:jc w:val="both"/>
              <w:rPr>
                <w:rFonts w:asciiTheme="minorHAnsi" w:hAnsiTheme="minorHAnsi" w:cstheme="minorHAnsi"/>
                <w:sz w:val="22"/>
              </w:rPr>
            </w:pPr>
          </w:p>
        </w:tc>
      </w:tr>
      <w:tr w:rsidR="00EB6D2B" w:rsidRPr="002F7AA5" w14:paraId="27D0214F" w14:textId="77777777" w:rsidTr="00705040">
        <w:tc>
          <w:tcPr>
            <w:tcW w:w="4508" w:type="dxa"/>
          </w:tcPr>
          <w:p w14:paraId="7E958EB4" w14:textId="12EF2938" w:rsidR="00EB6D2B" w:rsidRPr="00515994" w:rsidRDefault="00EB6D2B" w:rsidP="00515994">
            <w:pPr>
              <w:jc w:val="both"/>
              <w:rPr>
                <w:rFonts w:asciiTheme="minorHAnsi" w:hAnsiTheme="minorHAnsi" w:cstheme="minorHAnsi"/>
                <w:sz w:val="22"/>
                <w:lang w:val="fr-BE"/>
              </w:rPr>
            </w:pPr>
            <w:r w:rsidRPr="00515994">
              <w:rPr>
                <w:rFonts w:asciiTheme="minorHAnsi" w:hAnsiTheme="minorHAnsi" w:cstheme="minorHAnsi"/>
                <w:b/>
                <w:bCs/>
                <w:sz w:val="22"/>
                <w:lang w:val="fr-BE"/>
              </w:rPr>
              <w:t xml:space="preserve">§ 3. </w:t>
            </w:r>
            <w:r w:rsidRPr="00515994">
              <w:rPr>
                <w:rFonts w:asciiTheme="minorHAnsi" w:hAnsiTheme="minorHAnsi" w:cstheme="minorHAnsi"/>
                <w:sz w:val="22"/>
                <w:lang w:val="fr-BE"/>
              </w:rPr>
              <w:t>La combinaison des données conservées en exécution de l’article 126 et du présent article doit permettre d'établir la relation entre l'origine de la communication et sa destination.</w:t>
            </w:r>
          </w:p>
        </w:tc>
        <w:tc>
          <w:tcPr>
            <w:tcW w:w="4508" w:type="dxa"/>
          </w:tcPr>
          <w:p w14:paraId="4A9095D0" w14:textId="7C0D025C" w:rsidR="00EB6D2B" w:rsidRPr="00515994" w:rsidRDefault="00EB6D2B" w:rsidP="00515994">
            <w:pPr>
              <w:jc w:val="both"/>
              <w:rPr>
                <w:rFonts w:asciiTheme="minorHAnsi" w:hAnsiTheme="minorHAnsi" w:cstheme="minorHAnsi"/>
                <w:sz w:val="22"/>
              </w:rPr>
            </w:pPr>
            <w:r w:rsidRPr="00515994">
              <w:rPr>
                <w:rFonts w:asciiTheme="minorHAnsi" w:hAnsiTheme="minorHAnsi" w:cstheme="minorHAnsi"/>
                <w:b/>
                <w:bCs/>
                <w:sz w:val="22"/>
              </w:rPr>
              <w:t xml:space="preserve">§ 3. </w:t>
            </w:r>
            <w:r w:rsidRPr="00515994">
              <w:rPr>
                <w:rFonts w:asciiTheme="minorHAnsi" w:hAnsiTheme="minorHAnsi" w:cstheme="minorHAnsi"/>
                <w:sz w:val="22"/>
              </w:rPr>
              <w:t xml:space="preserve">De combinatie van de gegevens bewaard in uitvoering van artikel 126 en van dit artikel moet het mogelijk maken om de relatie te leggen </w:t>
            </w:r>
            <w:r w:rsidRPr="00515994">
              <w:rPr>
                <w:rFonts w:asciiTheme="minorHAnsi" w:hAnsiTheme="minorHAnsi" w:cstheme="minorHAnsi"/>
                <w:sz w:val="22"/>
              </w:rPr>
              <w:lastRenderedPageBreak/>
              <w:t>tussen de bron en de bestemming van de communicatie.</w:t>
            </w:r>
          </w:p>
        </w:tc>
      </w:tr>
      <w:tr w:rsidR="00EB6D2B" w:rsidRPr="002F7AA5" w14:paraId="0961CA9E" w14:textId="77777777" w:rsidTr="00705040">
        <w:tc>
          <w:tcPr>
            <w:tcW w:w="4508" w:type="dxa"/>
          </w:tcPr>
          <w:p w14:paraId="55DE25E6" w14:textId="77777777" w:rsidR="00EB6D2B" w:rsidRPr="00515994" w:rsidRDefault="00EB6D2B" w:rsidP="00515994">
            <w:pPr>
              <w:jc w:val="both"/>
              <w:rPr>
                <w:rFonts w:asciiTheme="minorHAnsi" w:hAnsiTheme="minorHAnsi" w:cstheme="minorHAnsi"/>
                <w:sz w:val="22"/>
              </w:rPr>
            </w:pPr>
          </w:p>
        </w:tc>
        <w:tc>
          <w:tcPr>
            <w:tcW w:w="4508" w:type="dxa"/>
          </w:tcPr>
          <w:p w14:paraId="4660C491" w14:textId="77777777" w:rsidR="00EB6D2B" w:rsidRPr="00515994" w:rsidRDefault="00EB6D2B" w:rsidP="00515994">
            <w:pPr>
              <w:jc w:val="both"/>
              <w:rPr>
                <w:rFonts w:asciiTheme="minorHAnsi" w:hAnsiTheme="minorHAnsi" w:cstheme="minorHAnsi"/>
                <w:sz w:val="22"/>
              </w:rPr>
            </w:pPr>
          </w:p>
        </w:tc>
      </w:tr>
      <w:tr w:rsidR="00EB6D2B" w:rsidRPr="002F7AA5" w14:paraId="3AE20BDB" w14:textId="77777777" w:rsidTr="00705040">
        <w:tc>
          <w:tcPr>
            <w:tcW w:w="4508" w:type="dxa"/>
          </w:tcPr>
          <w:p w14:paraId="07A6BE02" w14:textId="216E1836" w:rsidR="00EB6D2B" w:rsidRPr="00515994" w:rsidRDefault="00EB6D2B" w:rsidP="00515994">
            <w:pPr>
              <w:jc w:val="both"/>
              <w:rPr>
                <w:rFonts w:asciiTheme="minorHAnsi" w:hAnsiTheme="minorHAnsi" w:cstheme="minorHAnsi"/>
                <w:sz w:val="22"/>
                <w:lang w:val="fr-BE"/>
              </w:rPr>
            </w:pPr>
            <w:r w:rsidRPr="00515994">
              <w:rPr>
                <w:rFonts w:asciiTheme="minorHAnsi" w:hAnsiTheme="minorHAnsi" w:cstheme="minorHAnsi"/>
                <w:b/>
                <w:sz w:val="22"/>
                <w:lang w:val="fr-BE"/>
              </w:rPr>
              <w:t>§ 4</w:t>
            </w:r>
            <w:r w:rsidRPr="00515994">
              <w:rPr>
                <w:rFonts w:asciiTheme="minorHAnsi" w:hAnsiTheme="minorHAnsi" w:cstheme="minorHAnsi"/>
                <w:sz w:val="22"/>
                <w:lang w:val="fr-BE"/>
              </w:rPr>
              <w:t xml:space="preserve">. </w:t>
            </w:r>
            <w:r w:rsidRPr="00515994">
              <w:rPr>
                <w:rFonts w:asciiTheme="minorHAnsi" w:hAnsiTheme="minorHAnsi" w:cstheme="minorHAnsi"/>
                <w:sz w:val="22"/>
                <w:lang w:val="fr-FR"/>
              </w:rPr>
              <w:t xml:space="preserve">Le Roi peut fixer, par arrêté délibéré en Conseil des ministres, sur proposition du ministre de la Justice, du ministre de l’Intérieur, du ministre de la Défense, et du ministre, après avis des autorités de protection des données compétentes </w:t>
            </w:r>
            <w:r w:rsidRPr="00C462D9">
              <w:rPr>
                <w:rFonts w:asciiTheme="minorHAnsi" w:hAnsiTheme="minorHAnsi" w:cstheme="minorHAnsi"/>
                <w:sz w:val="22"/>
                <w:lang w:val="fr-FR"/>
              </w:rPr>
              <w:t>et de l’Institut, les autres exigences auxquelles les données visées au présent article doivent répondre</w:t>
            </w:r>
            <w:r w:rsidRPr="00515994">
              <w:rPr>
                <w:rFonts w:asciiTheme="minorHAnsi" w:hAnsiTheme="minorHAnsi" w:cstheme="minorHAnsi"/>
                <w:sz w:val="22"/>
                <w:lang w:val="fr-FR"/>
              </w:rPr>
              <w:t>.</w:t>
            </w:r>
          </w:p>
        </w:tc>
        <w:tc>
          <w:tcPr>
            <w:tcW w:w="4508" w:type="dxa"/>
          </w:tcPr>
          <w:p w14:paraId="22D40575" w14:textId="59F5F84E" w:rsidR="00EB6D2B" w:rsidRPr="00515994" w:rsidRDefault="00EB6D2B" w:rsidP="00515994">
            <w:pPr>
              <w:jc w:val="both"/>
              <w:rPr>
                <w:rFonts w:asciiTheme="minorHAnsi" w:hAnsiTheme="minorHAnsi" w:cstheme="minorHAnsi"/>
                <w:sz w:val="22"/>
              </w:rPr>
            </w:pPr>
            <w:r w:rsidRPr="00515994">
              <w:rPr>
                <w:rFonts w:asciiTheme="minorHAnsi" w:hAnsiTheme="minorHAnsi" w:cstheme="minorHAnsi"/>
                <w:b/>
                <w:sz w:val="22"/>
              </w:rPr>
              <w:t>§ 4</w:t>
            </w:r>
            <w:r w:rsidRPr="00515994">
              <w:rPr>
                <w:rFonts w:asciiTheme="minorHAnsi" w:hAnsiTheme="minorHAnsi" w:cstheme="minorHAnsi"/>
                <w:sz w:val="22"/>
              </w:rPr>
              <w:t xml:space="preserve">. De Koning kan, bij een besluit vastgesteld na overleg in de Ministerraad, op voorstel van de minister van Justitie, de minister van Binnenlandse Zaken, de minister van Defensie en de minister, en na advies van de autoriteiten bevoegd voor de bescherming van de gegevens  en van het Instituut, de </w:t>
            </w:r>
            <w:r w:rsidR="00560ABB">
              <w:rPr>
                <w:rFonts w:asciiTheme="minorHAnsi" w:hAnsiTheme="minorHAnsi" w:cstheme="minorHAnsi"/>
                <w:sz w:val="22"/>
              </w:rPr>
              <w:t xml:space="preserve">overige </w:t>
            </w:r>
            <w:r w:rsidRPr="00515994">
              <w:rPr>
                <w:rFonts w:asciiTheme="minorHAnsi" w:hAnsiTheme="minorHAnsi" w:cstheme="minorHAnsi"/>
                <w:sz w:val="22"/>
              </w:rPr>
              <w:t>vereisten bepalen waaraan de gegevens bedoeld in dit artikel moeten beantwoorden.</w:t>
            </w:r>
          </w:p>
        </w:tc>
      </w:tr>
      <w:tr w:rsidR="00EB6D2B" w:rsidRPr="002F7AA5" w14:paraId="5C23E176" w14:textId="77777777" w:rsidTr="00705040">
        <w:tc>
          <w:tcPr>
            <w:tcW w:w="4508" w:type="dxa"/>
          </w:tcPr>
          <w:p w14:paraId="0CEDACCC" w14:textId="77777777" w:rsidR="00EB6D2B" w:rsidRPr="00515994" w:rsidRDefault="00EB6D2B" w:rsidP="00515994">
            <w:pPr>
              <w:jc w:val="both"/>
              <w:rPr>
                <w:rFonts w:asciiTheme="minorHAnsi" w:hAnsiTheme="minorHAnsi" w:cstheme="minorHAnsi"/>
                <w:sz w:val="22"/>
              </w:rPr>
            </w:pPr>
          </w:p>
        </w:tc>
        <w:tc>
          <w:tcPr>
            <w:tcW w:w="4508" w:type="dxa"/>
          </w:tcPr>
          <w:p w14:paraId="150AD897" w14:textId="77777777" w:rsidR="00EB6D2B" w:rsidRPr="00515994" w:rsidRDefault="00EB6D2B" w:rsidP="00515994">
            <w:pPr>
              <w:jc w:val="both"/>
              <w:rPr>
                <w:rFonts w:asciiTheme="minorHAnsi" w:hAnsiTheme="minorHAnsi" w:cstheme="minorHAnsi"/>
                <w:sz w:val="22"/>
              </w:rPr>
            </w:pPr>
          </w:p>
        </w:tc>
      </w:tr>
      <w:tr w:rsidR="000144C2" w:rsidRPr="002F7AA5" w14:paraId="22A1FA71" w14:textId="77777777" w:rsidTr="00705040">
        <w:tc>
          <w:tcPr>
            <w:tcW w:w="4508" w:type="dxa"/>
          </w:tcPr>
          <w:p w14:paraId="678D4614" w14:textId="0A46E36C" w:rsidR="000144C2" w:rsidRPr="000144C2" w:rsidRDefault="000144C2" w:rsidP="00E96110">
            <w:pPr>
              <w:jc w:val="center"/>
              <w:rPr>
                <w:rFonts w:asciiTheme="minorHAnsi" w:hAnsiTheme="minorHAnsi" w:cstheme="minorHAnsi"/>
                <w:sz w:val="22"/>
              </w:rPr>
            </w:pPr>
            <w:r w:rsidRPr="000144C2">
              <w:rPr>
                <w:rFonts w:asciiTheme="minorHAnsi" w:hAnsiTheme="minorHAnsi" w:cstheme="minorHAnsi"/>
                <w:b/>
                <w:caps/>
                <w:sz w:val="22"/>
                <w:lang w:val="fr-BE"/>
              </w:rPr>
              <w:t>Justification</w:t>
            </w:r>
          </w:p>
        </w:tc>
        <w:tc>
          <w:tcPr>
            <w:tcW w:w="4508" w:type="dxa"/>
          </w:tcPr>
          <w:p w14:paraId="31C661C8" w14:textId="5C8F5E48" w:rsidR="000144C2" w:rsidRPr="000144C2" w:rsidRDefault="000144C2" w:rsidP="00E96110">
            <w:pPr>
              <w:jc w:val="center"/>
              <w:rPr>
                <w:rFonts w:asciiTheme="minorHAnsi" w:hAnsiTheme="minorHAnsi" w:cstheme="minorHAnsi"/>
                <w:sz w:val="22"/>
              </w:rPr>
            </w:pPr>
            <w:r w:rsidRPr="000144C2">
              <w:rPr>
                <w:rFonts w:asciiTheme="minorHAnsi" w:hAnsiTheme="minorHAnsi" w:cstheme="minorHAnsi"/>
                <w:b/>
                <w:caps/>
                <w:sz w:val="22"/>
                <w:lang w:val="fr-BE"/>
              </w:rPr>
              <w:t>Verantwoording</w:t>
            </w:r>
          </w:p>
        </w:tc>
      </w:tr>
      <w:tr w:rsidR="00E96110" w:rsidRPr="002F7AA5" w14:paraId="3602AFBF" w14:textId="77777777" w:rsidTr="00705040">
        <w:tc>
          <w:tcPr>
            <w:tcW w:w="4508" w:type="dxa"/>
          </w:tcPr>
          <w:p w14:paraId="720CBF97" w14:textId="77777777" w:rsidR="00E96110" w:rsidRPr="000144C2" w:rsidRDefault="00E96110" w:rsidP="000144C2">
            <w:pPr>
              <w:jc w:val="both"/>
              <w:rPr>
                <w:rFonts w:asciiTheme="minorHAnsi" w:hAnsiTheme="minorHAnsi" w:cstheme="minorHAnsi"/>
                <w:b/>
                <w:caps/>
                <w:sz w:val="22"/>
                <w:lang w:val="fr-BE"/>
              </w:rPr>
            </w:pPr>
          </w:p>
        </w:tc>
        <w:tc>
          <w:tcPr>
            <w:tcW w:w="4508" w:type="dxa"/>
          </w:tcPr>
          <w:p w14:paraId="6E1EFDFC" w14:textId="77777777" w:rsidR="00E96110" w:rsidRPr="000144C2" w:rsidRDefault="00E96110" w:rsidP="000144C2">
            <w:pPr>
              <w:jc w:val="both"/>
              <w:rPr>
                <w:rFonts w:asciiTheme="minorHAnsi" w:hAnsiTheme="minorHAnsi" w:cstheme="minorHAnsi"/>
                <w:b/>
                <w:caps/>
                <w:sz w:val="22"/>
                <w:lang w:val="fr-BE"/>
              </w:rPr>
            </w:pPr>
          </w:p>
        </w:tc>
      </w:tr>
      <w:tr w:rsidR="000144C2" w:rsidRPr="002F7AA5" w14:paraId="3A5BB81B" w14:textId="77777777" w:rsidTr="00705040">
        <w:tc>
          <w:tcPr>
            <w:tcW w:w="4508" w:type="dxa"/>
          </w:tcPr>
          <w:p w14:paraId="3B119126" w14:textId="73FB03D4" w:rsidR="000144C2" w:rsidRPr="000144C2" w:rsidRDefault="000144C2" w:rsidP="00E96110">
            <w:pPr>
              <w:jc w:val="both"/>
              <w:rPr>
                <w:rFonts w:asciiTheme="minorHAnsi" w:hAnsiTheme="minorHAnsi" w:cstheme="minorHAnsi"/>
                <w:sz w:val="22"/>
                <w:lang w:val="fr-BE"/>
              </w:rPr>
            </w:pPr>
            <w:bookmarkStart w:id="57" w:name="_Toc91593390"/>
            <w:r w:rsidRPr="000144C2">
              <w:rPr>
                <w:rFonts w:asciiTheme="minorHAnsi" w:hAnsiTheme="minorHAnsi" w:cstheme="minorHAnsi"/>
                <w:b/>
                <w:bCs/>
                <w:sz w:val="22"/>
                <w:u w:val="single"/>
                <w:lang w:val="fr-BE"/>
              </w:rPr>
              <w:t>Nécessité du présent amendement à la suite de l’arrêt n° 158/2021 du 18 novembre 2021 de la Cour constitutionnelle</w:t>
            </w:r>
            <w:bookmarkEnd w:id="57"/>
          </w:p>
        </w:tc>
        <w:tc>
          <w:tcPr>
            <w:tcW w:w="4508" w:type="dxa"/>
          </w:tcPr>
          <w:p w14:paraId="2BFA3F50" w14:textId="1B2E961B"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b/>
                <w:bCs/>
                <w:sz w:val="22"/>
                <w:u w:val="single"/>
              </w:rPr>
              <w:t>Noodzaak van dit amendement ingevolge arrest nr. 158/2021 van 18 november 2021 van het Grondwettelijk Hof</w:t>
            </w:r>
          </w:p>
        </w:tc>
      </w:tr>
      <w:tr w:rsidR="00E96110" w:rsidRPr="002F7AA5" w14:paraId="55CE2E61" w14:textId="77777777" w:rsidTr="00705040">
        <w:tc>
          <w:tcPr>
            <w:tcW w:w="4508" w:type="dxa"/>
          </w:tcPr>
          <w:p w14:paraId="4FA38D5A" w14:textId="77777777" w:rsidR="00E96110" w:rsidRPr="00C462D9" w:rsidRDefault="00E96110" w:rsidP="000144C2">
            <w:pPr>
              <w:rPr>
                <w:rFonts w:asciiTheme="minorHAnsi" w:hAnsiTheme="minorHAnsi" w:cstheme="minorHAnsi"/>
                <w:b/>
                <w:bCs/>
                <w:sz w:val="22"/>
                <w:u w:val="single"/>
              </w:rPr>
            </w:pPr>
          </w:p>
        </w:tc>
        <w:tc>
          <w:tcPr>
            <w:tcW w:w="4508" w:type="dxa"/>
          </w:tcPr>
          <w:p w14:paraId="50728E69" w14:textId="77777777" w:rsidR="00E96110" w:rsidRPr="000144C2" w:rsidRDefault="00E96110" w:rsidP="000144C2">
            <w:pPr>
              <w:rPr>
                <w:rFonts w:asciiTheme="minorHAnsi" w:hAnsiTheme="minorHAnsi" w:cstheme="minorHAnsi"/>
                <w:b/>
                <w:bCs/>
                <w:sz w:val="22"/>
                <w:u w:val="single"/>
              </w:rPr>
            </w:pPr>
          </w:p>
        </w:tc>
      </w:tr>
      <w:tr w:rsidR="000144C2" w:rsidRPr="002F7AA5" w14:paraId="6171D052" w14:textId="77777777" w:rsidTr="00705040">
        <w:tc>
          <w:tcPr>
            <w:tcW w:w="4508" w:type="dxa"/>
          </w:tcPr>
          <w:p w14:paraId="6BB2A7B1" w14:textId="65414886" w:rsidR="000144C2" w:rsidRPr="000144C2" w:rsidRDefault="000144C2" w:rsidP="00E96110">
            <w:pPr>
              <w:jc w:val="both"/>
              <w:rPr>
                <w:rFonts w:asciiTheme="minorHAnsi" w:hAnsiTheme="minorHAnsi" w:cstheme="minorHAnsi"/>
                <w:sz w:val="22"/>
                <w:lang w:val="fr-BE"/>
              </w:rPr>
            </w:pPr>
            <w:r w:rsidRPr="000144C2">
              <w:rPr>
                <w:rFonts w:asciiTheme="minorHAnsi" w:hAnsiTheme="minorHAnsi" w:cstheme="minorHAnsi"/>
                <w:sz w:val="22"/>
                <w:lang w:val="fr-BE"/>
              </w:rPr>
              <w:t>Le présent amendement vise à introduire un nouvel article 9/1 dans le projet de loi, qui lui-même introduit un nouvel article 126/2 dans la loi relative aux communications électroniques.</w:t>
            </w:r>
          </w:p>
        </w:tc>
        <w:tc>
          <w:tcPr>
            <w:tcW w:w="4508" w:type="dxa"/>
          </w:tcPr>
          <w:p w14:paraId="3FD820DF" w14:textId="14882ECC"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sz w:val="22"/>
              </w:rPr>
              <w:t>Dit amendement wenst een nieuw artikel 9/1 in te voeren in het wetsontwerp, dat op zich een nieuw artikel 126/2 invoert in de wet betreffende de elektronische communicatie.</w:t>
            </w:r>
          </w:p>
        </w:tc>
      </w:tr>
      <w:tr w:rsidR="00E96110" w:rsidRPr="002F7AA5" w14:paraId="23981A4F" w14:textId="77777777" w:rsidTr="00705040">
        <w:tc>
          <w:tcPr>
            <w:tcW w:w="4508" w:type="dxa"/>
          </w:tcPr>
          <w:p w14:paraId="0FCEFE04" w14:textId="77777777" w:rsidR="00E96110" w:rsidRPr="00C462D9" w:rsidRDefault="00E96110" w:rsidP="00E96110">
            <w:pPr>
              <w:jc w:val="both"/>
              <w:rPr>
                <w:rFonts w:asciiTheme="minorHAnsi" w:hAnsiTheme="minorHAnsi" w:cstheme="minorHAnsi"/>
                <w:sz w:val="22"/>
              </w:rPr>
            </w:pPr>
          </w:p>
        </w:tc>
        <w:tc>
          <w:tcPr>
            <w:tcW w:w="4508" w:type="dxa"/>
          </w:tcPr>
          <w:p w14:paraId="12F3873E" w14:textId="77777777" w:rsidR="00E96110" w:rsidRPr="000144C2" w:rsidRDefault="00E96110" w:rsidP="00E96110">
            <w:pPr>
              <w:jc w:val="both"/>
              <w:rPr>
                <w:rFonts w:asciiTheme="minorHAnsi" w:hAnsiTheme="minorHAnsi" w:cstheme="minorHAnsi"/>
                <w:sz w:val="22"/>
              </w:rPr>
            </w:pPr>
          </w:p>
        </w:tc>
      </w:tr>
      <w:tr w:rsidR="000144C2" w:rsidRPr="002F7AA5" w14:paraId="08312C4E" w14:textId="77777777" w:rsidTr="00705040">
        <w:tc>
          <w:tcPr>
            <w:tcW w:w="4508" w:type="dxa"/>
          </w:tcPr>
          <w:p w14:paraId="6651B44D" w14:textId="47781416" w:rsidR="000144C2" w:rsidRPr="000144C2" w:rsidRDefault="000144C2" w:rsidP="00E96110">
            <w:pPr>
              <w:jc w:val="both"/>
              <w:rPr>
                <w:rFonts w:asciiTheme="minorHAnsi" w:hAnsiTheme="minorHAnsi" w:cstheme="minorHAnsi"/>
                <w:sz w:val="22"/>
                <w:lang w:val="fr-BE"/>
              </w:rPr>
            </w:pPr>
            <w:r w:rsidRPr="000144C2">
              <w:rPr>
                <w:rFonts w:asciiTheme="minorHAnsi" w:hAnsiTheme="minorHAnsi" w:cstheme="minorHAnsi"/>
                <w:sz w:val="22"/>
                <w:lang w:val="fr-BE"/>
              </w:rPr>
              <w:t>Le projet de loi relatif à la collecte et à la conservation des données d’identification et des métadonnées dans le secteur des communications électroniques et à la fourniture de ces données aux autorités (ci-après le projet de loi « conservation des données ») a pour objet, entre autres, d’introduire un nouvel article 126/1 dans la loi relative aux communications électroniques, concernant la conservation des données sur base d’un critère géographique.</w:t>
            </w:r>
          </w:p>
        </w:tc>
        <w:tc>
          <w:tcPr>
            <w:tcW w:w="4508" w:type="dxa"/>
          </w:tcPr>
          <w:p w14:paraId="677ED7FE" w14:textId="64A770DF"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sz w:val="22"/>
              </w:rPr>
              <w:t>Het wetsontwerp betreffende het verzamelen en het bewaren van de identificatiegegevens en van metagegevens in de sector van de elektronische communicatie en de verstrekking ervan aan de autoriteiten (hierna het wetsontwerp “gegevensbewaring”) beoogt onder meer de invoering van een nieuw artikel 126/1 in de wet betreffende de elektronische communicatie, aangaande de bewaring van gegevens op basis van een geografisch criterium.</w:t>
            </w:r>
          </w:p>
        </w:tc>
      </w:tr>
      <w:tr w:rsidR="00E96110" w:rsidRPr="002F7AA5" w14:paraId="69FEA964" w14:textId="77777777" w:rsidTr="00705040">
        <w:tc>
          <w:tcPr>
            <w:tcW w:w="4508" w:type="dxa"/>
          </w:tcPr>
          <w:p w14:paraId="3409C771" w14:textId="77777777" w:rsidR="00E96110" w:rsidRPr="00C462D9" w:rsidRDefault="00E96110" w:rsidP="00E96110">
            <w:pPr>
              <w:jc w:val="both"/>
              <w:rPr>
                <w:rFonts w:asciiTheme="minorHAnsi" w:hAnsiTheme="minorHAnsi" w:cstheme="minorHAnsi"/>
                <w:sz w:val="22"/>
              </w:rPr>
            </w:pPr>
          </w:p>
        </w:tc>
        <w:tc>
          <w:tcPr>
            <w:tcW w:w="4508" w:type="dxa"/>
          </w:tcPr>
          <w:p w14:paraId="7634FDEF" w14:textId="77777777" w:rsidR="00E96110" w:rsidRPr="000144C2" w:rsidRDefault="00E96110" w:rsidP="00E96110">
            <w:pPr>
              <w:jc w:val="both"/>
              <w:rPr>
                <w:rFonts w:asciiTheme="minorHAnsi" w:hAnsiTheme="minorHAnsi" w:cstheme="minorHAnsi"/>
                <w:sz w:val="22"/>
              </w:rPr>
            </w:pPr>
          </w:p>
        </w:tc>
      </w:tr>
      <w:tr w:rsidR="000144C2" w:rsidRPr="002F7AA5" w14:paraId="1AEFD737" w14:textId="77777777" w:rsidTr="00705040">
        <w:tc>
          <w:tcPr>
            <w:tcW w:w="4508" w:type="dxa"/>
          </w:tcPr>
          <w:p w14:paraId="617D5791" w14:textId="06A215E6" w:rsidR="000144C2" w:rsidRPr="000144C2" w:rsidRDefault="000144C2" w:rsidP="00E96110">
            <w:pPr>
              <w:jc w:val="both"/>
              <w:rPr>
                <w:rFonts w:asciiTheme="minorHAnsi" w:hAnsiTheme="minorHAnsi" w:cstheme="minorHAnsi"/>
                <w:sz w:val="22"/>
                <w:lang w:val="fr-BE"/>
              </w:rPr>
            </w:pPr>
            <w:r w:rsidRPr="000144C2">
              <w:rPr>
                <w:rFonts w:asciiTheme="minorHAnsi" w:hAnsiTheme="minorHAnsi" w:cstheme="minorHAnsi"/>
                <w:sz w:val="22"/>
                <w:lang w:val="fr-BE"/>
              </w:rPr>
              <w:t>Dans un arrêt n° 158/2021 du 18 novembre 2021, la Cour constitutionnelle a annulé l’article 2 de la loi du 1</w:t>
            </w:r>
            <w:r w:rsidRPr="000144C2">
              <w:rPr>
                <w:rFonts w:asciiTheme="minorHAnsi" w:hAnsiTheme="minorHAnsi" w:cstheme="minorHAnsi"/>
                <w:sz w:val="22"/>
                <w:vertAlign w:val="superscript"/>
                <w:lang w:val="fr-BE"/>
              </w:rPr>
              <w:t>er</w:t>
            </w:r>
            <w:r w:rsidRPr="000144C2">
              <w:rPr>
                <w:rFonts w:asciiTheme="minorHAnsi" w:hAnsiTheme="minorHAnsi" w:cstheme="minorHAnsi"/>
                <w:sz w:val="22"/>
                <w:lang w:val="fr-BE"/>
              </w:rPr>
              <w:t xml:space="preserve"> septembre 2016 portant modification de l'article 127 de la loi du 13 juin 2005 relative aux communications électroniques et de l'article 16/2 de la loi du 30 novembre 1998 organique des services de renseignement et de sécurité, au motif que cet article ne détermine pas les données d’identification qui sont collectées et traitées et les documents d’identification qui entrent en considération.</w:t>
            </w:r>
          </w:p>
        </w:tc>
        <w:tc>
          <w:tcPr>
            <w:tcW w:w="4508" w:type="dxa"/>
          </w:tcPr>
          <w:p w14:paraId="20954E76" w14:textId="132EC7D6"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sz w:val="22"/>
              </w:rPr>
              <w:t>In arrest nr. 158/2021 van 18 november 2021 heeft het Grondwettelijk Hof artikel 2 van de wet van 1 september 2016 tot wijziging van artikel 127 van de wet van 13 juni 2005 betreffende de elektronische communicatie en van artikel 16/2 van de wet van 30 november 1998 houdende regeling van de inlichtingen- en veiligheidsdienst nietig verklaard, op grond van het feit dat dit artikel niet bepaalt welke identificatiegegevens worden verzameld en verwerkt en welke identificatiedocumenten in aanmerking worden genomen.</w:t>
            </w:r>
          </w:p>
        </w:tc>
      </w:tr>
      <w:tr w:rsidR="00E96110" w:rsidRPr="002F7AA5" w14:paraId="04830380" w14:textId="77777777" w:rsidTr="00705040">
        <w:tc>
          <w:tcPr>
            <w:tcW w:w="4508" w:type="dxa"/>
          </w:tcPr>
          <w:p w14:paraId="235A329E" w14:textId="77777777" w:rsidR="00E96110" w:rsidRPr="00C462D9" w:rsidRDefault="00E96110" w:rsidP="000144C2">
            <w:pPr>
              <w:rPr>
                <w:rFonts w:asciiTheme="minorHAnsi" w:hAnsiTheme="minorHAnsi" w:cstheme="minorHAnsi"/>
                <w:sz w:val="22"/>
              </w:rPr>
            </w:pPr>
          </w:p>
        </w:tc>
        <w:tc>
          <w:tcPr>
            <w:tcW w:w="4508" w:type="dxa"/>
          </w:tcPr>
          <w:p w14:paraId="56548BC6" w14:textId="77777777" w:rsidR="00E96110" w:rsidRPr="000144C2" w:rsidRDefault="00E96110" w:rsidP="000144C2">
            <w:pPr>
              <w:rPr>
                <w:rFonts w:asciiTheme="minorHAnsi" w:hAnsiTheme="minorHAnsi" w:cstheme="minorHAnsi"/>
                <w:sz w:val="22"/>
              </w:rPr>
            </w:pPr>
          </w:p>
        </w:tc>
      </w:tr>
      <w:tr w:rsidR="000144C2" w:rsidRPr="002F7AA5" w14:paraId="6F5455D1" w14:textId="77777777" w:rsidTr="00705040">
        <w:tc>
          <w:tcPr>
            <w:tcW w:w="4508" w:type="dxa"/>
          </w:tcPr>
          <w:p w14:paraId="0439A8F0" w14:textId="04B527D3" w:rsidR="000144C2" w:rsidRPr="000144C2" w:rsidRDefault="000144C2" w:rsidP="00E96110">
            <w:pPr>
              <w:jc w:val="both"/>
              <w:rPr>
                <w:rFonts w:asciiTheme="minorHAnsi" w:hAnsiTheme="minorHAnsi" w:cstheme="minorHAnsi"/>
                <w:sz w:val="22"/>
                <w:lang w:val="fr-BE"/>
              </w:rPr>
            </w:pPr>
            <w:r w:rsidRPr="000144C2">
              <w:rPr>
                <w:rFonts w:asciiTheme="minorHAnsi" w:hAnsiTheme="minorHAnsi" w:cstheme="minorHAnsi"/>
                <w:sz w:val="22"/>
                <w:lang w:val="fr-BE"/>
              </w:rPr>
              <w:t xml:space="preserve">Selon la Cour, de tels éléments essentiels d’un traitement de données à caractère personnel ne </w:t>
            </w:r>
            <w:r w:rsidRPr="000144C2">
              <w:rPr>
                <w:rFonts w:asciiTheme="minorHAnsi" w:hAnsiTheme="minorHAnsi" w:cstheme="minorHAnsi"/>
                <w:sz w:val="22"/>
                <w:lang w:val="fr-BE"/>
              </w:rPr>
              <w:lastRenderedPageBreak/>
              <w:t>sauraient être couverts par l’habilitation vague conférée par l’article 127, § 1</w:t>
            </w:r>
            <w:r w:rsidRPr="000144C2">
              <w:rPr>
                <w:rFonts w:asciiTheme="minorHAnsi" w:hAnsiTheme="minorHAnsi" w:cstheme="minorHAnsi"/>
                <w:sz w:val="22"/>
                <w:vertAlign w:val="superscript"/>
                <w:lang w:val="fr-BE"/>
              </w:rPr>
              <w:t>er</w:t>
            </w:r>
            <w:r w:rsidRPr="000144C2">
              <w:rPr>
                <w:rFonts w:asciiTheme="minorHAnsi" w:hAnsiTheme="minorHAnsi" w:cstheme="minorHAnsi"/>
                <w:sz w:val="22"/>
                <w:lang w:val="fr-BE"/>
              </w:rPr>
              <w:t>, alinéa 1</w:t>
            </w:r>
            <w:r w:rsidRPr="000144C2">
              <w:rPr>
                <w:rFonts w:asciiTheme="minorHAnsi" w:hAnsiTheme="minorHAnsi" w:cstheme="minorHAnsi"/>
                <w:sz w:val="22"/>
                <w:vertAlign w:val="superscript"/>
                <w:lang w:val="fr-BE"/>
              </w:rPr>
              <w:t>er</w:t>
            </w:r>
            <w:r w:rsidRPr="000144C2">
              <w:rPr>
                <w:rFonts w:asciiTheme="minorHAnsi" w:hAnsiTheme="minorHAnsi" w:cstheme="minorHAnsi"/>
                <w:sz w:val="22"/>
                <w:lang w:val="fr-BE"/>
              </w:rPr>
              <w:t>, de la loi du 13 juin 2005 et qui consiste à prendre les « mesures techniques et administratives » nécessaires en vue de l’</w:t>
            </w:r>
            <w:proofErr w:type="spellStart"/>
            <w:r w:rsidRPr="000144C2">
              <w:rPr>
                <w:rFonts w:asciiTheme="minorHAnsi" w:hAnsiTheme="minorHAnsi" w:cstheme="minorHAnsi"/>
                <w:sz w:val="22"/>
                <w:lang w:val="fr-BE"/>
              </w:rPr>
              <w:t>identifiabilité</w:t>
            </w:r>
            <w:proofErr w:type="spellEnd"/>
            <w:r w:rsidRPr="000144C2">
              <w:rPr>
                <w:rFonts w:asciiTheme="minorHAnsi" w:hAnsiTheme="minorHAnsi" w:cstheme="minorHAnsi"/>
                <w:sz w:val="22"/>
                <w:lang w:val="fr-BE"/>
              </w:rPr>
              <w:t xml:space="preserve"> de l’utilisateur final.</w:t>
            </w:r>
          </w:p>
        </w:tc>
        <w:tc>
          <w:tcPr>
            <w:tcW w:w="4508" w:type="dxa"/>
          </w:tcPr>
          <w:p w14:paraId="3312B271" w14:textId="34C57D47"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sz w:val="22"/>
              </w:rPr>
              <w:lastRenderedPageBreak/>
              <w:t xml:space="preserve">Dergelijke essentiële elementen van een verwerking van persoonsgegevens kunnen </w:t>
            </w:r>
            <w:r w:rsidRPr="000144C2">
              <w:rPr>
                <w:rFonts w:asciiTheme="minorHAnsi" w:hAnsiTheme="minorHAnsi" w:cstheme="minorHAnsi"/>
                <w:sz w:val="22"/>
              </w:rPr>
              <w:lastRenderedPageBreak/>
              <w:t>volgens het Hof niet worden begrepen onder de vage machtiging in artikel 127, § 1, eerste lid, van de wet van 13 juni 2005 om de nodige “technische en administratieve maatregelen” te nemen met het oog op de identificeerbaarheid van de eindgebruiker.</w:t>
            </w:r>
          </w:p>
        </w:tc>
      </w:tr>
      <w:tr w:rsidR="00E96110" w:rsidRPr="002F7AA5" w14:paraId="364399FA" w14:textId="77777777" w:rsidTr="00705040">
        <w:tc>
          <w:tcPr>
            <w:tcW w:w="4508" w:type="dxa"/>
          </w:tcPr>
          <w:p w14:paraId="3AC3E800" w14:textId="77777777" w:rsidR="00E96110" w:rsidRPr="00C462D9" w:rsidRDefault="00E96110" w:rsidP="00E96110">
            <w:pPr>
              <w:jc w:val="both"/>
              <w:rPr>
                <w:rFonts w:asciiTheme="minorHAnsi" w:hAnsiTheme="minorHAnsi" w:cstheme="minorHAnsi"/>
                <w:sz w:val="22"/>
              </w:rPr>
            </w:pPr>
          </w:p>
        </w:tc>
        <w:tc>
          <w:tcPr>
            <w:tcW w:w="4508" w:type="dxa"/>
          </w:tcPr>
          <w:p w14:paraId="08A82943" w14:textId="77777777" w:rsidR="00E96110" w:rsidRPr="000144C2" w:rsidRDefault="00E96110" w:rsidP="00E96110">
            <w:pPr>
              <w:jc w:val="both"/>
              <w:rPr>
                <w:rFonts w:asciiTheme="minorHAnsi" w:hAnsiTheme="minorHAnsi" w:cstheme="minorHAnsi"/>
                <w:sz w:val="22"/>
              </w:rPr>
            </w:pPr>
          </w:p>
        </w:tc>
      </w:tr>
      <w:tr w:rsidR="000144C2" w:rsidRPr="002F7AA5" w14:paraId="5EDDCB1F" w14:textId="77777777" w:rsidTr="00705040">
        <w:tc>
          <w:tcPr>
            <w:tcW w:w="4508" w:type="dxa"/>
          </w:tcPr>
          <w:p w14:paraId="116D18AE" w14:textId="35FB151F" w:rsidR="000144C2" w:rsidRPr="000144C2" w:rsidRDefault="000144C2" w:rsidP="00E96110">
            <w:pPr>
              <w:jc w:val="both"/>
              <w:rPr>
                <w:rFonts w:asciiTheme="minorHAnsi" w:hAnsiTheme="minorHAnsi" w:cstheme="minorHAnsi"/>
                <w:sz w:val="22"/>
                <w:lang w:val="fr-BE"/>
              </w:rPr>
            </w:pPr>
            <w:r w:rsidRPr="000144C2">
              <w:rPr>
                <w:rFonts w:asciiTheme="minorHAnsi" w:hAnsiTheme="minorHAnsi" w:cstheme="minorHAnsi"/>
                <w:sz w:val="22"/>
                <w:lang w:val="fr-BE"/>
              </w:rPr>
              <w:t>Même si l’annulation de l’article 2 précité ne porte pas sur les métadonnées à conserver dans le cadre de l’article 126/1, et que cet article contient une délégation explicite et spécifique au Roi pour fixer les métadonnées de communications électroniques qui sont visées par l’article 126/1, le législateur estime, par souci de cohérence,</w:t>
            </w:r>
            <w:r w:rsidR="000D685F">
              <w:rPr>
                <w:rFonts w:asciiTheme="minorHAnsi" w:hAnsiTheme="minorHAnsi" w:cstheme="minorHAnsi"/>
                <w:sz w:val="22"/>
                <w:lang w:val="fr-BE"/>
              </w:rPr>
              <w:t xml:space="preserve"> qu’ </w:t>
            </w:r>
            <w:r w:rsidRPr="000144C2">
              <w:rPr>
                <w:rFonts w:asciiTheme="minorHAnsi" w:hAnsiTheme="minorHAnsi" w:cstheme="minorHAnsi"/>
                <w:sz w:val="22"/>
                <w:lang w:val="fr-BE"/>
              </w:rPr>
              <w:t>il est préférable d’énumérer l’ensemble des données à conserver dans la loi. Ainsi, à l’instar des données d’identification reprises à l’article 126, les données visées aux paragraphes 2 des articles 3 à 6 de l’arrêté royal du 19 septembre 2013 portant exécution de l'article 126 de la loi du 13 juin 2005 relative aux communications électroniques ont été déplacées vers ce nouvel article 126/2.</w:t>
            </w:r>
          </w:p>
        </w:tc>
        <w:tc>
          <w:tcPr>
            <w:tcW w:w="4508" w:type="dxa"/>
          </w:tcPr>
          <w:p w14:paraId="21589877" w14:textId="2B7DF24B"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sz w:val="22"/>
              </w:rPr>
              <w:t xml:space="preserve">Ook al heeft de vernietiging van het voormelde artikel 2 geen betrekking op de metagegevens die in het kader van artikel 126/1 moeten worden bewaard, en bevat dit artikel een uitdrukkelijke en specifieke delegatie aan de Koning om de in artikel 126/1 bedoelde </w:t>
            </w:r>
            <w:r w:rsidR="005E2406" w:rsidRPr="003B1E56">
              <w:rPr>
                <w:rFonts w:asciiTheme="minorHAnsi" w:hAnsiTheme="minorHAnsi" w:cstheme="minorHAnsi"/>
                <w:sz w:val="22"/>
              </w:rPr>
              <w:t>elektronische-</w:t>
            </w:r>
            <w:proofErr w:type="spellStart"/>
            <w:r w:rsidR="005E2406" w:rsidRPr="003B1E56">
              <w:rPr>
                <w:rFonts w:asciiTheme="minorHAnsi" w:hAnsiTheme="minorHAnsi" w:cstheme="minorHAnsi"/>
                <w:sz w:val="22"/>
              </w:rPr>
              <w:t>communicatiemetagegevens</w:t>
            </w:r>
            <w:proofErr w:type="spellEnd"/>
            <w:r w:rsidR="005E2406">
              <w:rPr>
                <w:rFonts w:asciiTheme="minorHAnsi" w:hAnsiTheme="minorHAnsi" w:cstheme="minorHAnsi"/>
                <w:sz w:val="22"/>
              </w:rPr>
              <w:t xml:space="preserve"> </w:t>
            </w:r>
            <w:r w:rsidRPr="000144C2">
              <w:rPr>
                <w:rFonts w:asciiTheme="minorHAnsi" w:hAnsiTheme="minorHAnsi" w:cstheme="minorHAnsi"/>
                <w:sz w:val="22"/>
              </w:rPr>
              <w:t xml:space="preserve"> te bepalen, toch is de wetgever van oordeel dat het ter wille van de coherentie de voorkeur verdient alle gegevens die moeten worden bewaard, in de wet op te sommen. Zo zijn, naar het voorbeeld van de identificatiegegevens opgenomen in artikel 126, de gegevens bedoeld in de paragrafen 2 van de artikelen 3 tot 6 van het koninklijk besluit van 19 september 2013 tot uitvoering van artikel 126 van de wet van 13 juni 2005 betreffende de elektronische communicatie, verplaatst naar dit nieuwe artikel 126/2.</w:t>
            </w:r>
          </w:p>
        </w:tc>
      </w:tr>
      <w:tr w:rsidR="00E96110" w:rsidRPr="002F7AA5" w14:paraId="21765589" w14:textId="77777777" w:rsidTr="00705040">
        <w:tc>
          <w:tcPr>
            <w:tcW w:w="4508" w:type="dxa"/>
          </w:tcPr>
          <w:p w14:paraId="35C8B9C2" w14:textId="77777777" w:rsidR="00E96110" w:rsidRPr="00C462D9" w:rsidRDefault="00E96110" w:rsidP="000144C2">
            <w:pPr>
              <w:rPr>
                <w:rFonts w:asciiTheme="minorHAnsi" w:hAnsiTheme="minorHAnsi" w:cstheme="minorHAnsi"/>
                <w:sz w:val="22"/>
              </w:rPr>
            </w:pPr>
          </w:p>
        </w:tc>
        <w:tc>
          <w:tcPr>
            <w:tcW w:w="4508" w:type="dxa"/>
          </w:tcPr>
          <w:p w14:paraId="708B0CC8" w14:textId="77777777" w:rsidR="00E96110" w:rsidRPr="000144C2" w:rsidRDefault="00E96110" w:rsidP="000144C2">
            <w:pPr>
              <w:rPr>
                <w:rFonts w:asciiTheme="minorHAnsi" w:hAnsiTheme="minorHAnsi" w:cstheme="minorHAnsi"/>
                <w:sz w:val="22"/>
              </w:rPr>
            </w:pPr>
          </w:p>
        </w:tc>
      </w:tr>
      <w:tr w:rsidR="000144C2" w:rsidRPr="002F7AA5" w14:paraId="0AADF353" w14:textId="77777777" w:rsidTr="00705040">
        <w:tc>
          <w:tcPr>
            <w:tcW w:w="4508" w:type="dxa"/>
          </w:tcPr>
          <w:p w14:paraId="7DC63F72" w14:textId="5C9615A6"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b/>
                <w:bCs/>
                <w:sz w:val="22"/>
                <w:u w:val="single"/>
                <w:lang w:val="fr-BE"/>
              </w:rPr>
              <w:t>Considérations générales sur l’article 126/2</w:t>
            </w:r>
          </w:p>
        </w:tc>
        <w:tc>
          <w:tcPr>
            <w:tcW w:w="4508" w:type="dxa"/>
          </w:tcPr>
          <w:p w14:paraId="397CFACA" w14:textId="04C96C88"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b/>
                <w:bCs/>
                <w:sz w:val="22"/>
                <w:u w:val="single"/>
              </w:rPr>
              <w:t>Algemene overwegingen betreffende artikel 126/2</w:t>
            </w:r>
          </w:p>
        </w:tc>
      </w:tr>
      <w:tr w:rsidR="00E96110" w:rsidRPr="002F7AA5" w14:paraId="535D4EB4" w14:textId="77777777" w:rsidTr="00705040">
        <w:tc>
          <w:tcPr>
            <w:tcW w:w="4508" w:type="dxa"/>
          </w:tcPr>
          <w:p w14:paraId="4ECB95B9" w14:textId="77777777" w:rsidR="00E96110" w:rsidRPr="000144C2" w:rsidRDefault="00E96110" w:rsidP="000144C2">
            <w:pPr>
              <w:rPr>
                <w:rFonts w:asciiTheme="minorHAnsi" w:hAnsiTheme="minorHAnsi" w:cstheme="minorHAnsi"/>
                <w:b/>
                <w:bCs/>
                <w:sz w:val="22"/>
                <w:u w:val="single"/>
                <w:lang w:val="fr-BE"/>
              </w:rPr>
            </w:pPr>
          </w:p>
        </w:tc>
        <w:tc>
          <w:tcPr>
            <w:tcW w:w="4508" w:type="dxa"/>
          </w:tcPr>
          <w:p w14:paraId="733BACB3" w14:textId="77777777" w:rsidR="00E96110" w:rsidRPr="000144C2" w:rsidRDefault="00E96110" w:rsidP="000144C2">
            <w:pPr>
              <w:rPr>
                <w:rFonts w:asciiTheme="minorHAnsi" w:hAnsiTheme="minorHAnsi" w:cstheme="minorHAnsi"/>
                <w:b/>
                <w:bCs/>
                <w:sz w:val="22"/>
                <w:u w:val="single"/>
              </w:rPr>
            </w:pPr>
          </w:p>
        </w:tc>
      </w:tr>
      <w:tr w:rsidR="000144C2" w:rsidRPr="002F7AA5" w14:paraId="4A5B3F64" w14:textId="77777777" w:rsidTr="00705040">
        <w:tc>
          <w:tcPr>
            <w:tcW w:w="4508" w:type="dxa"/>
          </w:tcPr>
          <w:p w14:paraId="4E5C65C2" w14:textId="3E554E1C" w:rsidR="000144C2" w:rsidRPr="000144C2" w:rsidRDefault="000144C2" w:rsidP="00E96110">
            <w:pPr>
              <w:jc w:val="both"/>
              <w:rPr>
                <w:rFonts w:asciiTheme="minorHAnsi" w:hAnsiTheme="minorHAnsi" w:cstheme="minorHAnsi"/>
                <w:sz w:val="22"/>
                <w:lang w:val="fr-BE"/>
              </w:rPr>
            </w:pPr>
            <w:r w:rsidRPr="000144C2">
              <w:rPr>
                <w:rFonts w:asciiTheme="minorHAnsi" w:hAnsiTheme="minorHAnsi" w:cstheme="minorHAnsi"/>
                <w:sz w:val="22"/>
                <w:lang w:val="fr-BE"/>
              </w:rPr>
              <w:t xml:space="preserve">À l’instar des données d’identification énumérées à l’article 126, le présent article 126/2, § 2, reprend et adapte les données précédemment listées aux paragraphes 2 des articles 3 à 6 de l’arrêté royal du 19 septembre 2013 non plus au moyen de listes de données distinctes par type de service de communications électroniques (téléphone fixe, téléphonie mobile, service d’accès à internet, service de courrier électronique et service de téléphonie par internet), mais au moyen d’une seule liste de données commune pour l’ensemble de ces services.  Une liste commune se justifie compte tenu de la convergence croissante des services de communications électroniques et de l’extension de cette dernière notion, ainsi que de la notion d’opérateur aux acteurs OTT, à la suite de la transposition dans la loi télécom du  Code  des communications électroniques européen (Directive (UE) 2018/1972 du Parlement européen et du Conseil </w:t>
            </w:r>
            <w:r w:rsidRPr="000144C2">
              <w:rPr>
                <w:rFonts w:asciiTheme="minorHAnsi" w:hAnsiTheme="minorHAnsi" w:cstheme="minorHAnsi"/>
                <w:sz w:val="22"/>
                <w:lang w:val="fr-BE"/>
              </w:rPr>
              <w:lastRenderedPageBreak/>
              <w:t>du 11 décembre 2018 établissant le code des communications électroniques européen).  Il incombe dès lors à l’opérateur de vérifier quelles données de cette liste sont traitées ou générées par lui dans le cadre des services ou réseaux qu’il offre.  Cette vérification doit être effectuée pour chaque type de service offert par l’opérateur, de sorte que l’ensemble des données pertinentes soient conservées pour chaque service et pour chaque utilisateur final.</w:t>
            </w:r>
          </w:p>
        </w:tc>
        <w:tc>
          <w:tcPr>
            <w:tcW w:w="4508" w:type="dxa"/>
          </w:tcPr>
          <w:p w14:paraId="49B89C91" w14:textId="69A2648E"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sz w:val="22"/>
              </w:rPr>
              <w:lastRenderedPageBreak/>
              <w:t xml:space="preserve">Naar het voorbeeld van de identificatiegegevens opgesomd in artikel 126, neemt onderhavig artikel 126/2, § 2, de gegevens over die voordien zijn opgesomd in de paragrafen 2 van de artikelen 3 tot 6 van het koninklijk besluit van 19 september 2013 en past deze aan, niet langer door middel van afzonderlijke lijsten van gegevens per type van elektronische-communicatiediensten (vaste telefonie, mobiele telefonie, internettoegangsdienst, e-maildienst via internet en een internettelefoniedienst), maar door middel van een enkele gemeenschappelijke lijst van gegevens voor al die diensten.  Een gemeenschappelijke lijst is gerechtvaardigd rekening houdend met de toenemende convergentie van de elektronische-communicatiediensten en met de uitbreiding van dat laatste begrip alsook van het begrip operator naar de OTT-spelers naar aanleiding van de omzetting in de telecomwet van het Europees wetboek voor elektronische </w:t>
            </w:r>
            <w:r w:rsidRPr="000144C2">
              <w:rPr>
                <w:rFonts w:asciiTheme="minorHAnsi" w:hAnsiTheme="minorHAnsi" w:cstheme="minorHAnsi"/>
                <w:sz w:val="22"/>
              </w:rPr>
              <w:lastRenderedPageBreak/>
              <w:t>communicatie (Richtlijn (EU) 2018/1972 van het Europees Parlement en de Raad van 11 december 2018 tot vaststelling van het Europees wetboek voor elektronische communicatie).  Het is dus de verantwoordelijkheid van de operator om te verifiëren welke gegevens van die lijst verwerkt of gegenereerd zijn door hem in het kader van de diensten of netwerken die hij aanbiedt.  Die verificatie moet worden uitgevoerd voor elk type van dienst die door de operator aangeboden wordt, zodat alle relevante gegevens bewaard worden voor elke dienst en voor elke eindgebruiker.</w:t>
            </w:r>
          </w:p>
        </w:tc>
      </w:tr>
      <w:tr w:rsidR="00E96110" w:rsidRPr="002F7AA5" w14:paraId="6B3EAE26" w14:textId="77777777" w:rsidTr="00705040">
        <w:tc>
          <w:tcPr>
            <w:tcW w:w="4508" w:type="dxa"/>
          </w:tcPr>
          <w:p w14:paraId="5770AE55" w14:textId="77777777" w:rsidR="00E96110" w:rsidRPr="00C462D9" w:rsidRDefault="00E96110" w:rsidP="00E96110">
            <w:pPr>
              <w:jc w:val="both"/>
              <w:rPr>
                <w:rFonts w:asciiTheme="minorHAnsi" w:hAnsiTheme="minorHAnsi" w:cstheme="minorHAnsi"/>
                <w:sz w:val="22"/>
              </w:rPr>
            </w:pPr>
          </w:p>
        </w:tc>
        <w:tc>
          <w:tcPr>
            <w:tcW w:w="4508" w:type="dxa"/>
          </w:tcPr>
          <w:p w14:paraId="18DCD75C" w14:textId="77777777" w:rsidR="00E96110" w:rsidRPr="000144C2" w:rsidRDefault="00E96110" w:rsidP="00E96110">
            <w:pPr>
              <w:jc w:val="both"/>
              <w:rPr>
                <w:rFonts w:asciiTheme="minorHAnsi" w:hAnsiTheme="minorHAnsi" w:cstheme="minorHAnsi"/>
                <w:sz w:val="22"/>
              </w:rPr>
            </w:pPr>
          </w:p>
        </w:tc>
      </w:tr>
      <w:tr w:rsidR="000144C2" w:rsidRPr="002F7AA5" w14:paraId="3FAFEB23" w14:textId="77777777" w:rsidTr="00705040">
        <w:tc>
          <w:tcPr>
            <w:tcW w:w="4508" w:type="dxa"/>
          </w:tcPr>
          <w:p w14:paraId="299BBB91" w14:textId="7C660666" w:rsidR="000144C2" w:rsidRPr="000144C2" w:rsidRDefault="000144C2" w:rsidP="00E96110">
            <w:pPr>
              <w:jc w:val="both"/>
              <w:rPr>
                <w:rFonts w:asciiTheme="minorHAnsi" w:hAnsiTheme="minorHAnsi" w:cstheme="minorHAnsi"/>
                <w:sz w:val="22"/>
                <w:lang w:val="fr-BE"/>
              </w:rPr>
            </w:pPr>
            <w:r w:rsidRPr="000144C2">
              <w:rPr>
                <w:rFonts w:asciiTheme="minorHAnsi" w:hAnsiTheme="minorHAnsi" w:cstheme="minorHAnsi"/>
                <w:sz w:val="22"/>
                <w:lang w:val="fr-BE"/>
              </w:rPr>
              <w:t>Certaines adaptations techniques sont, par ailleurs, justifiées par la spécificité de la technologie 5G. Il s’agit, en particulier de l’ajout, pour les besoins de cette technologie, du « </w:t>
            </w:r>
            <w:proofErr w:type="spellStart"/>
            <w:r w:rsidRPr="000144C2">
              <w:rPr>
                <w:rFonts w:asciiTheme="minorHAnsi" w:hAnsiTheme="minorHAnsi" w:cstheme="minorHAnsi"/>
                <w:sz w:val="22"/>
                <w:lang w:val="fr-BE"/>
              </w:rPr>
              <w:t>Subscription</w:t>
            </w:r>
            <w:proofErr w:type="spellEnd"/>
            <w:r w:rsidRPr="000144C2">
              <w:rPr>
                <w:rFonts w:asciiTheme="minorHAnsi" w:hAnsiTheme="minorHAnsi" w:cstheme="minorHAnsi"/>
                <w:sz w:val="22"/>
                <w:lang w:val="fr-BE"/>
              </w:rPr>
              <w:t xml:space="preserve"> Permanent Identifier » ou « SUPI », du « </w:t>
            </w:r>
            <w:proofErr w:type="spellStart"/>
            <w:r w:rsidRPr="000144C2">
              <w:rPr>
                <w:rFonts w:asciiTheme="minorHAnsi" w:hAnsiTheme="minorHAnsi" w:cstheme="minorHAnsi"/>
                <w:sz w:val="22"/>
                <w:lang w:val="fr-BE"/>
              </w:rPr>
              <w:t>Subscription</w:t>
            </w:r>
            <w:proofErr w:type="spellEnd"/>
            <w:r w:rsidRPr="000144C2">
              <w:rPr>
                <w:rFonts w:asciiTheme="minorHAnsi" w:hAnsiTheme="minorHAnsi" w:cstheme="minorHAnsi"/>
                <w:sz w:val="22"/>
                <w:lang w:val="fr-BE"/>
              </w:rPr>
              <w:t xml:space="preserve"> </w:t>
            </w:r>
            <w:proofErr w:type="spellStart"/>
            <w:r w:rsidRPr="000144C2">
              <w:rPr>
                <w:rFonts w:asciiTheme="minorHAnsi" w:hAnsiTheme="minorHAnsi" w:cstheme="minorHAnsi"/>
                <w:sz w:val="22"/>
                <w:lang w:val="fr-BE"/>
              </w:rPr>
              <w:t>Concealed</w:t>
            </w:r>
            <w:proofErr w:type="spellEnd"/>
            <w:r w:rsidRPr="000144C2">
              <w:rPr>
                <w:rFonts w:asciiTheme="minorHAnsi" w:hAnsiTheme="minorHAnsi" w:cstheme="minorHAnsi"/>
                <w:sz w:val="22"/>
                <w:lang w:val="fr-BE"/>
              </w:rPr>
              <w:t xml:space="preserve"> Identifier » ou « SUCI » et du « Permanent Equipment Identifier » ou « PEI » parmi les « données d’identification visées à l’article 126, § 1</w:t>
            </w:r>
            <w:r w:rsidRPr="00C462D9">
              <w:rPr>
                <w:rFonts w:asciiTheme="minorHAnsi" w:hAnsiTheme="minorHAnsi" w:cstheme="minorHAnsi"/>
                <w:sz w:val="22"/>
                <w:vertAlign w:val="superscript"/>
                <w:lang w:val="fr-BE"/>
              </w:rPr>
              <w:t>e</w:t>
            </w:r>
            <w:r w:rsidR="000D685F" w:rsidRPr="00C462D9">
              <w:rPr>
                <w:rFonts w:asciiTheme="minorHAnsi" w:hAnsiTheme="minorHAnsi" w:cstheme="minorHAnsi"/>
                <w:sz w:val="22"/>
                <w:vertAlign w:val="superscript"/>
                <w:lang w:val="fr-BE"/>
              </w:rPr>
              <w:t>r</w:t>
            </w:r>
            <w:r w:rsidRPr="000144C2">
              <w:rPr>
                <w:rFonts w:asciiTheme="minorHAnsi" w:hAnsiTheme="minorHAnsi" w:cstheme="minorHAnsi"/>
                <w:sz w:val="22"/>
                <w:lang w:val="fr-BE"/>
              </w:rPr>
              <w:t>, 2°, 10° à 14 et 16°, du destinataire de la communication »  visées au paragraphe 2, 2°.</w:t>
            </w:r>
          </w:p>
        </w:tc>
        <w:tc>
          <w:tcPr>
            <w:tcW w:w="4508" w:type="dxa"/>
          </w:tcPr>
          <w:p w14:paraId="56777427" w14:textId="7D46C882"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sz w:val="22"/>
              </w:rPr>
              <w:t xml:space="preserve">Een aantal technische aanpassingen worden gerechtvaardigd door de specificiteit van de 5G-technologie. Het gaat in het bijzonder om de toevoeging, ten behoeve van die technologie, van de “Subscription Permanent </w:t>
            </w:r>
            <w:proofErr w:type="spellStart"/>
            <w:r w:rsidRPr="000144C2">
              <w:rPr>
                <w:rFonts w:asciiTheme="minorHAnsi" w:hAnsiTheme="minorHAnsi" w:cstheme="minorHAnsi"/>
                <w:sz w:val="22"/>
              </w:rPr>
              <w:t>Identifier</w:t>
            </w:r>
            <w:proofErr w:type="spellEnd"/>
            <w:r w:rsidRPr="000144C2">
              <w:rPr>
                <w:rFonts w:asciiTheme="minorHAnsi" w:hAnsiTheme="minorHAnsi" w:cstheme="minorHAnsi"/>
                <w:sz w:val="22"/>
              </w:rPr>
              <w:t xml:space="preserve">” of “SUPI”, van de “Subscription </w:t>
            </w:r>
            <w:proofErr w:type="spellStart"/>
            <w:r w:rsidRPr="000144C2">
              <w:rPr>
                <w:rFonts w:asciiTheme="minorHAnsi" w:hAnsiTheme="minorHAnsi" w:cstheme="minorHAnsi"/>
                <w:sz w:val="22"/>
              </w:rPr>
              <w:t>Concealed</w:t>
            </w:r>
            <w:proofErr w:type="spellEnd"/>
            <w:r w:rsidRPr="000144C2">
              <w:rPr>
                <w:rFonts w:asciiTheme="minorHAnsi" w:hAnsiTheme="minorHAnsi" w:cstheme="minorHAnsi"/>
                <w:sz w:val="22"/>
              </w:rPr>
              <w:t xml:space="preserve"> </w:t>
            </w:r>
            <w:proofErr w:type="spellStart"/>
            <w:r w:rsidRPr="000144C2">
              <w:rPr>
                <w:rFonts w:asciiTheme="minorHAnsi" w:hAnsiTheme="minorHAnsi" w:cstheme="minorHAnsi"/>
                <w:sz w:val="22"/>
              </w:rPr>
              <w:t>Identifier</w:t>
            </w:r>
            <w:proofErr w:type="spellEnd"/>
            <w:r w:rsidRPr="000144C2">
              <w:rPr>
                <w:rFonts w:asciiTheme="minorHAnsi" w:hAnsiTheme="minorHAnsi" w:cstheme="minorHAnsi"/>
                <w:sz w:val="22"/>
              </w:rPr>
              <w:t xml:space="preserve">” of “SUCI” en van de “Permanent Equipment </w:t>
            </w:r>
            <w:proofErr w:type="spellStart"/>
            <w:r w:rsidRPr="000144C2">
              <w:rPr>
                <w:rFonts w:asciiTheme="minorHAnsi" w:hAnsiTheme="minorHAnsi" w:cstheme="minorHAnsi"/>
                <w:sz w:val="22"/>
              </w:rPr>
              <w:t>Identifier</w:t>
            </w:r>
            <w:proofErr w:type="spellEnd"/>
            <w:r w:rsidRPr="000144C2">
              <w:rPr>
                <w:rFonts w:asciiTheme="minorHAnsi" w:hAnsiTheme="minorHAnsi" w:cstheme="minorHAnsi"/>
                <w:sz w:val="22"/>
              </w:rPr>
              <w:t xml:space="preserve">” of “PEI” aan </w:t>
            </w:r>
            <w:proofErr w:type="spellStart"/>
            <w:r w:rsidRPr="000144C2">
              <w:rPr>
                <w:rFonts w:asciiTheme="minorHAnsi" w:hAnsiTheme="minorHAnsi" w:cstheme="minorHAnsi"/>
                <w:sz w:val="22"/>
              </w:rPr>
              <w:t>de“identificatiegegevens</w:t>
            </w:r>
            <w:proofErr w:type="spellEnd"/>
            <w:r w:rsidRPr="000144C2">
              <w:rPr>
                <w:rFonts w:asciiTheme="minorHAnsi" w:hAnsiTheme="minorHAnsi" w:cstheme="minorHAnsi"/>
                <w:sz w:val="22"/>
              </w:rPr>
              <w:t xml:space="preserve"> bedoeld in artikel 126, § 1, 2°, 10° tot 14° en 16°, van de geadresseerde van de communicatie” bedoeld in paragraaf 2, 2°.</w:t>
            </w:r>
          </w:p>
        </w:tc>
      </w:tr>
      <w:tr w:rsidR="00E96110" w:rsidRPr="002F7AA5" w14:paraId="441F835A" w14:textId="77777777" w:rsidTr="00705040">
        <w:tc>
          <w:tcPr>
            <w:tcW w:w="4508" w:type="dxa"/>
          </w:tcPr>
          <w:p w14:paraId="232FCF30" w14:textId="77777777" w:rsidR="00E96110" w:rsidRPr="00C462D9" w:rsidRDefault="00E96110" w:rsidP="00E96110">
            <w:pPr>
              <w:jc w:val="both"/>
              <w:rPr>
                <w:rFonts w:asciiTheme="minorHAnsi" w:hAnsiTheme="minorHAnsi" w:cstheme="minorHAnsi"/>
                <w:sz w:val="22"/>
              </w:rPr>
            </w:pPr>
          </w:p>
        </w:tc>
        <w:tc>
          <w:tcPr>
            <w:tcW w:w="4508" w:type="dxa"/>
          </w:tcPr>
          <w:p w14:paraId="7C2C21F4" w14:textId="77777777" w:rsidR="00E96110" w:rsidRPr="000144C2" w:rsidRDefault="00E96110" w:rsidP="00E96110">
            <w:pPr>
              <w:jc w:val="both"/>
              <w:rPr>
                <w:rFonts w:asciiTheme="minorHAnsi" w:hAnsiTheme="minorHAnsi" w:cstheme="minorHAnsi"/>
                <w:sz w:val="22"/>
              </w:rPr>
            </w:pPr>
          </w:p>
        </w:tc>
      </w:tr>
      <w:tr w:rsidR="000144C2" w:rsidRPr="002F7AA5" w14:paraId="118452D3" w14:textId="77777777" w:rsidTr="00705040">
        <w:tc>
          <w:tcPr>
            <w:tcW w:w="4508" w:type="dxa"/>
          </w:tcPr>
          <w:p w14:paraId="5ADC77ED" w14:textId="034E3579" w:rsidR="000144C2" w:rsidRPr="00E96110" w:rsidRDefault="000144C2" w:rsidP="00E96110">
            <w:pPr>
              <w:jc w:val="both"/>
              <w:rPr>
                <w:rFonts w:asciiTheme="minorHAnsi" w:hAnsiTheme="minorHAnsi" w:cstheme="minorHAnsi"/>
                <w:sz w:val="22"/>
                <w:lang w:val="fr-BE"/>
              </w:rPr>
            </w:pPr>
            <w:r w:rsidRPr="000144C2">
              <w:rPr>
                <w:rFonts w:asciiTheme="minorHAnsi" w:hAnsiTheme="minorHAnsi" w:cstheme="minorHAnsi"/>
                <w:sz w:val="22"/>
                <w:lang w:val="fr-BE"/>
              </w:rPr>
              <w:t>Le paragraphe 2, 11° du nouvel article 126/2 prévoit également la possibilité de conserver une donnée ayant une fonction équivalente lorsqu’une donnée reprise dans ces paragraphes n’est</w:t>
            </w:r>
            <w:r w:rsidR="00C159DC">
              <w:rPr>
                <w:rFonts w:asciiTheme="minorHAnsi" w:hAnsiTheme="minorHAnsi" w:cstheme="minorHAnsi"/>
                <w:sz w:val="22"/>
                <w:lang w:val="fr-BE"/>
              </w:rPr>
              <w:t xml:space="preserve"> pas</w:t>
            </w:r>
            <w:r w:rsidRPr="000144C2">
              <w:rPr>
                <w:rFonts w:asciiTheme="minorHAnsi" w:hAnsiTheme="minorHAnsi" w:cstheme="minorHAnsi"/>
                <w:sz w:val="22"/>
                <w:lang w:val="fr-BE"/>
              </w:rPr>
              <w:t xml:space="preserve"> disponible. Cet</w:t>
            </w:r>
            <w:r w:rsidR="00C159DC">
              <w:rPr>
                <w:rFonts w:asciiTheme="minorHAnsi" w:hAnsiTheme="minorHAnsi" w:cstheme="minorHAnsi"/>
                <w:sz w:val="22"/>
                <w:lang w:val="fr-BE"/>
              </w:rPr>
              <w:t>te</w:t>
            </w:r>
            <w:r w:rsidRPr="000144C2">
              <w:rPr>
                <w:rFonts w:asciiTheme="minorHAnsi" w:hAnsiTheme="minorHAnsi" w:cstheme="minorHAnsi"/>
                <w:sz w:val="22"/>
                <w:lang w:val="fr-BE"/>
              </w:rPr>
              <w:t xml:space="preserve"> possibilité permet : </w:t>
            </w:r>
          </w:p>
        </w:tc>
        <w:tc>
          <w:tcPr>
            <w:tcW w:w="4508" w:type="dxa"/>
          </w:tcPr>
          <w:p w14:paraId="56F1B39C" w14:textId="1E9222D8"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sz w:val="22"/>
              </w:rPr>
              <w:t>Paragraaf 2, 11° van het nieuwe artikel 126/2 voorziet ook in de mogelijkheid dat, wanneer een in die paragrafen vermeld gegeven niet beschikbaar is, een gegeven met een gelijkwaardige functie bewaard wordt. Deze mogelijkheid maakt het mogelijk:</w:t>
            </w:r>
          </w:p>
        </w:tc>
      </w:tr>
      <w:tr w:rsidR="00E96110" w:rsidRPr="002F7AA5" w14:paraId="4A412671" w14:textId="77777777" w:rsidTr="00705040">
        <w:tc>
          <w:tcPr>
            <w:tcW w:w="4508" w:type="dxa"/>
          </w:tcPr>
          <w:p w14:paraId="7B2E4E52" w14:textId="77777777" w:rsidR="00E96110" w:rsidRPr="000144C2" w:rsidRDefault="00E96110" w:rsidP="00E96110">
            <w:pPr>
              <w:jc w:val="both"/>
              <w:rPr>
                <w:rFonts w:asciiTheme="minorHAnsi" w:hAnsiTheme="minorHAnsi" w:cstheme="minorHAnsi"/>
                <w:sz w:val="22"/>
                <w:lang w:val="fr-BE"/>
              </w:rPr>
            </w:pPr>
          </w:p>
        </w:tc>
        <w:tc>
          <w:tcPr>
            <w:tcW w:w="4508" w:type="dxa"/>
          </w:tcPr>
          <w:p w14:paraId="3A7F8C96" w14:textId="77777777" w:rsidR="00E96110" w:rsidRPr="000144C2" w:rsidRDefault="00E96110" w:rsidP="00E96110">
            <w:pPr>
              <w:jc w:val="both"/>
              <w:rPr>
                <w:rFonts w:asciiTheme="minorHAnsi" w:hAnsiTheme="minorHAnsi" w:cstheme="minorHAnsi"/>
                <w:sz w:val="22"/>
              </w:rPr>
            </w:pPr>
          </w:p>
        </w:tc>
      </w:tr>
      <w:tr w:rsidR="000144C2" w:rsidRPr="002F7AA5" w14:paraId="1DC63A00" w14:textId="77777777" w:rsidTr="00705040">
        <w:tc>
          <w:tcPr>
            <w:tcW w:w="4508" w:type="dxa"/>
          </w:tcPr>
          <w:p w14:paraId="1C6A1264" w14:textId="11F591B4" w:rsidR="000144C2" w:rsidRPr="00E96110" w:rsidRDefault="000144C2" w:rsidP="00E96110">
            <w:pPr>
              <w:pStyle w:val="Lijstalinea"/>
              <w:numPr>
                <w:ilvl w:val="0"/>
                <w:numId w:val="2"/>
              </w:numPr>
              <w:jc w:val="both"/>
              <w:rPr>
                <w:rFonts w:asciiTheme="minorHAnsi" w:hAnsiTheme="minorHAnsi" w:cstheme="minorHAnsi"/>
                <w:sz w:val="22"/>
                <w:lang w:val="fr-BE"/>
              </w:rPr>
            </w:pPr>
            <w:r w:rsidRPr="00E96110">
              <w:rPr>
                <w:rFonts w:asciiTheme="minorHAnsi" w:hAnsiTheme="minorHAnsi" w:cstheme="minorHAnsi"/>
                <w:sz w:val="22"/>
                <w:lang w:val="fr-BE"/>
              </w:rPr>
              <w:t>à la loi de résister au temps. Il est important que la loi ne soit pas immédiatement dépassée par les rapides évolutions technologiques dans le secteur des communications électroniques  (ex. 5G)</w:t>
            </w:r>
            <w:r w:rsidR="00C159DC">
              <w:rPr>
                <w:rFonts w:asciiTheme="minorHAnsi" w:hAnsiTheme="minorHAnsi" w:cstheme="minorHAnsi"/>
                <w:sz w:val="22"/>
                <w:lang w:val="fr-BE"/>
              </w:rPr>
              <w:t xml:space="preserve"> </w:t>
            </w:r>
            <w:r w:rsidRPr="00E96110">
              <w:rPr>
                <w:rFonts w:asciiTheme="minorHAnsi" w:hAnsiTheme="minorHAnsi" w:cstheme="minorHAnsi"/>
                <w:sz w:val="22"/>
                <w:lang w:val="fr-BE"/>
              </w:rPr>
              <w:t>;</w:t>
            </w:r>
          </w:p>
        </w:tc>
        <w:tc>
          <w:tcPr>
            <w:tcW w:w="4508" w:type="dxa"/>
          </w:tcPr>
          <w:p w14:paraId="2C504079" w14:textId="1552E0C2" w:rsidR="000144C2" w:rsidRPr="00E96110" w:rsidRDefault="000144C2" w:rsidP="00E96110">
            <w:pPr>
              <w:pStyle w:val="Lijstalinea"/>
              <w:numPr>
                <w:ilvl w:val="0"/>
                <w:numId w:val="2"/>
              </w:numPr>
              <w:jc w:val="both"/>
              <w:rPr>
                <w:rFonts w:asciiTheme="minorHAnsi" w:hAnsiTheme="minorHAnsi" w:cstheme="minorHAnsi"/>
                <w:sz w:val="22"/>
              </w:rPr>
            </w:pPr>
            <w:r w:rsidRPr="00E96110">
              <w:rPr>
                <w:rFonts w:asciiTheme="minorHAnsi" w:hAnsiTheme="minorHAnsi" w:cstheme="minorHAnsi"/>
                <w:sz w:val="22"/>
              </w:rPr>
              <w:t>voor de wet om tijdsbestendig te zijn. Het is belangrijk dat de wet niet onmiddellijk achterhaald raakt door snelle technologische ontwikkelingen in de elektronische-communicatiesector (bijv. 5G);</w:t>
            </w:r>
          </w:p>
        </w:tc>
      </w:tr>
      <w:tr w:rsidR="00E96110" w:rsidRPr="002F7AA5" w14:paraId="77720AD3" w14:textId="77777777" w:rsidTr="00705040">
        <w:tc>
          <w:tcPr>
            <w:tcW w:w="4508" w:type="dxa"/>
          </w:tcPr>
          <w:p w14:paraId="61713FC8" w14:textId="77777777" w:rsidR="00E96110" w:rsidRPr="00E96110" w:rsidRDefault="00E96110" w:rsidP="00E96110">
            <w:pPr>
              <w:pStyle w:val="Lijstalinea"/>
              <w:jc w:val="both"/>
              <w:rPr>
                <w:rFonts w:asciiTheme="minorHAnsi" w:hAnsiTheme="minorHAnsi" w:cstheme="minorHAnsi"/>
                <w:sz w:val="22"/>
                <w:lang w:val="fr-BE"/>
              </w:rPr>
            </w:pPr>
          </w:p>
        </w:tc>
        <w:tc>
          <w:tcPr>
            <w:tcW w:w="4508" w:type="dxa"/>
          </w:tcPr>
          <w:p w14:paraId="50A8D14B" w14:textId="77777777" w:rsidR="00E96110" w:rsidRPr="00E96110" w:rsidRDefault="00E96110" w:rsidP="00E96110">
            <w:pPr>
              <w:pStyle w:val="Lijstalinea"/>
              <w:jc w:val="both"/>
              <w:rPr>
                <w:rFonts w:asciiTheme="minorHAnsi" w:hAnsiTheme="minorHAnsi" w:cstheme="minorHAnsi"/>
                <w:sz w:val="22"/>
              </w:rPr>
            </w:pPr>
          </w:p>
        </w:tc>
      </w:tr>
      <w:tr w:rsidR="000144C2" w:rsidRPr="002F7AA5" w14:paraId="53C041B8" w14:textId="77777777" w:rsidTr="00705040">
        <w:tc>
          <w:tcPr>
            <w:tcW w:w="4508" w:type="dxa"/>
          </w:tcPr>
          <w:p w14:paraId="58ABD5E2" w14:textId="71106379" w:rsidR="000144C2" w:rsidRPr="00E96110" w:rsidRDefault="000144C2" w:rsidP="00E96110">
            <w:pPr>
              <w:pStyle w:val="Lijstalinea"/>
              <w:numPr>
                <w:ilvl w:val="0"/>
                <w:numId w:val="2"/>
              </w:numPr>
              <w:jc w:val="both"/>
              <w:rPr>
                <w:rFonts w:asciiTheme="minorHAnsi" w:hAnsiTheme="minorHAnsi" w:cstheme="minorHAnsi"/>
                <w:sz w:val="22"/>
                <w:lang w:val="fr-BE"/>
              </w:rPr>
            </w:pPr>
            <w:r w:rsidRPr="00E96110">
              <w:rPr>
                <w:rFonts w:asciiTheme="minorHAnsi" w:hAnsiTheme="minorHAnsi" w:cstheme="minorHAnsi"/>
                <w:sz w:val="22"/>
                <w:lang w:val="fr-BE"/>
              </w:rPr>
              <w:t xml:space="preserve">de s’assurer que la loi est adaptée à tous les opérateurs. Il convient à cet égard de rappeler que la notion d’opérateur couvre des entreprises pouvant être très différentes (opérateur de réseau classique </w:t>
            </w:r>
            <w:r w:rsidRPr="00C462D9">
              <w:rPr>
                <w:rFonts w:asciiTheme="minorHAnsi" w:hAnsiTheme="minorHAnsi" w:cstheme="minorHAnsi"/>
                <w:i/>
                <w:iCs/>
                <w:sz w:val="22"/>
                <w:lang w:val="fr-BE"/>
              </w:rPr>
              <w:t>v</w:t>
            </w:r>
            <w:r w:rsidR="00C159DC" w:rsidRPr="00C462D9">
              <w:rPr>
                <w:rFonts w:asciiTheme="minorHAnsi" w:hAnsiTheme="minorHAnsi" w:cstheme="minorHAnsi"/>
                <w:i/>
                <w:iCs/>
                <w:sz w:val="22"/>
                <w:lang w:val="fr-BE"/>
              </w:rPr>
              <w:t>s</w:t>
            </w:r>
            <w:r w:rsidR="00C159DC" w:rsidRPr="00E96110">
              <w:rPr>
                <w:rFonts w:asciiTheme="minorHAnsi" w:hAnsiTheme="minorHAnsi" w:cstheme="minorHAnsi"/>
                <w:sz w:val="22"/>
                <w:lang w:val="fr-BE"/>
              </w:rPr>
              <w:t xml:space="preserve"> </w:t>
            </w:r>
            <w:r w:rsidRPr="00E96110">
              <w:rPr>
                <w:rFonts w:asciiTheme="minorHAnsi" w:hAnsiTheme="minorHAnsi" w:cstheme="minorHAnsi"/>
                <w:sz w:val="22"/>
                <w:lang w:val="fr-BE"/>
              </w:rPr>
              <w:t>opérateur qui fournit des services de communications interpersonnelles qui ne sont pas basés sur la numér</w:t>
            </w:r>
            <w:r w:rsidR="00C159DC">
              <w:rPr>
                <w:rFonts w:asciiTheme="minorHAnsi" w:hAnsiTheme="minorHAnsi" w:cstheme="minorHAnsi"/>
                <w:sz w:val="22"/>
                <w:lang w:val="fr-BE"/>
              </w:rPr>
              <w:t>ot</w:t>
            </w:r>
            <w:r w:rsidRPr="00E96110">
              <w:rPr>
                <w:rFonts w:asciiTheme="minorHAnsi" w:hAnsiTheme="minorHAnsi" w:cstheme="minorHAnsi"/>
                <w:sz w:val="22"/>
                <w:lang w:val="fr-BE"/>
              </w:rPr>
              <w:t>ation)</w:t>
            </w:r>
            <w:r w:rsidR="00C159DC">
              <w:rPr>
                <w:rFonts w:asciiTheme="minorHAnsi" w:hAnsiTheme="minorHAnsi" w:cstheme="minorHAnsi"/>
                <w:sz w:val="22"/>
                <w:lang w:val="fr-BE"/>
              </w:rPr>
              <w:t xml:space="preserve"> </w:t>
            </w:r>
            <w:r w:rsidRPr="00E96110">
              <w:rPr>
                <w:rFonts w:asciiTheme="minorHAnsi" w:hAnsiTheme="minorHAnsi" w:cstheme="minorHAnsi"/>
                <w:sz w:val="22"/>
                <w:lang w:val="fr-BE"/>
              </w:rPr>
              <w:t xml:space="preserve">; </w:t>
            </w:r>
          </w:p>
        </w:tc>
        <w:tc>
          <w:tcPr>
            <w:tcW w:w="4508" w:type="dxa"/>
          </w:tcPr>
          <w:p w14:paraId="53392EAB" w14:textId="6215B048" w:rsidR="000144C2" w:rsidRPr="00E96110" w:rsidRDefault="000144C2" w:rsidP="00C159DC">
            <w:pPr>
              <w:pStyle w:val="Lijstalinea"/>
              <w:numPr>
                <w:ilvl w:val="0"/>
                <w:numId w:val="2"/>
              </w:numPr>
              <w:jc w:val="both"/>
              <w:rPr>
                <w:rFonts w:asciiTheme="minorHAnsi" w:hAnsiTheme="minorHAnsi" w:cstheme="minorHAnsi"/>
                <w:sz w:val="22"/>
              </w:rPr>
            </w:pPr>
            <w:r w:rsidRPr="00E96110">
              <w:rPr>
                <w:rFonts w:asciiTheme="minorHAnsi" w:hAnsiTheme="minorHAnsi" w:cstheme="minorHAnsi"/>
                <w:sz w:val="22"/>
              </w:rPr>
              <w:t>om zich ervan te vergewissen dat de wet aangepast is aan alle operatoren. Wat dat betreft dient te worden herhaald dat het begrip van operator ondernemingen dekt die sterk verschillend kunnen zijn (klassieke netwerkoperator versus een operator die nummeronafhankelijke interpersoonlijke</w:t>
            </w:r>
            <w:r w:rsidR="00C159DC">
              <w:rPr>
                <w:rFonts w:asciiTheme="minorHAnsi" w:hAnsiTheme="minorHAnsi" w:cstheme="minorHAnsi"/>
                <w:sz w:val="22"/>
              </w:rPr>
              <w:t xml:space="preserve"> </w:t>
            </w:r>
            <w:r w:rsidRPr="00E96110">
              <w:rPr>
                <w:rFonts w:asciiTheme="minorHAnsi" w:hAnsiTheme="minorHAnsi" w:cstheme="minorHAnsi"/>
                <w:sz w:val="22"/>
              </w:rPr>
              <w:t xml:space="preserve"> communicatiediensten aanbiedt);</w:t>
            </w:r>
          </w:p>
        </w:tc>
      </w:tr>
      <w:tr w:rsidR="00E96110" w:rsidRPr="002F7AA5" w14:paraId="6FC4E0CE" w14:textId="77777777" w:rsidTr="00705040">
        <w:tc>
          <w:tcPr>
            <w:tcW w:w="4508" w:type="dxa"/>
          </w:tcPr>
          <w:p w14:paraId="2A303E74" w14:textId="77777777" w:rsidR="00E96110" w:rsidRPr="00C159DC" w:rsidRDefault="00E96110" w:rsidP="00E96110">
            <w:pPr>
              <w:pStyle w:val="Lijstalinea"/>
              <w:jc w:val="both"/>
              <w:rPr>
                <w:rFonts w:asciiTheme="minorHAnsi" w:hAnsiTheme="minorHAnsi" w:cstheme="minorHAnsi"/>
                <w:sz w:val="22"/>
              </w:rPr>
            </w:pPr>
          </w:p>
        </w:tc>
        <w:tc>
          <w:tcPr>
            <w:tcW w:w="4508" w:type="dxa"/>
          </w:tcPr>
          <w:p w14:paraId="17D8B5D8" w14:textId="77777777" w:rsidR="00E96110" w:rsidRPr="00E96110" w:rsidRDefault="00E96110" w:rsidP="00E96110">
            <w:pPr>
              <w:pStyle w:val="Lijstalinea"/>
              <w:jc w:val="both"/>
              <w:rPr>
                <w:rFonts w:asciiTheme="minorHAnsi" w:hAnsiTheme="minorHAnsi" w:cstheme="minorHAnsi"/>
                <w:sz w:val="22"/>
              </w:rPr>
            </w:pPr>
          </w:p>
        </w:tc>
      </w:tr>
      <w:tr w:rsidR="000144C2" w:rsidRPr="002F7AA5" w14:paraId="1F60F493" w14:textId="77777777" w:rsidTr="00705040">
        <w:tc>
          <w:tcPr>
            <w:tcW w:w="4508" w:type="dxa"/>
          </w:tcPr>
          <w:p w14:paraId="3BCE9B76" w14:textId="4D8EB25A" w:rsidR="000144C2" w:rsidRPr="00E96110" w:rsidRDefault="000144C2" w:rsidP="00E96110">
            <w:pPr>
              <w:pStyle w:val="Lijstalinea"/>
              <w:numPr>
                <w:ilvl w:val="0"/>
                <w:numId w:val="2"/>
              </w:numPr>
              <w:jc w:val="both"/>
              <w:rPr>
                <w:rFonts w:asciiTheme="minorHAnsi" w:hAnsiTheme="minorHAnsi" w:cstheme="minorHAnsi"/>
                <w:sz w:val="22"/>
                <w:lang w:val="fr-BE"/>
              </w:rPr>
            </w:pPr>
            <w:r w:rsidRPr="00E96110">
              <w:rPr>
                <w:rFonts w:asciiTheme="minorHAnsi" w:hAnsiTheme="minorHAnsi" w:cstheme="minorHAnsi"/>
                <w:sz w:val="22"/>
                <w:lang w:val="fr-BE"/>
              </w:rPr>
              <w:t>de s’assurer que la loi est technologiquement neutre.</w:t>
            </w:r>
          </w:p>
        </w:tc>
        <w:tc>
          <w:tcPr>
            <w:tcW w:w="4508" w:type="dxa"/>
          </w:tcPr>
          <w:p w14:paraId="002ED2FD" w14:textId="4196C328" w:rsidR="000144C2" w:rsidRPr="00E96110" w:rsidRDefault="000144C2" w:rsidP="00E96110">
            <w:pPr>
              <w:pStyle w:val="Lijstalinea"/>
              <w:numPr>
                <w:ilvl w:val="0"/>
                <w:numId w:val="2"/>
              </w:numPr>
              <w:jc w:val="both"/>
              <w:rPr>
                <w:rFonts w:asciiTheme="minorHAnsi" w:hAnsiTheme="minorHAnsi" w:cstheme="minorHAnsi"/>
                <w:sz w:val="22"/>
              </w:rPr>
            </w:pPr>
            <w:r w:rsidRPr="00E96110">
              <w:rPr>
                <w:rFonts w:asciiTheme="minorHAnsi" w:hAnsiTheme="minorHAnsi" w:cstheme="minorHAnsi"/>
                <w:sz w:val="22"/>
              </w:rPr>
              <w:t>om zich ervan te vergewissen dat de wet technologisch neutraal is.</w:t>
            </w:r>
          </w:p>
        </w:tc>
      </w:tr>
      <w:tr w:rsidR="000144C2" w:rsidRPr="002F7AA5" w14:paraId="490F2364" w14:textId="77777777" w:rsidTr="00705040">
        <w:tc>
          <w:tcPr>
            <w:tcW w:w="4508" w:type="dxa"/>
          </w:tcPr>
          <w:p w14:paraId="65937BE0" w14:textId="77777777" w:rsidR="000144C2" w:rsidRPr="000144C2" w:rsidRDefault="000144C2" w:rsidP="000144C2">
            <w:pPr>
              <w:rPr>
                <w:rFonts w:asciiTheme="minorHAnsi" w:hAnsiTheme="minorHAnsi" w:cstheme="minorHAnsi"/>
                <w:sz w:val="22"/>
              </w:rPr>
            </w:pPr>
          </w:p>
        </w:tc>
        <w:tc>
          <w:tcPr>
            <w:tcW w:w="4508" w:type="dxa"/>
          </w:tcPr>
          <w:p w14:paraId="66042BBF" w14:textId="77777777" w:rsidR="000144C2" w:rsidRPr="000144C2" w:rsidRDefault="000144C2" w:rsidP="000144C2">
            <w:pPr>
              <w:rPr>
                <w:rFonts w:asciiTheme="minorHAnsi" w:hAnsiTheme="minorHAnsi" w:cstheme="minorHAnsi"/>
                <w:sz w:val="22"/>
              </w:rPr>
            </w:pPr>
          </w:p>
        </w:tc>
      </w:tr>
      <w:tr w:rsidR="000144C2" w:rsidRPr="002F7AA5" w14:paraId="299EB2F2" w14:textId="77777777" w:rsidTr="00705040">
        <w:tc>
          <w:tcPr>
            <w:tcW w:w="4508" w:type="dxa"/>
          </w:tcPr>
          <w:p w14:paraId="64CD8778" w14:textId="6EBBAD6A" w:rsidR="000144C2" w:rsidRPr="000144C2" w:rsidRDefault="000144C2" w:rsidP="00E96110">
            <w:pPr>
              <w:jc w:val="both"/>
              <w:rPr>
                <w:rFonts w:asciiTheme="minorHAnsi" w:hAnsiTheme="minorHAnsi" w:cstheme="minorHAnsi"/>
                <w:sz w:val="22"/>
              </w:rPr>
            </w:pPr>
            <w:r w:rsidRPr="000144C2">
              <w:rPr>
                <w:rFonts w:asciiTheme="minorHAnsi" w:hAnsiTheme="minorHAnsi" w:cstheme="minorHAnsi"/>
                <w:b/>
                <w:bCs/>
                <w:sz w:val="22"/>
                <w:lang w:val="fr-BE"/>
              </w:rPr>
              <w:t>Paragraphe 1</w:t>
            </w:r>
            <w:r w:rsidRPr="000144C2">
              <w:rPr>
                <w:rFonts w:asciiTheme="minorHAnsi" w:hAnsiTheme="minorHAnsi" w:cstheme="minorHAnsi"/>
                <w:b/>
                <w:bCs/>
                <w:sz w:val="22"/>
                <w:vertAlign w:val="superscript"/>
                <w:lang w:val="fr-BE"/>
              </w:rPr>
              <w:t>er</w:t>
            </w:r>
          </w:p>
        </w:tc>
        <w:tc>
          <w:tcPr>
            <w:tcW w:w="4508" w:type="dxa"/>
          </w:tcPr>
          <w:p w14:paraId="3BD3061F" w14:textId="30F8B81D" w:rsidR="000144C2" w:rsidRPr="000144C2" w:rsidRDefault="000144C2" w:rsidP="00E96110">
            <w:pPr>
              <w:jc w:val="both"/>
              <w:rPr>
                <w:rFonts w:asciiTheme="minorHAnsi" w:hAnsiTheme="minorHAnsi" w:cstheme="minorHAnsi"/>
                <w:sz w:val="22"/>
              </w:rPr>
            </w:pPr>
            <w:proofErr w:type="spellStart"/>
            <w:r w:rsidRPr="000144C2">
              <w:rPr>
                <w:rFonts w:asciiTheme="minorHAnsi" w:hAnsiTheme="minorHAnsi" w:cstheme="minorHAnsi"/>
                <w:b/>
                <w:bCs/>
                <w:sz w:val="22"/>
                <w:lang w:val="fr-BE"/>
              </w:rPr>
              <w:t>Paragraaf</w:t>
            </w:r>
            <w:proofErr w:type="spellEnd"/>
            <w:r w:rsidRPr="000144C2">
              <w:rPr>
                <w:rFonts w:asciiTheme="minorHAnsi" w:hAnsiTheme="minorHAnsi" w:cstheme="minorHAnsi"/>
                <w:b/>
                <w:bCs/>
                <w:sz w:val="22"/>
                <w:lang w:val="fr-BE"/>
              </w:rPr>
              <w:t xml:space="preserve"> 1</w:t>
            </w:r>
          </w:p>
        </w:tc>
      </w:tr>
      <w:tr w:rsidR="00E96110" w:rsidRPr="002F7AA5" w14:paraId="461461FE" w14:textId="77777777" w:rsidTr="00705040">
        <w:tc>
          <w:tcPr>
            <w:tcW w:w="4508" w:type="dxa"/>
          </w:tcPr>
          <w:p w14:paraId="7868A6BE" w14:textId="77777777" w:rsidR="00E96110" w:rsidRPr="00C462D9" w:rsidRDefault="00E96110" w:rsidP="000144C2">
            <w:pPr>
              <w:rPr>
                <w:rFonts w:asciiTheme="minorHAnsi" w:hAnsiTheme="minorHAnsi" w:cstheme="minorHAnsi"/>
                <w:sz w:val="22"/>
                <w:lang w:val="fr-BE"/>
              </w:rPr>
            </w:pPr>
          </w:p>
        </w:tc>
        <w:tc>
          <w:tcPr>
            <w:tcW w:w="4508" w:type="dxa"/>
          </w:tcPr>
          <w:p w14:paraId="61D1BB89" w14:textId="77777777" w:rsidR="00E96110" w:rsidRPr="00C462D9" w:rsidRDefault="00E96110" w:rsidP="000144C2">
            <w:pPr>
              <w:rPr>
                <w:rFonts w:asciiTheme="minorHAnsi" w:hAnsiTheme="minorHAnsi" w:cstheme="minorHAnsi"/>
                <w:sz w:val="22"/>
                <w:lang w:val="fr-BE"/>
              </w:rPr>
            </w:pPr>
          </w:p>
        </w:tc>
      </w:tr>
      <w:tr w:rsidR="000144C2" w:rsidRPr="002F7AA5" w14:paraId="03315CEE" w14:textId="77777777" w:rsidTr="00705040">
        <w:tc>
          <w:tcPr>
            <w:tcW w:w="4508" w:type="dxa"/>
          </w:tcPr>
          <w:p w14:paraId="4843C608" w14:textId="177D3393" w:rsidR="000144C2" w:rsidRPr="00C462D9" w:rsidRDefault="000144C2" w:rsidP="00E96110">
            <w:pPr>
              <w:jc w:val="both"/>
              <w:rPr>
                <w:rFonts w:asciiTheme="minorHAnsi" w:hAnsiTheme="minorHAnsi" w:cstheme="minorHAnsi"/>
                <w:sz w:val="22"/>
                <w:lang w:val="fr-BE"/>
              </w:rPr>
            </w:pPr>
            <w:r w:rsidRPr="00C462D9">
              <w:rPr>
                <w:rFonts w:asciiTheme="minorHAnsi" w:hAnsiTheme="minorHAnsi" w:cstheme="minorHAnsi"/>
                <w:sz w:val="22"/>
                <w:lang w:val="fr-BE"/>
              </w:rPr>
              <w:t xml:space="preserve">Le premier paragraphe reprend la définition de « </w:t>
            </w:r>
            <w:r w:rsidRPr="00C462D9">
              <w:rPr>
                <w:rFonts w:asciiTheme="minorHAnsi" w:hAnsiTheme="minorHAnsi" w:cstheme="minorHAnsi"/>
                <w:i/>
                <w:sz w:val="22"/>
                <w:lang w:val="fr-BE"/>
              </w:rPr>
              <w:t>communication</w:t>
            </w:r>
            <w:r w:rsidRPr="00C462D9">
              <w:rPr>
                <w:rFonts w:asciiTheme="minorHAnsi" w:hAnsiTheme="minorHAnsi" w:cstheme="minorHAnsi"/>
                <w:sz w:val="22"/>
                <w:lang w:val="fr-BE"/>
              </w:rPr>
              <w:t xml:space="preserve"> » qui se trouve à l’article 2, d), de la directive « vie privée et communications électroniques » (directive 2002/58/CE) et qui est nécessaire à la bonne compréhension de cet article. Cette définition est très large, dès lors qu’elle vise tout type d’informations (signes, signaux, écrits, images, sons ou données de toute nature) et dès lors</w:t>
            </w:r>
            <w:r w:rsidR="00C159DC" w:rsidRPr="00C462D9">
              <w:rPr>
                <w:rFonts w:asciiTheme="minorHAnsi" w:hAnsiTheme="minorHAnsi" w:cstheme="minorHAnsi"/>
                <w:sz w:val="22"/>
                <w:lang w:val="fr-BE"/>
              </w:rPr>
              <w:t xml:space="preserve"> </w:t>
            </w:r>
            <w:r w:rsidRPr="00C462D9">
              <w:rPr>
                <w:rFonts w:asciiTheme="minorHAnsi" w:hAnsiTheme="minorHAnsi" w:cstheme="minorHAnsi"/>
                <w:sz w:val="22"/>
                <w:lang w:val="fr-BE"/>
              </w:rPr>
              <w:t>qu’une partie à la communication peut être une machine (Internet des objets).</w:t>
            </w:r>
          </w:p>
        </w:tc>
        <w:tc>
          <w:tcPr>
            <w:tcW w:w="4508" w:type="dxa"/>
          </w:tcPr>
          <w:p w14:paraId="6B10EBC2" w14:textId="594E51E4" w:rsidR="000144C2" w:rsidRPr="00C462D9" w:rsidRDefault="000144C2" w:rsidP="00E96110">
            <w:pPr>
              <w:jc w:val="both"/>
              <w:rPr>
                <w:rFonts w:asciiTheme="minorHAnsi" w:hAnsiTheme="minorHAnsi" w:cstheme="minorHAnsi"/>
                <w:sz w:val="22"/>
              </w:rPr>
            </w:pPr>
            <w:r w:rsidRPr="00C462D9">
              <w:rPr>
                <w:rFonts w:asciiTheme="minorHAnsi" w:hAnsiTheme="minorHAnsi" w:cstheme="minorHAnsi"/>
                <w:sz w:val="22"/>
              </w:rPr>
              <w:t>De eerste paragraaf neemt de definitie van “</w:t>
            </w:r>
            <w:r w:rsidRPr="00C462D9">
              <w:rPr>
                <w:rFonts w:asciiTheme="minorHAnsi" w:hAnsiTheme="minorHAnsi" w:cstheme="minorHAnsi"/>
                <w:i/>
                <w:sz w:val="22"/>
              </w:rPr>
              <w:t>communicatie</w:t>
            </w:r>
            <w:r w:rsidRPr="00C462D9">
              <w:rPr>
                <w:rFonts w:asciiTheme="minorHAnsi" w:hAnsiTheme="minorHAnsi" w:cstheme="minorHAnsi"/>
                <w:sz w:val="22"/>
              </w:rPr>
              <w:t>” over die te vinden is in artikel 2, d), van de richtlijn « betreffende privacy en elektronische communicatie » (Richtlijn 2002/58/EG) en die noodzakelijk is voor het goede begrip van dit artikel. Deze definitie is erg ruim daar ze elk type van informatie beoogt (tekens, seinen, geschriften, beelden, klanken of gegevens van alle aard) en een machine een bij de communicatie betrokken partij kan zijn (internet der dingen).</w:t>
            </w:r>
          </w:p>
        </w:tc>
      </w:tr>
      <w:tr w:rsidR="00E96110" w:rsidRPr="002F7AA5" w14:paraId="2C11C7B9" w14:textId="77777777" w:rsidTr="00705040">
        <w:tc>
          <w:tcPr>
            <w:tcW w:w="4508" w:type="dxa"/>
          </w:tcPr>
          <w:p w14:paraId="51495DB0" w14:textId="77777777" w:rsidR="00E96110" w:rsidRPr="00C462D9" w:rsidRDefault="00E96110" w:rsidP="000144C2">
            <w:pPr>
              <w:rPr>
                <w:rFonts w:asciiTheme="minorHAnsi" w:hAnsiTheme="minorHAnsi" w:cstheme="minorHAnsi"/>
                <w:sz w:val="22"/>
              </w:rPr>
            </w:pPr>
          </w:p>
        </w:tc>
        <w:tc>
          <w:tcPr>
            <w:tcW w:w="4508" w:type="dxa"/>
          </w:tcPr>
          <w:p w14:paraId="069C0FAB" w14:textId="77777777" w:rsidR="00E96110" w:rsidRPr="000144C2" w:rsidRDefault="00E96110" w:rsidP="000144C2">
            <w:pPr>
              <w:rPr>
                <w:rFonts w:asciiTheme="minorHAnsi" w:hAnsiTheme="minorHAnsi" w:cstheme="minorHAnsi"/>
                <w:sz w:val="22"/>
              </w:rPr>
            </w:pPr>
          </w:p>
        </w:tc>
      </w:tr>
      <w:tr w:rsidR="000144C2" w:rsidRPr="002F7AA5" w14:paraId="2C58869E" w14:textId="77777777" w:rsidTr="00705040">
        <w:tc>
          <w:tcPr>
            <w:tcW w:w="4508" w:type="dxa"/>
          </w:tcPr>
          <w:p w14:paraId="17C6B5DC" w14:textId="2CA87650" w:rsidR="000144C2" w:rsidRPr="000144C2" w:rsidRDefault="000144C2" w:rsidP="00882239">
            <w:pPr>
              <w:jc w:val="both"/>
              <w:rPr>
                <w:rFonts w:asciiTheme="minorHAnsi" w:hAnsiTheme="minorHAnsi" w:cstheme="minorHAnsi"/>
                <w:sz w:val="22"/>
              </w:rPr>
            </w:pPr>
            <w:r w:rsidRPr="000144C2">
              <w:rPr>
                <w:rFonts w:asciiTheme="minorHAnsi" w:hAnsiTheme="minorHAnsi" w:cstheme="minorHAnsi"/>
                <w:b/>
                <w:bCs/>
                <w:sz w:val="22"/>
                <w:lang w:val="fr-BE"/>
              </w:rPr>
              <w:t>Paragraphe 2</w:t>
            </w:r>
          </w:p>
        </w:tc>
        <w:tc>
          <w:tcPr>
            <w:tcW w:w="4508" w:type="dxa"/>
          </w:tcPr>
          <w:p w14:paraId="3D3B7086" w14:textId="55CFB6C6" w:rsidR="000144C2" w:rsidRPr="000144C2" w:rsidRDefault="000144C2" w:rsidP="00882239">
            <w:pPr>
              <w:jc w:val="both"/>
              <w:rPr>
                <w:rFonts w:asciiTheme="minorHAnsi" w:hAnsiTheme="minorHAnsi" w:cstheme="minorHAnsi"/>
                <w:sz w:val="22"/>
              </w:rPr>
            </w:pPr>
            <w:proofErr w:type="spellStart"/>
            <w:r w:rsidRPr="000144C2">
              <w:rPr>
                <w:rFonts w:asciiTheme="minorHAnsi" w:hAnsiTheme="minorHAnsi" w:cstheme="minorHAnsi"/>
                <w:b/>
                <w:bCs/>
                <w:sz w:val="22"/>
                <w:lang w:val="fr-BE"/>
              </w:rPr>
              <w:t>Paragraaf</w:t>
            </w:r>
            <w:proofErr w:type="spellEnd"/>
            <w:r w:rsidRPr="000144C2">
              <w:rPr>
                <w:rFonts w:asciiTheme="minorHAnsi" w:hAnsiTheme="minorHAnsi" w:cstheme="minorHAnsi"/>
                <w:b/>
                <w:bCs/>
                <w:sz w:val="22"/>
                <w:lang w:val="fr-BE"/>
              </w:rPr>
              <w:t xml:space="preserve"> 2</w:t>
            </w:r>
          </w:p>
        </w:tc>
      </w:tr>
      <w:tr w:rsidR="00E96110" w:rsidRPr="002F7AA5" w14:paraId="4AA5183F" w14:textId="77777777" w:rsidTr="00705040">
        <w:tc>
          <w:tcPr>
            <w:tcW w:w="4508" w:type="dxa"/>
          </w:tcPr>
          <w:p w14:paraId="234157A2" w14:textId="77777777" w:rsidR="00E96110" w:rsidRPr="000144C2" w:rsidRDefault="00E96110" w:rsidP="00882239">
            <w:pPr>
              <w:jc w:val="both"/>
              <w:rPr>
                <w:rFonts w:asciiTheme="minorHAnsi" w:hAnsiTheme="minorHAnsi" w:cstheme="minorHAnsi"/>
                <w:b/>
                <w:bCs/>
                <w:sz w:val="22"/>
                <w:lang w:val="fr-BE"/>
              </w:rPr>
            </w:pPr>
          </w:p>
        </w:tc>
        <w:tc>
          <w:tcPr>
            <w:tcW w:w="4508" w:type="dxa"/>
          </w:tcPr>
          <w:p w14:paraId="1CCB9F25" w14:textId="77777777" w:rsidR="00E96110" w:rsidRPr="000144C2" w:rsidRDefault="00E96110" w:rsidP="00882239">
            <w:pPr>
              <w:jc w:val="both"/>
              <w:rPr>
                <w:rFonts w:asciiTheme="minorHAnsi" w:hAnsiTheme="minorHAnsi" w:cstheme="minorHAnsi"/>
                <w:b/>
                <w:bCs/>
                <w:sz w:val="22"/>
                <w:lang w:val="fr-BE"/>
              </w:rPr>
            </w:pPr>
          </w:p>
        </w:tc>
      </w:tr>
      <w:tr w:rsidR="000144C2" w:rsidRPr="002F7AA5" w14:paraId="37474B84" w14:textId="77777777" w:rsidTr="00705040">
        <w:tc>
          <w:tcPr>
            <w:tcW w:w="4508" w:type="dxa"/>
          </w:tcPr>
          <w:p w14:paraId="1CA3B05C" w14:textId="77777777" w:rsidR="000144C2" w:rsidRPr="00C462D9" w:rsidRDefault="000144C2" w:rsidP="00882239">
            <w:pPr>
              <w:jc w:val="both"/>
              <w:rPr>
                <w:rFonts w:asciiTheme="minorHAnsi" w:hAnsiTheme="minorHAnsi" w:cstheme="minorHAnsi"/>
                <w:sz w:val="22"/>
                <w:lang w:val="fr-BE"/>
              </w:rPr>
            </w:pPr>
            <w:r w:rsidRPr="00C462D9">
              <w:rPr>
                <w:rFonts w:asciiTheme="minorHAnsi" w:hAnsiTheme="minorHAnsi" w:cstheme="minorHAnsi"/>
                <w:sz w:val="22"/>
                <w:lang w:val="fr-BE"/>
              </w:rPr>
              <w:t>Le deuxième paragraphe énumère les données visées à l’article 126/1, § 2, qui doivent être conservées en exécution de l’article 126/1 par les opérateurs qui offrent aux utilisateurs finaux des services de communications électroniques, ainsi que les opérateurs fournissant les réseaux de communications électroniques qui permettent la fourniture de ces services.</w:t>
            </w:r>
          </w:p>
          <w:p w14:paraId="5B312F3E" w14:textId="77777777" w:rsidR="000144C2" w:rsidRPr="00C462D9" w:rsidRDefault="000144C2" w:rsidP="00882239">
            <w:pPr>
              <w:jc w:val="both"/>
              <w:rPr>
                <w:rFonts w:asciiTheme="minorHAnsi" w:hAnsiTheme="minorHAnsi" w:cstheme="minorHAnsi"/>
                <w:sz w:val="22"/>
                <w:lang w:val="fr-BE"/>
              </w:rPr>
            </w:pPr>
          </w:p>
        </w:tc>
        <w:tc>
          <w:tcPr>
            <w:tcW w:w="4508" w:type="dxa"/>
          </w:tcPr>
          <w:p w14:paraId="08EE412F" w14:textId="33CD3998" w:rsidR="000144C2" w:rsidRPr="00C462D9" w:rsidRDefault="000144C2" w:rsidP="00882239">
            <w:pPr>
              <w:contextualSpacing/>
              <w:jc w:val="both"/>
              <w:rPr>
                <w:rFonts w:asciiTheme="minorHAnsi" w:hAnsiTheme="minorHAnsi" w:cstheme="minorHAnsi"/>
                <w:sz w:val="22"/>
              </w:rPr>
            </w:pPr>
            <w:r w:rsidRPr="00C462D9">
              <w:rPr>
                <w:rFonts w:asciiTheme="minorHAnsi" w:hAnsiTheme="minorHAnsi" w:cstheme="minorHAnsi"/>
                <w:sz w:val="22"/>
                <w:lang w:val="fr-BE"/>
              </w:rPr>
              <w:t xml:space="preserve"> </w:t>
            </w:r>
            <w:r w:rsidRPr="00C462D9">
              <w:rPr>
                <w:rFonts w:asciiTheme="minorHAnsi" w:hAnsiTheme="minorHAnsi" w:cstheme="minorHAnsi"/>
                <w:sz w:val="22"/>
              </w:rPr>
              <w:t>De tweede paragraaf somt de gegevens op bedoeld in artikel 126/1, § 2, die bewaard moeten worden in uitvoering van artikel 126/1 door de operatoren die aan de eindgebruikers elektronische-communicatiediensten aanbieden alsook de operatoren die elektronische-communicatienetwerken aanbieden die het aanbieden van die diensten mogelijk maken.</w:t>
            </w:r>
          </w:p>
        </w:tc>
      </w:tr>
      <w:tr w:rsidR="004A10BD" w:rsidRPr="002F7AA5" w14:paraId="49AB03DC" w14:textId="77777777" w:rsidTr="00705040">
        <w:tc>
          <w:tcPr>
            <w:tcW w:w="4508" w:type="dxa"/>
          </w:tcPr>
          <w:p w14:paraId="3008D218" w14:textId="77777777" w:rsidR="004A10BD" w:rsidRPr="00C462D9" w:rsidRDefault="004A10BD" w:rsidP="000144C2">
            <w:pPr>
              <w:jc w:val="both"/>
              <w:rPr>
                <w:rFonts w:asciiTheme="minorHAnsi" w:hAnsiTheme="minorHAnsi" w:cstheme="minorHAnsi"/>
                <w:sz w:val="22"/>
              </w:rPr>
            </w:pPr>
          </w:p>
        </w:tc>
        <w:tc>
          <w:tcPr>
            <w:tcW w:w="4508" w:type="dxa"/>
          </w:tcPr>
          <w:p w14:paraId="5D70C10D" w14:textId="77777777" w:rsidR="004A10BD" w:rsidRPr="00C462D9" w:rsidRDefault="004A10BD" w:rsidP="000144C2">
            <w:pPr>
              <w:contextualSpacing/>
              <w:jc w:val="both"/>
              <w:rPr>
                <w:rFonts w:asciiTheme="minorHAnsi" w:hAnsiTheme="minorHAnsi" w:cstheme="minorHAnsi"/>
                <w:sz w:val="22"/>
              </w:rPr>
            </w:pPr>
          </w:p>
        </w:tc>
      </w:tr>
      <w:tr w:rsidR="000144C2" w:rsidRPr="002F7AA5" w14:paraId="798421F5" w14:textId="77777777" w:rsidTr="00705040">
        <w:tc>
          <w:tcPr>
            <w:tcW w:w="4508" w:type="dxa"/>
          </w:tcPr>
          <w:p w14:paraId="4528DD92" w14:textId="0969112F" w:rsidR="000144C2" w:rsidRPr="000144C2" w:rsidRDefault="000144C2" w:rsidP="00882239">
            <w:pPr>
              <w:jc w:val="both"/>
              <w:rPr>
                <w:rFonts w:asciiTheme="minorHAnsi" w:hAnsiTheme="minorHAnsi" w:cstheme="minorHAnsi"/>
                <w:sz w:val="22"/>
                <w:lang w:val="fr-BE"/>
              </w:rPr>
            </w:pPr>
            <w:r w:rsidRPr="000144C2">
              <w:rPr>
                <w:rFonts w:asciiTheme="minorHAnsi" w:eastAsia="Times New Roman" w:hAnsiTheme="minorHAnsi" w:cstheme="minorHAnsi"/>
                <w:bCs/>
                <w:sz w:val="22"/>
                <w:u w:val="single"/>
                <w:lang w:val="fr-BE" w:eastAsia="fr-FR"/>
              </w:rPr>
              <w:t>La description et les caractéristiques techniques du service de communications électroniques utilisé lors de la communication (1°)</w:t>
            </w:r>
          </w:p>
        </w:tc>
        <w:tc>
          <w:tcPr>
            <w:tcW w:w="4508" w:type="dxa"/>
          </w:tcPr>
          <w:p w14:paraId="4BC902FB" w14:textId="1EC4F884" w:rsidR="000144C2" w:rsidRPr="000144C2" w:rsidRDefault="000144C2" w:rsidP="00882239">
            <w:pPr>
              <w:jc w:val="both"/>
              <w:rPr>
                <w:rFonts w:asciiTheme="minorHAnsi" w:hAnsiTheme="minorHAnsi" w:cstheme="minorHAnsi"/>
                <w:sz w:val="22"/>
              </w:rPr>
            </w:pPr>
            <w:r w:rsidRPr="000144C2">
              <w:rPr>
                <w:rFonts w:asciiTheme="minorHAnsi" w:hAnsiTheme="minorHAnsi" w:cstheme="minorHAnsi"/>
                <w:sz w:val="22"/>
                <w:u w:val="single"/>
              </w:rPr>
              <w:t>De beschrijving en de technische karakteristieken van de elektronische-communicatiedienst aangewend tijdens de communicatie (1°)</w:t>
            </w:r>
          </w:p>
        </w:tc>
      </w:tr>
      <w:tr w:rsidR="004A10BD" w:rsidRPr="002F7AA5" w14:paraId="2831AB7B" w14:textId="77777777" w:rsidTr="00705040">
        <w:tc>
          <w:tcPr>
            <w:tcW w:w="4508" w:type="dxa"/>
          </w:tcPr>
          <w:p w14:paraId="144E4296" w14:textId="77777777" w:rsidR="004A10BD" w:rsidRPr="00C462D9" w:rsidRDefault="004A10BD" w:rsidP="00882239">
            <w:pPr>
              <w:jc w:val="both"/>
              <w:rPr>
                <w:rFonts w:asciiTheme="minorHAnsi" w:eastAsia="Times New Roman" w:hAnsiTheme="minorHAnsi" w:cstheme="minorHAnsi"/>
                <w:bCs/>
                <w:sz w:val="22"/>
                <w:u w:val="single"/>
                <w:lang w:eastAsia="fr-FR"/>
              </w:rPr>
            </w:pPr>
          </w:p>
        </w:tc>
        <w:tc>
          <w:tcPr>
            <w:tcW w:w="4508" w:type="dxa"/>
          </w:tcPr>
          <w:p w14:paraId="195D37C8" w14:textId="77777777" w:rsidR="004A10BD" w:rsidRPr="000144C2" w:rsidRDefault="004A10BD" w:rsidP="00882239">
            <w:pPr>
              <w:jc w:val="both"/>
              <w:rPr>
                <w:rFonts w:asciiTheme="minorHAnsi" w:hAnsiTheme="minorHAnsi" w:cstheme="minorHAnsi"/>
                <w:sz w:val="22"/>
                <w:u w:val="single"/>
              </w:rPr>
            </w:pPr>
          </w:p>
        </w:tc>
      </w:tr>
      <w:tr w:rsidR="000144C2" w:rsidRPr="002F7AA5" w14:paraId="1518C7D6" w14:textId="77777777" w:rsidTr="00705040">
        <w:tc>
          <w:tcPr>
            <w:tcW w:w="4508" w:type="dxa"/>
          </w:tcPr>
          <w:p w14:paraId="5D17BED8" w14:textId="057E9B86" w:rsidR="000144C2" w:rsidRPr="000144C2" w:rsidRDefault="000144C2" w:rsidP="00882239">
            <w:pPr>
              <w:jc w:val="both"/>
              <w:rPr>
                <w:rFonts w:asciiTheme="minorHAnsi" w:hAnsiTheme="minorHAnsi" w:cstheme="minorHAnsi"/>
                <w:sz w:val="22"/>
                <w:lang w:val="fr-BE"/>
              </w:rPr>
            </w:pPr>
            <w:r w:rsidRPr="000144C2">
              <w:rPr>
                <w:rFonts w:asciiTheme="minorHAnsi" w:eastAsia="Times New Roman" w:hAnsiTheme="minorHAnsi" w:cstheme="minorHAnsi"/>
                <w:bCs/>
                <w:sz w:val="22"/>
                <w:lang w:val="fr-BE" w:eastAsia="fr-FR"/>
              </w:rPr>
              <w:t xml:space="preserve">Il s’agit d’une donnée déjà prévue par l’arrêté </w:t>
            </w:r>
            <w:r w:rsidRPr="000144C2">
              <w:rPr>
                <w:rFonts w:asciiTheme="minorHAnsi" w:hAnsiTheme="minorHAnsi" w:cstheme="minorHAnsi"/>
                <w:sz w:val="22"/>
                <w:lang w:val="fr-BE"/>
              </w:rPr>
              <w:t>royal du 19 septembre 2013 pour l’ensemble des services, à l’exception de l’accès à Internet.  Cette donnée doit donc désormais être conservée pour tout service de communication électronique offert.</w:t>
            </w:r>
          </w:p>
        </w:tc>
        <w:tc>
          <w:tcPr>
            <w:tcW w:w="4508" w:type="dxa"/>
          </w:tcPr>
          <w:p w14:paraId="730154A2" w14:textId="652126AA" w:rsidR="000144C2" w:rsidRPr="000144C2" w:rsidRDefault="000144C2" w:rsidP="00882239">
            <w:pPr>
              <w:jc w:val="both"/>
              <w:rPr>
                <w:rFonts w:asciiTheme="minorHAnsi" w:hAnsiTheme="minorHAnsi" w:cstheme="minorHAnsi"/>
                <w:sz w:val="22"/>
              </w:rPr>
            </w:pPr>
            <w:r w:rsidRPr="000144C2">
              <w:rPr>
                <w:rFonts w:asciiTheme="minorHAnsi" w:hAnsiTheme="minorHAnsi" w:cstheme="minorHAnsi"/>
                <w:sz w:val="22"/>
              </w:rPr>
              <w:t>Het gaat om een gegeven waarin het koninklijk besluit van 19 september 2013 reeds voor alle diensten voorziet, met uitzondering van de internettoegang.  Dat gegeven moet dus voortaan bewaard worden voor elke elektronische-communicatiedienst die aangeboden wordt.</w:t>
            </w:r>
          </w:p>
        </w:tc>
      </w:tr>
      <w:tr w:rsidR="004A10BD" w:rsidRPr="002F7AA5" w14:paraId="2C57D00F" w14:textId="77777777" w:rsidTr="00705040">
        <w:tc>
          <w:tcPr>
            <w:tcW w:w="4508" w:type="dxa"/>
          </w:tcPr>
          <w:p w14:paraId="02083B07" w14:textId="77777777" w:rsidR="004A10BD" w:rsidRPr="00C462D9" w:rsidRDefault="004A10BD" w:rsidP="000144C2">
            <w:pPr>
              <w:rPr>
                <w:rFonts w:asciiTheme="minorHAnsi" w:eastAsia="Times New Roman" w:hAnsiTheme="minorHAnsi" w:cstheme="minorHAnsi"/>
                <w:bCs/>
                <w:sz w:val="22"/>
                <w:lang w:eastAsia="fr-FR"/>
              </w:rPr>
            </w:pPr>
          </w:p>
        </w:tc>
        <w:tc>
          <w:tcPr>
            <w:tcW w:w="4508" w:type="dxa"/>
          </w:tcPr>
          <w:p w14:paraId="10CD3ADC" w14:textId="77777777" w:rsidR="004A10BD" w:rsidRPr="000144C2" w:rsidRDefault="004A10BD" w:rsidP="000144C2">
            <w:pPr>
              <w:rPr>
                <w:rFonts w:asciiTheme="minorHAnsi" w:hAnsiTheme="minorHAnsi" w:cstheme="minorHAnsi"/>
                <w:sz w:val="22"/>
              </w:rPr>
            </w:pPr>
          </w:p>
        </w:tc>
      </w:tr>
      <w:tr w:rsidR="000144C2" w:rsidRPr="002F7AA5" w14:paraId="5F54AFA4" w14:textId="77777777" w:rsidTr="00705040">
        <w:tc>
          <w:tcPr>
            <w:tcW w:w="4508" w:type="dxa"/>
          </w:tcPr>
          <w:p w14:paraId="1504AA4F" w14:textId="2BAF5074" w:rsidR="000144C2" w:rsidRPr="00C462D9" w:rsidRDefault="000144C2" w:rsidP="00882239">
            <w:pPr>
              <w:jc w:val="both"/>
              <w:rPr>
                <w:rFonts w:asciiTheme="minorHAnsi" w:eastAsia="Times New Roman" w:hAnsiTheme="minorHAnsi" w:cstheme="minorHAnsi"/>
                <w:bCs/>
                <w:sz w:val="22"/>
                <w:u w:val="single"/>
                <w:lang w:val="fr-BE" w:eastAsia="fr-FR"/>
              </w:rPr>
            </w:pPr>
            <w:r w:rsidRPr="000144C2">
              <w:rPr>
                <w:rFonts w:asciiTheme="minorHAnsi" w:eastAsia="Times New Roman" w:hAnsiTheme="minorHAnsi" w:cstheme="minorHAnsi"/>
                <w:bCs/>
                <w:sz w:val="22"/>
                <w:u w:val="single"/>
                <w:lang w:val="fr-BE" w:eastAsia="fr-FR"/>
              </w:rPr>
              <w:t>Les données d’identification visées à l’article 126, § 1</w:t>
            </w:r>
            <w:r w:rsidRPr="00C462D9">
              <w:rPr>
                <w:rFonts w:asciiTheme="minorHAnsi" w:eastAsia="Times New Roman" w:hAnsiTheme="minorHAnsi" w:cstheme="minorHAnsi"/>
                <w:bCs/>
                <w:sz w:val="22"/>
                <w:u w:val="single"/>
                <w:vertAlign w:val="superscript"/>
                <w:lang w:val="fr-BE" w:eastAsia="fr-FR"/>
              </w:rPr>
              <w:t>er</w:t>
            </w:r>
            <w:r w:rsidRPr="000144C2">
              <w:rPr>
                <w:rFonts w:asciiTheme="minorHAnsi" w:eastAsia="Times New Roman" w:hAnsiTheme="minorHAnsi" w:cstheme="minorHAnsi"/>
                <w:bCs/>
                <w:sz w:val="22"/>
                <w:u w:val="single"/>
                <w:lang w:val="fr-BE" w:eastAsia="fr-FR"/>
              </w:rPr>
              <w:t>, 2°, 10° à 14 et 16°, du destinataire de la communication  (2°)</w:t>
            </w:r>
          </w:p>
        </w:tc>
        <w:tc>
          <w:tcPr>
            <w:tcW w:w="4508" w:type="dxa"/>
          </w:tcPr>
          <w:p w14:paraId="6F064A13" w14:textId="64AFE2A5" w:rsidR="000144C2" w:rsidRPr="000144C2" w:rsidRDefault="000144C2" w:rsidP="00882239">
            <w:pPr>
              <w:jc w:val="both"/>
              <w:rPr>
                <w:rFonts w:asciiTheme="minorHAnsi" w:hAnsiTheme="minorHAnsi" w:cstheme="minorHAnsi"/>
                <w:sz w:val="22"/>
              </w:rPr>
            </w:pPr>
            <w:r w:rsidRPr="000144C2">
              <w:rPr>
                <w:rFonts w:asciiTheme="minorHAnsi" w:hAnsiTheme="minorHAnsi" w:cstheme="minorHAnsi"/>
                <w:sz w:val="22"/>
                <w:u w:val="single"/>
              </w:rPr>
              <w:t>De identificatiegegevens bedoeld in artikel 126, § 1, 2°, 10° tot 14° en 16°, van de geadresseerde van de communicatie (2°)</w:t>
            </w:r>
          </w:p>
        </w:tc>
      </w:tr>
      <w:tr w:rsidR="004A10BD" w:rsidRPr="002F7AA5" w14:paraId="595A99EC" w14:textId="77777777" w:rsidTr="00705040">
        <w:tc>
          <w:tcPr>
            <w:tcW w:w="4508" w:type="dxa"/>
          </w:tcPr>
          <w:p w14:paraId="16989D85" w14:textId="77777777" w:rsidR="004A10BD" w:rsidRPr="00C462D9" w:rsidRDefault="004A10BD" w:rsidP="000144C2">
            <w:pPr>
              <w:rPr>
                <w:rFonts w:asciiTheme="minorHAnsi" w:eastAsia="Times New Roman" w:hAnsiTheme="minorHAnsi" w:cstheme="minorHAnsi"/>
                <w:bCs/>
                <w:sz w:val="22"/>
                <w:u w:val="single"/>
                <w:lang w:eastAsia="fr-FR"/>
              </w:rPr>
            </w:pPr>
          </w:p>
        </w:tc>
        <w:tc>
          <w:tcPr>
            <w:tcW w:w="4508" w:type="dxa"/>
          </w:tcPr>
          <w:p w14:paraId="77DFA219" w14:textId="77777777" w:rsidR="004A10BD" w:rsidRPr="000144C2" w:rsidRDefault="004A10BD" w:rsidP="000144C2">
            <w:pPr>
              <w:rPr>
                <w:rFonts w:asciiTheme="minorHAnsi" w:hAnsiTheme="minorHAnsi" w:cstheme="minorHAnsi"/>
                <w:sz w:val="22"/>
                <w:u w:val="single"/>
              </w:rPr>
            </w:pPr>
          </w:p>
        </w:tc>
      </w:tr>
      <w:tr w:rsidR="004A10BD" w:rsidRPr="004A10BD" w14:paraId="42211DFA" w14:textId="77777777" w:rsidTr="00705040">
        <w:tc>
          <w:tcPr>
            <w:tcW w:w="4508" w:type="dxa"/>
          </w:tcPr>
          <w:p w14:paraId="247E1949" w14:textId="04146C8D" w:rsidR="004A10BD" w:rsidRPr="000144C2" w:rsidRDefault="004A10BD" w:rsidP="00882239">
            <w:pPr>
              <w:jc w:val="both"/>
              <w:rPr>
                <w:rFonts w:asciiTheme="minorHAnsi" w:eastAsia="Times New Roman" w:hAnsiTheme="minorHAnsi" w:cstheme="minorHAnsi"/>
                <w:bCs/>
                <w:sz w:val="22"/>
                <w:lang w:val="fr-BE" w:eastAsia="fr-FR"/>
              </w:rPr>
            </w:pPr>
            <w:r w:rsidRPr="000144C2">
              <w:rPr>
                <w:rFonts w:asciiTheme="minorHAnsi" w:eastAsia="Times New Roman" w:hAnsiTheme="minorHAnsi" w:cstheme="minorHAnsi"/>
                <w:bCs/>
                <w:sz w:val="22"/>
                <w:lang w:val="fr-BE" w:eastAsia="fr-FR"/>
              </w:rPr>
              <w:t>De façon parallèle à la conservation des données d’identification de l’utilisateur final d’un service de communication prévue par l’article 126, §</w:t>
            </w:r>
            <w:r w:rsidR="00C159DC">
              <w:rPr>
                <w:rFonts w:asciiTheme="minorHAnsi" w:eastAsia="Times New Roman" w:hAnsiTheme="minorHAnsi" w:cstheme="minorHAnsi"/>
                <w:bCs/>
                <w:sz w:val="22"/>
                <w:lang w:val="fr-BE" w:eastAsia="fr-FR"/>
              </w:rPr>
              <w:t xml:space="preserve"> </w:t>
            </w:r>
            <w:r w:rsidRPr="000144C2">
              <w:rPr>
                <w:rFonts w:asciiTheme="minorHAnsi" w:eastAsia="Times New Roman" w:hAnsiTheme="minorHAnsi" w:cstheme="minorHAnsi"/>
                <w:bCs/>
                <w:sz w:val="22"/>
                <w:lang w:val="fr-BE" w:eastAsia="fr-FR"/>
              </w:rPr>
              <w:t>1</w:t>
            </w:r>
            <w:r w:rsidRPr="000144C2">
              <w:rPr>
                <w:rFonts w:asciiTheme="minorHAnsi" w:eastAsia="Times New Roman" w:hAnsiTheme="minorHAnsi" w:cstheme="minorHAnsi"/>
                <w:bCs/>
                <w:sz w:val="22"/>
                <w:vertAlign w:val="superscript"/>
                <w:lang w:val="fr-BE" w:eastAsia="fr-FR"/>
              </w:rPr>
              <w:t>er</w:t>
            </w:r>
            <w:r w:rsidRPr="000144C2">
              <w:rPr>
                <w:rFonts w:asciiTheme="minorHAnsi" w:eastAsia="Times New Roman" w:hAnsiTheme="minorHAnsi" w:cstheme="minorHAnsi"/>
                <w:bCs/>
                <w:sz w:val="22"/>
                <w:lang w:val="fr-BE" w:eastAsia="fr-FR"/>
              </w:rPr>
              <w:t xml:space="preserve">, il s’agit ici de conserver les données </w:t>
            </w:r>
            <w:r w:rsidRPr="000144C2">
              <w:rPr>
                <w:rFonts w:asciiTheme="minorHAnsi" w:eastAsia="Times New Roman" w:hAnsiTheme="minorHAnsi" w:cstheme="minorHAnsi"/>
                <w:bCs/>
                <w:sz w:val="22"/>
                <w:lang w:val="fr-BE" w:eastAsia="fr-FR"/>
              </w:rPr>
              <w:lastRenderedPageBreak/>
              <w:t>d’identification similaires concernant le destinataire de la communication, à savoir :</w:t>
            </w:r>
          </w:p>
          <w:p w14:paraId="330A20B2" w14:textId="77777777" w:rsidR="004A10BD" w:rsidRPr="000144C2" w:rsidRDefault="004A10BD" w:rsidP="00882239">
            <w:pPr>
              <w:jc w:val="both"/>
              <w:rPr>
                <w:rFonts w:asciiTheme="minorHAnsi" w:eastAsia="Times New Roman" w:hAnsiTheme="minorHAnsi" w:cstheme="minorHAnsi"/>
                <w:bCs/>
                <w:sz w:val="22"/>
                <w:u w:val="single"/>
                <w:lang w:val="fr-BE" w:eastAsia="fr-FR"/>
              </w:rPr>
            </w:pPr>
          </w:p>
        </w:tc>
        <w:tc>
          <w:tcPr>
            <w:tcW w:w="4508" w:type="dxa"/>
          </w:tcPr>
          <w:p w14:paraId="26952109" w14:textId="632742CD" w:rsidR="004A10BD" w:rsidRPr="00882239" w:rsidRDefault="004A10BD" w:rsidP="00882239">
            <w:pPr>
              <w:jc w:val="both"/>
              <w:rPr>
                <w:rFonts w:asciiTheme="minorHAnsi" w:eastAsia="Times New Roman" w:hAnsiTheme="minorHAnsi" w:cstheme="minorHAnsi"/>
                <w:bCs/>
                <w:sz w:val="22"/>
              </w:rPr>
            </w:pPr>
            <w:r w:rsidRPr="000144C2">
              <w:rPr>
                <w:rFonts w:asciiTheme="minorHAnsi" w:hAnsiTheme="minorHAnsi" w:cstheme="minorHAnsi"/>
                <w:sz w:val="22"/>
              </w:rPr>
              <w:lastRenderedPageBreak/>
              <w:t xml:space="preserve">Parallel met de in artikel 126, § 1 bepaalde bewaring van de identificatiegegevens van de eindgebruiker van een communicatiedienst, gaat het hier om het bewaren van de </w:t>
            </w:r>
            <w:r w:rsidRPr="000144C2">
              <w:rPr>
                <w:rFonts w:asciiTheme="minorHAnsi" w:hAnsiTheme="minorHAnsi" w:cstheme="minorHAnsi"/>
                <w:sz w:val="22"/>
              </w:rPr>
              <w:lastRenderedPageBreak/>
              <w:t>gelijkaardige identificatiegegevens betreffende de geadresseerde van de communicatie, met name:</w:t>
            </w:r>
          </w:p>
        </w:tc>
      </w:tr>
      <w:tr w:rsidR="004A10BD" w:rsidRPr="004A10BD" w14:paraId="53CC8F4F" w14:textId="77777777" w:rsidTr="00705040">
        <w:tc>
          <w:tcPr>
            <w:tcW w:w="4508" w:type="dxa"/>
          </w:tcPr>
          <w:p w14:paraId="67593B13" w14:textId="77777777" w:rsidR="004A10BD" w:rsidRPr="004A10BD" w:rsidRDefault="004A10BD" w:rsidP="000144C2">
            <w:pPr>
              <w:rPr>
                <w:rFonts w:asciiTheme="minorHAnsi" w:eastAsia="Times New Roman" w:hAnsiTheme="minorHAnsi" w:cstheme="minorHAnsi"/>
                <w:bCs/>
                <w:sz w:val="22"/>
                <w:u w:val="single"/>
                <w:lang w:eastAsia="fr-FR"/>
              </w:rPr>
            </w:pPr>
          </w:p>
        </w:tc>
        <w:tc>
          <w:tcPr>
            <w:tcW w:w="4508" w:type="dxa"/>
          </w:tcPr>
          <w:p w14:paraId="653C4268" w14:textId="77777777" w:rsidR="004A10BD" w:rsidRPr="004A10BD" w:rsidRDefault="004A10BD" w:rsidP="000144C2">
            <w:pPr>
              <w:rPr>
                <w:rFonts w:asciiTheme="minorHAnsi" w:hAnsiTheme="minorHAnsi" w:cstheme="minorHAnsi"/>
                <w:sz w:val="22"/>
                <w:u w:val="single"/>
              </w:rPr>
            </w:pPr>
          </w:p>
        </w:tc>
      </w:tr>
      <w:tr w:rsidR="004A10BD" w:rsidRPr="004A10BD" w14:paraId="7929F724" w14:textId="77777777" w:rsidTr="00705040">
        <w:tc>
          <w:tcPr>
            <w:tcW w:w="4508" w:type="dxa"/>
          </w:tcPr>
          <w:p w14:paraId="28AE19B3" w14:textId="7D077232" w:rsidR="004A10BD" w:rsidRPr="00882239" w:rsidRDefault="004A10BD" w:rsidP="00882239">
            <w:pPr>
              <w:pStyle w:val="Lijstalinea"/>
              <w:keepLines/>
              <w:numPr>
                <w:ilvl w:val="0"/>
                <w:numId w:val="4"/>
              </w:numPr>
              <w:jc w:val="both"/>
              <w:rPr>
                <w:rFonts w:asciiTheme="minorHAnsi" w:hAnsiTheme="minorHAnsi" w:cstheme="minorHAnsi"/>
                <w:sz w:val="22"/>
                <w:lang w:val="fr-BE"/>
              </w:rPr>
            </w:pPr>
            <w:r w:rsidRPr="000144C2">
              <w:rPr>
                <w:rFonts w:asciiTheme="minorHAnsi" w:hAnsiTheme="minorHAnsi" w:cstheme="minorHAnsi"/>
                <w:bCs/>
                <w:sz w:val="22"/>
                <w:lang w:val="fr-BE" w:eastAsia="fr-FR"/>
              </w:rPr>
              <w:t>l’alias éventuel du destinataire (art. 126, § 1</w:t>
            </w:r>
            <w:r w:rsidRPr="000144C2">
              <w:rPr>
                <w:rFonts w:asciiTheme="minorHAnsi" w:hAnsiTheme="minorHAnsi" w:cstheme="minorHAnsi"/>
                <w:bCs/>
                <w:sz w:val="22"/>
                <w:vertAlign w:val="superscript"/>
                <w:lang w:val="fr-BE" w:eastAsia="fr-FR"/>
              </w:rPr>
              <w:t>er</w:t>
            </w:r>
            <w:r w:rsidRPr="000144C2">
              <w:rPr>
                <w:rFonts w:asciiTheme="minorHAnsi" w:hAnsiTheme="minorHAnsi" w:cstheme="minorHAnsi"/>
                <w:bCs/>
                <w:sz w:val="22"/>
                <w:lang w:val="fr-BE" w:eastAsia="fr-FR"/>
              </w:rPr>
              <w:t>, 2°) ;</w:t>
            </w:r>
          </w:p>
        </w:tc>
        <w:tc>
          <w:tcPr>
            <w:tcW w:w="4508" w:type="dxa"/>
          </w:tcPr>
          <w:p w14:paraId="3A1CAD1D" w14:textId="6A8CB816" w:rsidR="004A10BD" w:rsidRPr="00882239" w:rsidRDefault="004A10BD" w:rsidP="00882239">
            <w:pPr>
              <w:pStyle w:val="Lijstalinea"/>
              <w:keepLines/>
              <w:numPr>
                <w:ilvl w:val="0"/>
                <w:numId w:val="4"/>
              </w:numPr>
              <w:jc w:val="both"/>
              <w:rPr>
                <w:rFonts w:asciiTheme="minorHAnsi" w:hAnsiTheme="minorHAnsi" w:cstheme="minorHAnsi"/>
                <w:sz w:val="22"/>
              </w:rPr>
            </w:pPr>
            <w:r w:rsidRPr="000144C2">
              <w:rPr>
                <w:rFonts w:asciiTheme="minorHAnsi" w:hAnsiTheme="minorHAnsi" w:cstheme="minorHAnsi"/>
                <w:sz w:val="22"/>
              </w:rPr>
              <w:t>de eventuele alias van de geadresseerde (art. 126, § 1, 2°);</w:t>
            </w:r>
          </w:p>
        </w:tc>
      </w:tr>
      <w:tr w:rsidR="004A10BD" w:rsidRPr="004A10BD" w14:paraId="29086C38" w14:textId="77777777" w:rsidTr="00705040">
        <w:tc>
          <w:tcPr>
            <w:tcW w:w="4508" w:type="dxa"/>
          </w:tcPr>
          <w:p w14:paraId="7285DDBA" w14:textId="77777777" w:rsidR="004A10BD" w:rsidRPr="004A10BD" w:rsidRDefault="004A10BD" w:rsidP="00882239">
            <w:pPr>
              <w:jc w:val="both"/>
              <w:rPr>
                <w:rFonts w:asciiTheme="minorHAnsi" w:eastAsia="Times New Roman" w:hAnsiTheme="minorHAnsi" w:cstheme="minorHAnsi"/>
                <w:bCs/>
                <w:sz w:val="22"/>
                <w:u w:val="single"/>
                <w:lang w:eastAsia="fr-FR"/>
              </w:rPr>
            </w:pPr>
          </w:p>
        </w:tc>
        <w:tc>
          <w:tcPr>
            <w:tcW w:w="4508" w:type="dxa"/>
          </w:tcPr>
          <w:p w14:paraId="14981272" w14:textId="77777777" w:rsidR="004A10BD" w:rsidRPr="004A10BD" w:rsidRDefault="004A10BD" w:rsidP="00882239">
            <w:pPr>
              <w:jc w:val="both"/>
              <w:rPr>
                <w:rFonts w:asciiTheme="minorHAnsi" w:hAnsiTheme="minorHAnsi" w:cstheme="minorHAnsi"/>
                <w:sz w:val="22"/>
                <w:u w:val="single"/>
              </w:rPr>
            </w:pPr>
          </w:p>
        </w:tc>
      </w:tr>
      <w:tr w:rsidR="004A10BD" w:rsidRPr="004A10BD" w14:paraId="48EC7876" w14:textId="77777777" w:rsidTr="00705040">
        <w:tc>
          <w:tcPr>
            <w:tcW w:w="4508" w:type="dxa"/>
          </w:tcPr>
          <w:p w14:paraId="00C6DE98" w14:textId="6F2AE4A1" w:rsidR="004A10BD" w:rsidRPr="00882239" w:rsidRDefault="004A10BD" w:rsidP="00882239">
            <w:pPr>
              <w:pStyle w:val="Lijstalinea"/>
              <w:keepLines/>
              <w:numPr>
                <w:ilvl w:val="0"/>
                <w:numId w:val="4"/>
              </w:numPr>
              <w:jc w:val="both"/>
              <w:rPr>
                <w:rFonts w:asciiTheme="minorHAnsi" w:hAnsiTheme="minorHAnsi" w:cstheme="minorHAnsi"/>
                <w:sz w:val="22"/>
                <w:lang w:val="fr-BE"/>
              </w:rPr>
            </w:pPr>
            <w:r w:rsidRPr="000144C2">
              <w:rPr>
                <w:rFonts w:asciiTheme="minorHAnsi" w:hAnsiTheme="minorHAnsi" w:cstheme="minorHAnsi"/>
                <w:bCs/>
                <w:sz w:val="22"/>
                <w:lang w:val="fr-BE" w:eastAsia="fr-FR"/>
              </w:rPr>
              <w:t>son numéro de téléphone attribué pour les besoins du service (art. 126, § 1</w:t>
            </w:r>
            <w:r w:rsidRPr="000144C2">
              <w:rPr>
                <w:rFonts w:asciiTheme="minorHAnsi" w:hAnsiTheme="minorHAnsi" w:cstheme="minorHAnsi"/>
                <w:bCs/>
                <w:sz w:val="22"/>
                <w:vertAlign w:val="superscript"/>
                <w:lang w:val="fr-BE" w:eastAsia="fr-FR"/>
              </w:rPr>
              <w:t>er</w:t>
            </w:r>
            <w:r w:rsidRPr="000144C2">
              <w:rPr>
                <w:rFonts w:asciiTheme="minorHAnsi" w:hAnsiTheme="minorHAnsi" w:cstheme="minorHAnsi"/>
                <w:bCs/>
                <w:sz w:val="22"/>
                <w:lang w:val="fr-BE" w:eastAsia="fr-FR"/>
              </w:rPr>
              <w:t>, 10°) ;</w:t>
            </w:r>
          </w:p>
        </w:tc>
        <w:tc>
          <w:tcPr>
            <w:tcW w:w="4508" w:type="dxa"/>
          </w:tcPr>
          <w:p w14:paraId="6856118F" w14:textId="095C7072" w:rsidR="004A10BD" w:rsidRPr="00882239" w:rsidRDefault="004A10BD" w:rsidP="00882239">
            <w:pPr>
              <w:pStyle w:val="Lijstalinea"/>
              <w:keepLines/>
              <w:numPr>
                <w:ilvl w:val="0"/>
                <w:numId w:val="4"/>
              </w:numPr>
              <w:jc w:val="both"/>
              <w:rPr>
                <w:rFonts w:asciiTheme="minorHAnsi" w:hAnsiTheme="minorHAnsi" w:cstheme="minorHAnsi"/>
                <w:sz w:val="22"/>
              </w:rPr>
            </w:pPr>
            <w:r w:rsidRPr="000144C2">
              <w:rPr>
                <w:rFonts w:asciiTheme="minorHAnsi" w:hAnsiTheme="minorHAnsi" w:cstheme="minorHAnsi"/>
                <w:sz w:val="22"/>
              </w:rPr>
              <w:t>zijn telefoonnummer dat toegewezen is ten behoeve van de dienst (art. 126, § 1, 10°);</w:t>
            </w:r>
          </w:p>
        </w:tc>
      </w:tr>
      <w:tr w:rsidR="004A10BD" w:rsidRPr="004A10BD" w14:paraId="0307F1E3" w14:textId="77777777" w:rsidTr="00705040">
        <w:tc>
          <w:tcPr>
            <w:tcW w:w="4508" w:type="dxa"/>
          </w:tcPr>
          <w:p w14:paraId="4237F6C1" w14:textId="77777777" w:rsidR="004A10BD" w:rsidRPr="004A10BD" w:rsidRDefault="004A10BD" w:rsidP="000144C2">
            <w:pPr>
              <w:rPr>
                <w:rFonts w:asciiTheme="minorHAnsi" w:eastAsia="Times New Roman" w:hAnsiTheme="minorHAnsi" w:cstheme="minorHAnsi"/>
                <w:bCs/>
                <w:sz w:val="22"/>
                <w:u w:val="single"/>
                <w:lang w:eastAsia="fr-FR"/>
              </w:rPr>
            </w:pPr>
          </w:p>
        </w:tc>
        <w:tc>
          <w:tcPr>
            <w:tcW w:w="4508" w:type="dxa"/>
          </w:tcPr>
          <w:p w14:paraId="780215B6" w14:textId="77777777" w:rsidR="004A10BD" w:rsidRPr="004A10BD" w:rsidRDefault="004A10BD" w:rsidP="000144C2">
            <w:pPr>
              <w:rPr>
                <w:rFonts w:asciiTheme="minorHAnsi" w:hAnsiTheme="minorHAnsi" w:cstheme="minorHAnsi"/>
                <w:sz w:val="22"/>
                <w:u w:val="single"/>
              </w:rPr>
            </w:pPr>
          </w:p>
        </w:tc>
      </w:tr>
      <w:tr w:rsidR="004A10BD" w:rsidRPr="004A10BD" w14:paraId="240D2A2A" w14:textId="77777777" w:rsidTr="00705040">
        <w:tc>
          <w:tcPr>
            <w:tcW w:w="4508" w:type="dxa"/>
          </w:tcPr>
          <w:p w14:paraId="63AB13CB" w14:textId="351CB111" w:rsidR="004A10BD" w:rsidRPr="00882239" w:rsidRDefault="004A10BD" w:rsidP="00882239">
            <w:pPr>
              <w:pStyle w:val="Lijstalinea"/>
              <w:keepLines/>
              <w:numPr>
                <w:ilvl w:val="0"/>
                <w:numId w:val="4"/>
              </w:numPr>
              <w:jc w:val="both"/>
              <w:rPr>
                <w:rFonts w:asciiTheme="minorHAnsi" w:hAnsiTheme="minorHAnsi" w:cstheme="minorHAnsi"/>
                <w:sz w:val="22"/>
                <w:lang w:val="fr-BE"/>
              </w:rPr>
            </w:pPr>
            <w:r w:rsidRPr="000144C2">
              <w:rPr>
                <w:rFonts w:asciiTheme="minorHAnsi" w:hAnsiTheme="minorHAnsi" w:cstheme="minorHAnsi"/>
                <w:bCs/>
                <w:sz w:val="22"/>
                <w:lang w:val="fr-BE" w:eastAsia="fr-FR"/>
              </w:rPr>
              <w:t>son adresse de messagerie principale et les adresses de messagerie employées comme alias (art. 126, § 1</w:t>
            </w:r>
            <w:r w:rsidRPr="000144C2">
              <w:rPr>
                <w:rFonts w:asciiTheme="minorHAnsi" w:hAnsiTheme="minorHAnsi" w:cstheme="minorHAnsi"/>
                <w:bCs/>
                <w:sz w:val="22"/>
                <w:vertAlign w:val="superscript"/>
                <w:lang w:val="fr-BE" w:eastAsia="fr-FR"/>
              </w:rPr>
              <w:t>er</w:t>
            </w:r>
            <w:r w:rsidRPr="000144C2">
              <w:rPr>
                <w:rFonts w:asciiTheme="minorHAnsi" w:hAnsiTheme="minorHAnsi" w:cstheme="minorHAnsi"/>
                <w:bCs/>
                <w:sz w:val="22"/>
                <w:lang w:val="fr-BE" w:eastAsia="fr-FR"/>
              </w:rPr>
              <w:t>, 11°) ;</w:t>
            </w:r>
          </w:p>
        </w:tc>
        <w:tc>
          <w:tcPr>
            <w:tcW w:w="4508" w:type="dxa"/>
          </w:tcPr>
          <w:p w14:paraId="35233DF8" w14:textId="096DB017" w:rsidR="004A10BD" w:rsidRPr="00882239" w:rsidRDefault="004A10BD" w:rsidP="00882239">
            <w:pPr>
              <w:pStyle w:val="Lijstalinea"/>
              <w:keepLines/>
              <w:numPr>
                <w:ilvl w:val="0"/>
                <w:numId w:val="4"/>
              </w:numPr>
              <w:jc w:val="both"/>
              <w:rPr>
                <w:rFonts w:asciiTheme="minorHAnsi" w:hAnsiTheme="minorHAnsi" w:cstheme="minorHAnsi"/>
                <w:sz w:val="22"/>
              </w:rPr>
            </w:pPr>
            <w:r w:rsidRPr="000144C2">
              <w:rPr>
                <w:rFonts w:asciiTheme="minorHAnsi" w:hAnsiTheme="minorHAnsi" w:cstheme="minorHAnsi"/>
                <w:sz w:val="22"/>
              </w:rPr>
              <w:t>zijn voornaamste e-mailadres en de e-mailadressen die worden gebruikt als alias (art. 126, § 1, 11°);</w:t>
            </w:r>
          </w:p>
        </w:tc>
      </w:tr>
      <w:tr w:rsidR="004A10BD" w:rsidRPr="004A10BD" w14:paraId="2D3866BB" w14:textId="77777777" w:rsidTr="00705040">
        <w:tc>
          <w:tcPr>
            <w:tcW w:w="4508" w:type="dxa"/>
          </w:tcPr>
          <w:p w14:paraId="187F3CC5" w14:textId="77777777" w:rsidR="004A10BD" w:rsidRPr="004A10BD" w:rsidRDefault="004A10BD" w:rsidP="00882239">
            <w:pPr>
              <w:jc w:val="both"/>
              <w:rPr>
                <w:rFonts w:asciiTheme="minorHAnsi" w:eastAsia="Times New Roman" w:hAnsiTheme="minorHAnsi" w:cstheme="minorHAnsi"/>
                <w:bCs/>
                <w:sz w:val="22"/>
                <w:u w:val="single"/>
                <w:lang w:eastAsia="fr-FR"/>
              </w:rPr>
            </w:pPr>
          </w:p>
        </w:tc>
        <w:tc>
          <w:tcPr>
            <w:tcW w:w="4508" w:type="dxa"/>
          </w:tcPr>
          <w:p w14:paraId="644B062A" w14:textId="77777777" w:rsidR="004A10BD" w:rsidRPr="004A10BD" w:rsidRDefault="004A10BD" w:rsidP="00882239">
            <w:pPr>
              <w:jc w:val="both"/>
              <w:rPr>
                <w:rFonts w:asciiTheme="minorHAnsi" w:hAnsiTheme="minorHAnsi" w:cstheme="minorHAnsi"/>
                <w:sz w:val="22"/>
                <w:u w:val="single"/>
              </w:rPr>
            </w:pPr>
          </w:p>
        </w:tc>
      </w:tr>
      <w:tr w:rsidR="004A10BD" w:rsidRPr="004A10BD" w14:paraId="042DB8A4" w14:textId="77777777" w:rsidTr="00705040">
        <w:tc>
          <w:tcPr>
            <w:tcW w:w="4508" w:type="dxa"/>
          </w:tcPr>
          <w:p w14:paraId="42E77837" w14:textId="31B87530" w:rsidR="004A10BD" w:rsidRPr="007C196F" w:rsidRDefault="004A10BD" w:rsidP="00882239">
            <w:pPr>
              <w:pStyle w:val="Lijstalinea"/>
              <w:keepLines/>
              <w:numPr>
                <w:ilvl w:val="0"/>
                <w:numId w:val="4"/>
              </w:numPr>
              <w:jc w:val="both"/>
              <w:rPr>
                <w:rFonts w:asciiTheme="minorHAnsi" w:hAnsiTheme="minorHAnsi" w:cstheme="minorHAnsi"/>
                <w:sz w:val="22"/>
              </w:rPr>
            </w:pPr>
            <w:proofErr w:type="spellStart"/>
            <w:r w:rsidRPr="000144C2">
              <w:rPr>
                <w:rFonts w:asciiTheme="minorHAnsi" w:hAnsiTheme="minorHAnsi" w:cstheme="minorHAnsi"/>
                <w:bCs/>
                <w:sz w:val="22"/>
                <w:lang w:eastAsia="fr-FR"/>
              </w:rPr>
              <w:t>son</w:t>
            </w:r>
            <w:proofErr w:type="spellEnd"/>
            <w:r w:rsidRPr="000144C2">
              <w:rPr>
                <w:rFonts w:asciiTheme="minorHAnsi" w:hAnsiTheme="minorHAnsi" w:cstheme="minorHAnsi"/>
                <w:bCs/>
                <w:sz w:val="22"/>
                <w:lang w:eastAsia="fr-FR"/>
              </w:rPr>
              <w:t xml:space="preserve"> IMSI (art. 126, § 1</w:t>
            </w:r>
            <w:r w:rsidRPr="000144C2">
              <w:rPr>
                <w:rFonts w:asciiTheme="minorHAnsi" w:hAnsiTheme="minorHAnsi" w:cstheme="minorHAnsi"/>
                <w:bCs/>
                <w:sz w:val="22"/>
                <w:vertAlign w:val="superscript"/>
                <w:lang w:eastAsia="fr-FR"/>
              </w:rPr>
              <w:t>er</w:t>
            </w:r>
            <w:r w:rsidRPr="000144C2">
              <w:rPr>
                <w:rFonts w:asciiTheme="minorHAnsi" w:hAnsiTheme="minorHAnsi" w:cstheme="minorHAnsi"/>
                <w:bCs/>
                <w:sz w:val="22"/>
                <w:lang w:eastAsia="fr-FR"/>
              </w:rPr>
              <w:t>, 12°) ;</w:t>
            </w:r>
          </w:p>
        </w:tc>
        <w:tc>
          <w:tcPr>
            <w:tcW w:w="4508" w:type="dxa"/>
          </w:tcPr>
          <w:p w14:paraId="44FB9FC9" w14:textId="1B6CF7FF" w:rsidR="004A10BD" w:rsidRPr="007C196F" w:rsidRDefault="004A10BD" w:rsidP="00882239">
            <w:pPr>
              <w:pStyle w:val="Lijstalinea"/>
              <w:keepLines/>
              <w:numPr>
                <w:ilvl w:val="0"/>
                <w:numId w:val="4"/>
              </w:numPr>
              <w:jc w:val="both"/>
              <w:rPr>
                <w:rFonts w:asciiTheme="minorHAnsi" w:hAnsiTheme="minorHAnsi" w:cstheme="minorHAnsi"/>
                <w:sz w:val="22"/>
              </w:rPr>
            </w:pPr>
            <w:r w:rsidRPr="000144C2">
              <w:rPr>
                <w:rFonts w:asciiTheme="minorHAnsi" w:hAnsiTheme="minorHAnsi" w:cstheme="minorHAnsi"/>
                <w:sz w:val="22"/>
              </w:rPr>
              <w:t>zijn IMSI (art. 126, § 1, 12°);</w:t>
            </w:r>
          </w:p>
        </w:tc>
      </w:tr>
      <w:tr w:rsidR="004A10BD" w:rsidRPr="004A10BD" w14:paraId="340332B3" w14:textId="77777777" w:rsidTr="00705040">
        <w:tc>
          <w:tcPr>
            <w:tcW w:w="4508" w:type="dxa"/>
          </w:tcPr>
          <w:p w14:paraId="3E584E2E" w14:textId="77777777" w:rsidR="004A10BD" w:rsidRPr="004A10BD" w:rsidRDefault="004A10BD" w:rsidP="00882239">
            <w:pPr>
              <w:jc w:val="both"/>
              <w:rPr>
                <w:rFonts w:asciiTheme="minorHAnsi" w:eastAsia="Times New Roman" w:hAnsiTheme="minorHAnsi" w:cstheme="minorHAnsi"/>
                <w:bCs/>
                <w:sz w:val="22"/>
                <w:u w:val="single"/>
                <w:lang w:eastAsia="fr-FR"/>
              </w:rPr>
            </w:pPr>
          </w:p>
        </w:tc>
        <w:tc>
          <w:tcPr>
            <w:tcW w:w="4508" w:type="dxa"/>
          </w:tcPr>
          <w:p w14:paraId="5CBC0470" w14:textId="77777777" w:rsidR="004A10BD" w:rsidRPr="004A10BD" w:rsidRDefault="004A10BD" w:rsidP="00882239">
            <w:pPr>
              <w:jc w:val="both"/>
              <w:rPr>
                <w:rFonts w:asciiTheme="minorHAnsi" w:hAnsiTheme="minorHAnsi" w:cstheme="minorHAnsi"/>
                <w:sz w:val="22"/>
                <w:u w:val="single"/>
              </w:rPr>
            </w:pPr>
          </w:p>
        </w:tc>
      </w:tr>
      <w:tr w:rsidR="004A10BD" w:rsidRPr="004A10BD" w14:paraId="23FDA2B3" w14:textId="77777777" w:rsidTr="00705040">
        <w:tc>
          <w:tcPr>
            <w:tcW w:w="4508" w:type="dxa"/>
          </w:tcPr>
          <w:p w14:paraId="0130F08E" w14:textId="5DB76095" w:rsidR="004A10BD" w:rsidRPr="007C196F" w:rsidRDefault="004A10BD" w:rsidP="00882239">
            <w:pPr>
              <w:pStyle w:val="Lijstalinea"/>
              <w:keepLines/>
              <w:numPr>
                <w:ilvl w:val="0"/>
                <w:numId w:val="4"/>
              </w:numPr>
              <w:jc w:val="both"/>
              <w:rPr>
                <w:rFonts w:asciiTheme="minorHAnsi" w:hAnsiTheme="minorHAnsi" w:cstheme="minorHAnsi"/>
                <w:sz w:val="22"/>
              </w:rPr>
            </w:pPr>
            <w:proofErr w:type="spellStart"/>
            <w:r w:rsidRPr="000144C2">
              <w:rPr>
                <w:rFonts w:asciiTheme="minorHAnsi" w:hAnsiTheme="minorHAnsi" w:cstheme="minorHAnsi"/>
                <w:bCs/>
                <w:sz w:val="22"/>
                <w:lang w:eastAsia="fr-FR"/>
              </w:rPr>
              <w:t>son</w:t>
            </w:r>
            <w:proofErr w:type="spellEnd"/>
            <w:r w:rsidRPr="000144C2">
              <w:rPr>
                <w:rFonts w:asciiTheme="minorHAnsi" w:hAnsiTheme="minorHAnsi" w:cstheme="minorHAnsi"/>
                <w:bCs/>
                <w:sz w:val="22"/>
                <w:lang w:eastAsia="fr-FR"/>
              </w:rPr>
              <w:t xml:space="preserve"> SUPI (art. 126, § 1</w:t>
            </w:r>
            <w:r w:rsidRPr="000144C2">
              <w:rPr>
                <w:rFonts w:asciiTheme="minorHAnsi" w:hAnsiTheme="minorHAnsi" w:cstheme="minorHAnsi"/>
                <w:bCs/>
                <w:sz w:val="22"/>
                <w:vertAlign w:val="superscript"/>
                <w:lang w:eastAsia="fr-FR"/>
              </w:rPr>
              <w:t>er</w:t>
            </w:r>
            <w:r w:rsidRPr="000144C2">
              <w:rPr>
                <w:rFonts w:asciiTheme="minorHAnsi" w:hAnsiTheme="minorHAnsi" w:cstheme="minorHAnsi"/>
                <w:bCs/>
                <w:sz w:val="22"/>
                <w:lang w:eastAsia="fr-FR"/>
              </w:rPr>
              <w:t>, 13°) ;</w:t>
            </w:r>
          </w:p>
        </w:tc>
        <w:tc>
          <w:tcPr>
            <w:tcW w:w="4508" w:type="dxa"/>
          </w:tcPr>
          <w:p w14:paraId="4D893686" w14:textId="068A6524" w:rsidR="004A10BD" w:rsidRPr="007C196F" w:rsidRDefault="004A10BD" w:rsidP="00882239">
            <w:pPr>
              <w:pStyle w:val="Lijstalinea"/>
              <w:keepLines/>
              <w:numPr>
                <w:ilvl w:val="0"/>
                <w:numId w:val="4"/>
              </w:numPr>
              <w:jc w:val="both"/>
              <w:rPr>
                <w:rFonts w:asciiTheme="minorHAnsi" w:hAnsiTheme="minorHAnsi" w:cstheme="minorHAnsi"/>
                <w:sz w:val="22"/>
              </w:rPr>
            </w:pPr>
            <w:r w:rsidRPr="000144C2">
              <w:rPr>
                <w:rFonts w:asciiTheme="minorHAnsi" w:hAnsiTheme="minorHAnsi" w:cstheme="minorHAnsi"/>
                <w:sz w:val="22"/>
              </w:rPr>
              <w:t>zijn SUPI (art. 126, § 1, 13°);</w:t>
            </w:r>
          </w:p>
        </w:tc>
      </w:tr>
      <w:tr w:rsidR="004A10BD" w:rsidRPr="004A10BD" w14:paraId="560CCBE5" w14:textId="77777777" w:rsidTr="00705040">
        <w:tc>
          <w:tcPr>
            <w:tcW w:w="4508" w:type="dxa"/>
          </w:tcPr>
          <w:p w14:paraId="65D9E77C" w14:textId="77777777" w:rsidR="004A10BD" w:rsidRPr="004A10BD" w:rsidRDefault="004A10BD" w:rsidP="00882239">
            <w:pPr>
              <w:jc w:val="both"/>
              <w:rPr>
                <w:rFonts w:asciiTheme="minorHAnsi" w:eastAsia="Times New Roman" w:hAnsiTheme="minorHAnsi" w:cstheme="minorHAnsi"/>
                <w:bCs/>
                <w:sz w:val="22"/>
                <w:u w:val="single"/>
                <w:lang w:eastAsia="fr-FR"/>
              </w:rPr>
            </w:pPr>
          </w:p>
        </w:tc>
        <w:tc>
          <w:tcPr>
            <w:tcW w:w="4508" w:type="dxa"/>
          </w:tcPr>
          <w:p w14:paraId="73927E86" w14:textId="77777777" w:rsidR="004A10BD" w:rsidRPr="004A10BD" w:rsidRDefault="004A10BD" w:rsidP="00882239">
            <w:pPr>
              <w:jc w:val="both"/>
              <w:rPr>
                <w:rFonts w:asciiTheme="minorHAnsi" w:hAnsiTheme="minorHAnsi" w:cstheme="minorHAnsi"/>
                <w:sz w:val="22"/>
                <w:u w:val="single"/>
              </w:rPr>
            </w:pPr>
          </w:p>
        </w:tc>
      </w:tr>
      <w:tr w:rsidR="004A10BD" w:rsidRPr="004A10BD" w14:paraId="61BB99E5" w14:textId="77777777" w:rsidTr="00705040">
        <w:tc>
          <w:tcPr>
            <w:tcW w:w="4508" w:type="dxa"/>
          </w:tcPr>
          <w:p w14:paraId="40D2E695" w14:textId="7E62BC5E" w:rsidR="004A10BD" w:rsidRPr="007C196F" w:rsidRDefault="004A10BD" w:rsidP="00882239">
            <w:pPr>
              <w:pStyle w:val="Lijstalinea"/>
              <w:keepLines/>
              <w:numPr>
                <w:ilvl w:val="0"/>
                <w:numId w:val="4"/>
              </w:numPr>
              <w:jc w:val="both"/>
              <w:rPr>
                <w:rFonts w:asciiTheme="minorHAnsi" w:hAnsiTheme="minorHAnsi" w:cstheme="minorHAnsi"/>
                <w:sz w:val="22"/>
              </w:rPr>
            </w:pPr>
            <w:proofErr w:type="spellStart"/>
            <w:r w:rsidRPr="000144C2">
              <w:rPr>
                <w:rFonts w:asciiTheme="minorHAnsi" w:hAnsiTheme="minorHAnsi" w:cstheme="minorHAnsi"/>
                <w:bCs/>
                <w:sz w:val="22"/>
                <w:lang w:eastAsia="fr-FR"/>
              </w:rPr>
              <w:t>son</w:t>
            </w:r>
            <w:proofErr w:type="spellEnd"/>
            <w:r w:rsidRPr="000144C2">
              <w:rPr>
                <w:rFonts w:asciiTheme="minorHAnsi" w:hAnsiTheme="minorHAnsi" w:cstheme="minorHAnsi"/>
                <w:bCs/>
                <w:sz w:val="22"/>
                <w:lang w:eastAsia="fr-FR"/>
              </w:rPr>
              <w:t xml:space="preserve"> SUCI (art. 126, § 1</w:t>
            </w:r>
            <w:r w:rsidRPr="000144C2">
              <w:rPr>
                <w:rFonts w:asciiTheme="minorHAnsi" w:hAnsiTheme="minorHAnsi" w:cstheme="minorHAnsi"/>
                <w:bCs/>
                <w:sz w:val="22"/>
                <w:vertAlign w:val="superscript"/>
                <w:lang w:eastAsia="fr-FR"/>
              </w:rPr>
              <w:t>er</w:t>
            </w:r>
            <w:r w:rsidRPr="000144C2">
              <w:rPr>
                <w:rFonts w:asciiTheme="minorHAnsi" w:hAnsiTheme="minorHAnsi" w:cstheme="minorHAnsi"/>
                <w:bCs/>
                <w:sz w:val="22"/>
                <w:lang w:eastAsia="fr-FR"/>
              </w:rPr>
              <w:t>, 14°) ;</w:t>
            </w:r>
          </w:p>
        </w:tc>
        <w:tc>
          <w:tcPr>
            <w:tcW w:w="4508" w:type="dxa"/>
          </w:tcPr>
          <w:p w14:paraId="75E4B333" w14:textId="64128618" w:rsidR="004A10BD" w:rsidRPr="007C196F" w:rsidRDefault="004A10BD" w:rsidP="00882239">
            <w:pPr>
              <w:pStyle w:val="Lijstalinea"/>
              <w:keepLines/>
              <w:numPr>
                <w:ilvl w:val="0"/>
                <w:numId w:val="4"/>
              </w:numPr>
              <w:jc w:val="both"/>
              <w:rPr>
                <w:rFonts w:asciiTheme="minorHAnsi" w:hAnsiTheme="minorHAnsi" w:cstheme="minorHAnsi"/>
                <w:sz w:val="22"/>
              </w:rPr>
            </w:pPr>
            <w:r w:rsidRPr="000144C2">
              <w:rPr>
                <w:rFonts w:asciiTheme="minorHAnsi" w:hAnsiTheme="minorHAnsi" w:cstheme="minorHAnsi"/>
                <w:sz w:val="22"/>
              </w:rPr>
              <w:t>zijn SUCI (art. 126, § 1, 14°);</w:t>
            </w:r>
          </w:p>
        </w:tc>
      </w:tr>
      <w:tr w:rsidR="004A10BD" w:rsidRPr="004A10BD" w14:paraId="097687E3" w14:textId="77777777" w:rsidTr="00705040">
        <w:tc>
          <w:tcPr>
            <w:tcW w:w="4508" w:type="dxa"/>
          </w:tcPr>
          <w:p w14:paraId="750BD575" w14:textId="77777777" w:rsidR="004A10BD" w:rsidRPr="004A10BD" w:rsidRDefault="004A10BD" w:rsidP="00882239">
            <w:pPr>
              <w:jc w:val="both"/>
              <w:rPr>
                <w:rFonts w:asciiTheme="minorHAnsi" w:eastAsia="Times New Roman" w:hAnsiTheme="minorHAnsi" w:cstheme="minorHAnsi"/>
                <w:bCs/>
                <w:sz w:val="22"/>
                <w:u w:val="single"/>
                <w:lang w:eastAsia="fr-FR"/>
              </w:rPr>
            </w:pPr>
          </w:p>
        </w:tc>
        <w:tc>
          <w:tcPr>
            <w:tcW w:w="4508" w:type="dxa"/>
          </w:tcPr>
          <w:p w14:paraId="6208DF97" w14:textId="77777777" w:rsidR="004A10BD" w:rsidRPr="004A10BD" w:rsidRDefault="004A10BD" w:rsidP="00882239">
            <w:pPr>
              <w:jc w:val="both"/>
              <w:rPr>
                <w:rFonts w:asciiTheme="minorHAnsi" w:hAnsiTheme="minorHAnsi" w:cstheme="minorHAnsi"/>
                <w:sz w:val="22"/>
                <w:u w:val="single"/>
              </w:rPr>
            </w:pPr>
          </w:p>
        </w:tc>
      </w:tr>
      <w:tr w:rsidR="007C196F" w:rsidRPr="007C196F" w14:paraId="474E61F9" w14:textId="77777777" w:rsidTr="00705040">
        <w:tc>
          <w:tcPr>
            <w:tcW w:w="4508" w:type="dxa"/>
          </w:tcPr>
          <w:p w14:paraId="083CCFCF" w14:textId="3D8B4D8B" w:rsidR="007C196F" w:rsidRPr="007C196F" w:rsidRDefault="007C196F" w:rsidP="00882239">
            <w:pPr>
              <w:pStyle w:val="Lijstalinea"/>
              <w:numPr>
                <w:ilvl w:val="0"/>
                <w:numId w:val="4"/>
              </w:numPr>
              <w:jc w:val="both"/>
              <w:rPr>
                <w:rFonts w:asciiTheme="minorHAnsi" w:eastAsia="Times New Roman" w:hAnsiTheme="minorHAnsi" w:cstheme="minorHAnsi"/>
                <w:bCs/>
                <w:sz w:val="22"/>
                <w:u w:val="single"/>
                <w:lang w:val="fr-BE" w:eastAsia="fr-FR"/>
              </w:rPr>
            </w:pPr>
            <w:r w:rsidRPr="007C196F">
              <w:rPr>
                <w:rFonts w:ascii="Calibri" w:hAnsi="Calibri" w:cs="Calibri"/>
                <w:bCs/>
                <w:sz w:val="22"/>
                <w:lang w:val="fr-BE" w:eastAsia="fr-FR"/>
              </w:rPr>
              <w:t>l’identifiant de l’équipement terminal du destinataire, ou lorsque l’opérateur ne le traite pas ou ne le génère pas, l’identifiant de l’équipement qui est le plus proche de cet équipement terminal, à savoir notamment l’IMEI, le PEI ou l’adresse MAC (art. 126, § 1</w:t>
            </w:r>
            <w:r w:rsidRPr="007C196F">
              <w:rPr>
                <w:rFonts w:ascii="Calibri" w:hAnsi="Calibri" w:cs="Calibri"/>
                <w:bCs/>
                <w:sz w:val="22"/>
                <w:vertAlign w:val="superscript"/>
                <w:lang w:val="fr-BE" w:eastAsia="fr-FR"/>
              </w:rPr>
              <w:t>er</w:t>
            </w:r>
            <w:r w:rsidRPr="007C196F">
              <w:rPr>
                <w:rFonts w:ascii="Calibri" w:hAnsi="Calibri" w:cs="Calibri"/>
                <w:bCs/>
                <w:sz w:val="22"/>
                <w:lang w:val="fr-BE" w:eastAsia="fr-FR"/>
              </w:rPr>
              <w:t>, 16°).</w:t>
            </w:r>
          </w:p>
        </w:tc>
        <w:tc>
          <w:tcPr>
            <w:tcW w:w="4508" w:type="dxa"/>
          </w:tcPr>
          <w:p w14:paraId="1FFCFBA3" w14:textId="3160AD5C" w:rsidR="007C196F" w:rsidRPr="007C196F" w:rsidRDefault="007C196F" w:rsidP="00882239">
            <w:pPr>
              <w:pStyle w:val="Lijstalinea"/>
              <w:numPr>
                <w:ilvl w:val="0"/>
                <w:numId w:val="4"/>
              </w:numPr>
              <w:jc w:val="both"/>
              <w:rPr>
                <w:rFonts w:asciiTheme="minorHAnsi" w:hAnsiTheme="minorHAnsi" w:cstheme="minorHAnsi"/>
                <w:sz w:val="22"/>
                <w:u w:val="single"/>
              </w:rPr>
            </w:pPr>
            <w:r w:rsidRPr="007C196F">
              <w:rPr>
                <w:rFonts w:asciiTheme="minorHAnsi" w:hAnsiTheme="minorHAnsi" w:cstheme="minorHAnsi"/>
                <w:sz w:val="22"/>
              </w:rPr>
              <w:t xml:space="preserve">de </w:t>
            </w:r>
            <w:proofErr w:type="spellStart"/>
            <w:r w:rsidR="00D169DD">
              <w:rPr>
                <w:rFonts w:asciiTheme="minorHAnsi" w:hAnsiTheme="minorHAnsi" w:cstheme="minorHAnsi"/>
                <w:sz w:val="22"/>
              </w:rPr>
              <w:t>identifi</w:t>
            </w:r>
            <w:r w:rsidR="0005635B">
              <w:rPr>
                <w:rFonts w:asciiTheme="minorHAnsi" w:hAnsiTheme="minorHAnsi" w:cstheme="minorHAnsi"/>
                <w:sz w:val="22"/>
              </w:rPr>
              <w:t>er</w:t>
            </w:r>
            <w:proofErr w:type="spellEnd"/>
            <w:r w:rsidRPr="007C196F">
              <w:rPr>
                <w:rFonts w:asciiTheme="minorHAnsi" w:hAnsiTheme="minorHAnsi" w:cstheme="minorHAnsi"/>
                <w:sz w:val="22"/>
              </w:rPr>
              <w:t xml:space="preserve"> van de eindapparatuur van de geadresseerde, of indien de operator dit niet verwerkt of genereert, de </w:t>
            </w:r>
            <w:proofErr w:type="spellStart"/>
            <w:r w:rsidR="00D169DD">
              <w:rPr>
                <w:rFonts w:asciiTheme="minorHAnsi" w:hAnsiTheme="minorHAnsi" w:cstheme="minorHAnsi"/>
                <w:sz w:val="22"/>
              </w:rPr>
              <w:t>identifi</w:t>
            </w:r>
            <w:r w:rsidR="0005635B">
              <w:rPr>
                <w:rFonts w:asciiTheme="minorHAnsi" w:hAnsiTheme="minorHAnsi" w:cstheme="minorHAnsi"/>
                <w:sz w:val="22"/>
              </w:rPr>
              <w:t>er</w:t>
            </w:r>
            <w:proofErr w:type="spellEnd"/>
            <w:r w:rsidRPr="007C196F">
              <w:rPr>
                <w:rFonts w:asciiTheme="minorHAnsi" w:hAnsiTheme="minorHAnsi" w:cstheme="minorHAnsi"/>
                <w:sz w:val="22"/>
              </w:rPr>
              <w:t xml:space="preserve"> van de apparatuur die zich het dichtst bij die eindapparatuur bevindt, met name de IMEI, de PEI of het MAC-adres (art. 126, § 1, 16°).</w:t>
            </w:r>
          </w:p>
        </w:tc>
      </w:tr>
      <w:tr w:rsidR="007C196F" w:rsidRPr="007C196F" w14:paraId="00277D0B" w14:textId="77777777" w:rsidTr="00705040">
        <w:tc>
          <w:tcPr>
            <w:tcW w:w="4508" w:type="dxa"/>
          </w:tcPr>
          <w:p w14:paraId="08968389" w14:textId="77777777" w:rsidR="007C196F" w:rsidRPr="007C196F" w:rsidRDefault="007C196F" w:rsidP="000144C2">
            <w:pPr>
              <w:rPr>
                <w:rFonts w:asciiTheme="minorHAnsi" w:eastAsia="Times New Roman" w:hAnsiTheme="minorHAnsi" w:cstheme="minorHAnsi"/>
                <w:bCs/>
                <w:sz w:val="22"/>
                <w:u w:val="single"/>
                <w:lang w:eastAsia="fr-FR"/>
              </w:rPr>
            </w:pPr>
          </w:p>
        </w:tc>
        <w:tc>
          <w:tcPr>
            <w:tcW w:w="4508" w:type="dxa"/>
          </w:tcPr>
          <w:p w14:paraId="1140DB3D" w14:textId="77777777" w:rsidR="007C196F" w:rsidRPr="007C196F" w:rsidRDefault="007C196F" w:rsidP="000144C2">
            <w:pPr>
              <w:rPr>
                <w:rFonts w:asciiTheme="minorHAnsi" w:hAnsiTheme="minorHAnsi" w:cstheme="minorHAnsi"/>
                <w:sz w:val="22"/>
                <w:u w:val="single"/>
              </w:rPr>
            </w:pPr>
          </w:p>
        </w:tc>
      </w:tr>
      <w:tr w:rsidR="004A10BD" w:rsidRPr="002F7AA5" w14:paraId="7BD255F3" w14:textId="77777777" w:rsidTr="00705040">
        <w:tc>
          <w:tcPr>
            <w:tcW w:w="4508" w:type="dxa"/>
          </w:tcPr>
          <w:p w14:paraId="1520D5C5" w14:textId="425A1DF3" w:rsidR="004A10BD" w:rsidRPr="000144C2" w:rsidRDefault="004A10BD" w:rsidP="00882239">
            <w:pPr>
              <w:jc w:val="both"/>
              <w:rPr>
                <w:rFonts w:asciiTheme="minorHAnsi" w:hAnsiTheme="minorHAnsi" w:cstheme="minorHAnsi"/>
                <w:sz w:val="22"/>
                <w:lang w:val="fr-BE"/>
              </w:rPr>
            </w:pPr>
            <w:r w:rsidRPr="000144C2">
              <w:rPr>
                <w:rFonts w:asciiTheme="minorHAnsi" w:eastAsia="Times New Roman" w:hAnsiTheme="minorHAnsi" w:cstheme="minorHAnsi"/>
                <w:bCs/>
                <w:sz w:val="22"/>
                <w:u w:val="single"/>
                <w:lang w:val="fr-BE" w:eastAsia="fr-FR"/>
              </w:rPr>
              <w:t>L’adresse IP du destinataire, l’horodatage et le port attribué en cas d'utilisation partagée (3°)</w:t>
            </w:r>
          </w:p>
        </w:tc>
        <w:tc>
          <w:tcPr>
            <w:tcW w:w="4508" w:type="dxa"/>
          </w:tcPr>
          <w:p w14:paraId="27B592ED" w14:textId="163BBBF6" w:rsidR="004A10BD" w:rsidRPr="000144C2" w:rsidRDefault="004A10BD" w:rsidP="00882239">
            <w:pPr>
              <w:jc w:val="both"/>
              <w:rPr>
                <w:rFonts w:asciiTheme="minorHAnsi" w:hAnsiTheme="minorHAnsi" w:cstheme="minorHAnsi"/>
                <w:sz w:val="22"/>
              </w:rPr>
            </w:pPr>
            <w:r w:rsidRPr="000144C2">
              <w:rPr>
                <w:rFonts w:asciiTheme="minorHAnsi" w:hAnsiTheme="minorHAnsi" w:cstheme="minorHAnsi"/>
                <w:sz w:val="22"/>
                <w:u w:val="single"/>
              </w:rPr>
              <w:t>Het IP-adres van de geadresseerde, het tijdstempel en de toegewezen poort in geval van het gedeelde gebruik (3°)</w:t>
            </w:r>
          </w:p>
        </w:tc>
      </w:tr>
      <w:tr w:rsidR="007C196F" w:rsidRPr="002F7AA5" w14:paraId="5EB511FF" w14:textId="77777777" w:rsidTr="00705040">
        <w:tc>
          <w:tcPr>
            <w:tcW w:w="4508" w:type="dxa"/>
          </w:tcPr>
          <w:p w14:paraId="172708A0" w14:textId="77777777" w:rsidR="007C196F" w:rsidRPr="00C462D9" w:rsidRDefault="007C196F" w:rsidP="00882239">
            <w:pPr>
              <w:jc w:val="both"/>
              <w:rPr>
                <w:rFonts w:asciiTheme="minorHAnsi" w:eastAsia="Times New Roman" w:hAnsiTheme="minorHAnsi" w:cstheme="minorHAnsi"/>
                <w:bCs/>
                <w:sz w:val="22"/>
                <w:u w:val="single"/>
                <w:lang w:eastAsia="fr-FR"/>
              </w:rPr>
            </w:pPr>
          </w:p>
        </w:tc>
        <w:tc>
          <w:tcPr>
            <w:tcW w:w="4508" w:type="dxa"/>
          </w:tcPr>
          <w:p w14:paraId="4F828F02" w14:textId="77777777" w:rsidR="007C196F" w:rsidRPr="000144C2" w:rsidRDefault="007C196F" w:rsidP="00882239">
            <w:pPr>
              <w:jc w:val="both"/>
              <w:rPr>
                <w:rFonts w:asciiTheme="minorHAnsi" w:hAnsiTheme="minorHAnsi" w:cstheme="minorHAnsi"/>
                <w:sz w:val="22"/>
                <w:u w:val="single"/>
              </w:rPr>
            </w:pPr>
          </w:p>
        </w:tc>
      </w:tr>
      <w:tr w:rsidR="004A10BD" w:rsidRPr="002F7AA5" w14:paraId="75C7525D" w14:textId="77777777" w:rsidTr="00705040">
        <w:tc>
          <w:tcPr>
            <w:tcW w:w="4508" w:type="dxa"/>
          </w:tcPr>
          <w:p w14:paraId="4F3852E6" w14:textId="1CC512DE" w:rsidR="004A10BD" w:rsidRPr="00C462D9" w:rsidRDefault="004A10BD" w:rsidP="007C196F">
            <w:pPr>
              <w:jc w:val="both"/>
              <w:rPr>
                <w:rFonts w:asciiTheme="minorHAnsi" w:hAnsiTheme="minorHAnsi" w:cstheme="minorHAnsi"/>
                <w:sz w:val="22"/>
                <w:lang w:val="fr-BE"/>
              </w:rPr>
            </w:pPr>
            <w:r w:rsidRPr="000144C2">
              <w:rPr>
                <w:rFonts w:asciiTheme="minorHAnsi" w:eastAsia="Times New Roman" w:hAnsiTheme="minorHAnsi" w:cstheme="minorHAnsi"/>
                <w:bCs/>
                <w:sz w:val="22"/>
                <w:lang w:val="fr-BE" w:eastAsia="fr-FR"/>
              </w:rPr>
              <w:t xml:space="preserve">Cette donnée est conservée pour ce qui concerne les services de communications électroniques autres que les services d’accès à internet.  En effet, comme l’a rappelé l’Autorité de protection des données dans son avis n° 108/2021 du 28 juin 2021, la conservation des données de trafic ne doit pas contenir ou permettre de déduire </w:t>
            </w:r>
            <w:r w:rsidR="002A20E3" w:rsidRPr="000144C2">
              <w:rPr>
                <w:rFonts w:asciiTheme="minorHAnsi" w:eastAsia="Times New Roman" w:hAnsiTheme="minorHAnsi" w:cstheme="minorHAnsi"/>
                <w:bCs/>
                <w:sz w:val="22"/>
                <w:lang w:val="fr-BE" w:eastAsia="fr-FR"/>
              </w:rPr>
              <w:t>l’</w:t>
            </w:r>
            <w:r w:rsidR="002A20E3">
              <w:rPr>
                <w:rFonts w:asciiTheme="minorHAnsi" w:eastAsia="Times New Roman" w:hAnsiTheme="minorHAnsi" w:cstheme="minorHAnsi"/>
                <w:bCs/>
                <w:sz w:val="22"/>
                <w:lang w:val="fr-BE" w:eastAsia="fr-FR"/>
              </w:rPr>
              <w:t xml:space="preserve">URL </w:t>
            </w:r>
            <w:r w:rsidRPr="000144C2">
              <w:rPr>
                <w:rFonts w:asciiTheme="minorHAnsi" w:eastAsia="Times New Roman" w:hAnsiTheme="minorHAnsi" w:cstheme="minorHAnsi"/>
                <w:bCs/>
                <w:sz w:val="22"/>
                <w:lang w:val="fr-BE" w:eastAsia="fr-FR"/>
              </w:rPr>
              <w:t xml:space="preserve">spécifique des pages web visitées par les personnes concernées. Pour ce motif, la conservation de l’adresse IP de destination est exclue pour les services d’accès à internet.  Cependant, pour les services de téléphonie en Voice-over-IP, la conservation de l’adresse IP utilisée par le destinataire était déjà précédemment prévue par l’article 6, § 2, 2°, b) </w:t>
            </w:r>
            <w:r w:rsidR="002A20E3">
              <w:rPr>
                <w:rFonts w:asciiTheme="minorHAnsi" w:eastAsia="Times New Roman" w:hAnsiTheme="minorHAnsi" w:cstheme="minorHAnsi"/>
                <w:bCs/>
                <w:sz w:val="22"/>
                <w:lang w:val="fr-BE" w:eastAsia="fr-FR"/>
              </w:rPr>
              <w:t xml:space="preserve">de </w:t>
            </w:r>
            <w:r w:rsidRPr="000144C2">
              <w:rPr>
                <w:rFonts w:asciiTheme="minorHAnsi" w:eastAsia="Times New Roman" w:hAnsiTheme="minorHAnsi" w:cstheme="minorHAnsi"/>
                <w:bCs/>
                <w:sz w:val="22"/>
                <w:lang w:val="fr-BE" w:eastAsia="fr-FR"/>
              </w:rPr>
              <w:t xml:space="preserve">l’arrêté </w:t>
            </w:r>
            <w:r w:rsidRPr="000144C2">
              <w:rPr>
                <w:rFonts w:asciiTheme="minorHAnsi" w:hAnsiTheme="minorHAnsi" w:cstheme="minorHAnsi"/>
                <w:sz w:val="22"/>
                <w:lang w:val="fr-BE"/>
              </w:rPr>
              <w:t>royal du 19 septembre 2013.  Cette obligation est maintenue.</w:t>
            </w:r>
          </w:p>
        </w:tc>
        <w:tc>
          <w:tcPr>
            <w:tcW w:w="4508" w:type="dxa"/>
          </w:tcPr>
          <w:p w14:paraId="3ED112B4" w14:textId="6B9D0677"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rPr>
              <w:t xml:space="preserve">Dat gegeven wordt bewaard wat betreft andere elektronische-communicatiediensten dan de internettoegangsdiensten.  In haar advies nr. 108/2021 van 28 juni 2021 benadrukt de Gegevensbeschermingsautoriteit immers dat de bewaring van de verkeersgegevens geen specifieke URL van de door de betrokken personen bezochte websites mogen bevatten, of het niet mogelijk mag maken om dergelijke URL’s af te leiden. Om die reden, is de bewaring van het IP-adres van bestemming uitgesloten voor de internettoegangsdiensten.  Voor de Voice-over-IP-telefoniediensten was er echter in de bewaring van het IP-adres dat gebruikt wordt door de geadresseerde reeds voorzien door artikel 6, § 2, 2°, b), van het koninklijk besluit van </w:t>
            </w:r>
            <w:r w:rsidRPr="000144C2">
              <w:rPr>
                <w:rFonts w:asciiTheme="minorHAnsi" w:hAnsiTheme="minorHAnsi" w:cstheme="minorHAnsi"/>
                <w:sz w:val="22"/>
              </w:rPr>
              <w:lastRenderedPageBreak/>
              <w:t>19 september 2013.  Die verplichting wordt behouden.</w:t>
            </w:r>
          </w:p>
        </w:tc>
      </w:tr>
      <w:tr w:rsidR="007C196F" w:rsidRPr="002F7AA5" w14:paraId="2B00B6B2" w14:textId="77777777" w:rsidTr="00705040">
        <w:tc>
          <w:tcPr>
            <w:tcW w:w="4508" w:type="dxa"/>
          </w:tcPr>
          <w:p w14:paraId="3D175EF4" w14:textId="77777777" w:rsidR="007C196F" w:rsidRPr="000144C2" w:rsidRDefault="007C196F" w:rsidP="007C196F">
            <w:pPr>
              <w:jc w:val="both"/>
              <w:rPr>
                <w:rFonts w:asciiTheme="minorHAnsi" w:eastAsia="Times New Roman" w:hAnsiTheme="minorHAnsi" w:cstheme="minorHAnsi"/>
                <w:bCs/>
                <w:sz w:val="22"/>
                <w:lang w:val="fr-BE" w:eastAsia="fr-FR"/>
              </w:rPr>
            </w:pPr>
          </w:p>
        </w:tc>
        <w:tc>
          <w:tcPr>
            <w:tcW w:w="4508" w:type="dxa"/>
          </w:tcPr>
          <w:p w14:paraId="44A28CCF" w14:textId="77777777" w:rsidR="007C196F" w:rsidRPr="000144C2" w:rsidRDefault="007C196F" w:rsidP="007C196F">
            <w:pPr>
              <w:jc w:val="both"/>
              <w:rPr>
                <w:rFonts w:asciiTheme="minorHAnsi" w:hAnsiTheme="minorHAnsi" w:cstheme="minorHAnsi"/>
                <w:sz w:val="22"/>
              </w:rPr>
            </w:pPr>
          </w:p>
        </w:tc>
      </w:tr>
      <w:tr w:rsidR="004A10BD" w:rsidRPr="002F7AA5" w14:paraId="2152984D" w14:textId="77777777" w:rsidTr="00705040">
        <w:tc>
          <w:tcPr>
            <w:tcW w:w="4508" w:type="dxa"/>
          </w:tcPr>
          <w:p w14:paraId="7AAFA4DB" w14:textId="020DEEC2" w:rsidR="004A10BD" w:rsidRPr="000144C2" w:rsidRDefault="004A10BD" w:rsidP="007C196F">
            <w:pPr>
              <w:jc w:val="both"/>
              <w:rPr>
                <w:rFonts w:asciiTheme="minorHAnsi" w:hAnsiTheme="minorHAnsi" w:cstheme="minorHAnsi"/>
                <w:sz w:val="22"/>
                <w:lang w:val="fr-BE"/>
              </w:rPr>
            </w:pPr>
            <w:r w:rsidRPr="000144C2">
              <w:rPr>
                <w:rFonts w:asciiTheme="minorHAnsi" w:eastAsia="Times New Roman" w:hAnsiTheme="minorHAnsi" w:cstheme="minorHAnsi"/>
                <w:bCs/>
                <w:sz w:val="22"/>
                <w:u w:val="single"/>
                <w:lang w:val="fr-BE" w:eastAsia="fr-FR"/>
              </w:rPr>
              <w:t>L’identifiant unique pour les appels individuels (« SIP call ID »)  (4°)</w:t>
            </w:r>
          </w:p>
        </w:tc>
        <w:tc>
          <w:tcPr>
            <w:tcW w:w="4508" w:type="dxa"/>
          </w:tcPr>
          <w:p w14:paraId="3F545521" w14:textId="64E78001"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u w:val="single"/>
              </w:rPr>
              <w:t xml:space="preserve">De unieke </w:t>
            </w:r>
            <w:proofErr w:type="spellStart"/>
            <w:r w:rsidR="00D169DD">
              <w:rPr>
                <w:rFonts w:asciiTheme="minorHAnsi" w:hAnsiTheme="minorHAnsi" w:cstheme="minorHAnsi"/>
                <w:sz w:val="22"/>
                <w:u w:val="single"/>
              </w:rPr>
              <w:t>identifi</w:t>
            </w:r>
            <w:r w:rsidR="0005635B">
              <w:rPr>
                <w:rFonts w:asciiTheme="minorHAnsi" w:hAnsiTheme="minorHAnsi" w:cstheme="minorHAnsi"/>
                <w:sz w:val="22"/>
                <w:u w:val="single"/>
              </w:rPr>
              <w:t>er</w:t>
            </w:r>
            <w:proofErr w:type="spellEnd"/>
            <w:r w:rsidRPr="000144C2">
              <w:rPr>
                <w:rFonts w:asciiTheme="minorHAnsi" w:hAnsiTheme="minorHAnsi" w:cstheme="minorHAnsi"/>
                <w:sz w:val="22"/>
                <w:u w:val="single"/>
              </w:rPr>
              <w:t xml:space="preserve"> voor de individuele oproepen (“SIP call ID”)  (4°)</w:t>
            </w:r>
          </w:p>
        </w:tc>
      </w:tr>
      <w:tr w:rsidR="007C196F" w:rsidRPr="002F7AA5" w14:paraId="7A054CB0" w14:textId="77777777" w:rsidTr="00705040">
        <w:tc>
          <w:tcPr>
            <w:tcW w:w="4508" w:type="dxa"/>
          </w:tcPr>
          <w:p w14:paraId="2144870A" w14:textId="77777777" w:rsidR="007C196F" w:rsidRPr="00C462D9" w:rsidRDefault="007C196F" w:rsidP="007C196F">
            <w:pPr>
              <w:jc w:val="both"/>
              <w:rPr>
                <w:rFonts w:asciiTheme="minorHAnsi" w:eastAsia="Times New Roman" w:hAnsiTheme="minorHAnsi" w:cstheme="minorHAnsi"/>
                <w:bCs/>
                <w:sz w:val="22"/>
                <w:u w:val="single"/>
                <w:lang w:eastAsia="fr-FR"/>
              </w:rPr>
            </w:pPr>
          </w:p>
        </w:tc>
        <w:tc>
          <w:tcPr>
            <w:tcW w:w="4508" w:type="dxa"/>
          </w:tcPr>
          <w:p w14:paraId="5CFD3C75" w14:textId="77777777" w:rsidR="007C196F" w:rsidRPr="000144C2" w:rsidRDefault="007C196F" w:rsidP="007C196F">
            <w:pPr>
              <w:jc w:val="both"/>
              <w:rPr>
                <w:rFonts w:asciiTheme="minorHAnsi" w:hAnsiTheme="minorHAnsi" w:cstheme="minorHAnsi"/>
                <w:sz w:val="22"/>
                <w:u w:val="single"/>
              </w:rPr>
            </w:pPr>
          </w:p>
        </w:tc>
      </w:tr>
      <w:tr w:rsidR="004A10BD" w:rsidRPr="002F7AA5" w14:paraId="6EDE6441" w14:textId="77777777" w:rsidTr="00705040">
        <w:tc>
          <w:tcPr>
            <w:tcW w:w="4508" w:type="dxa"/>
          </w:tcPr>
          <w:p w14:paraId="78A9761F" w14:textId="2247E814" w:rsidR="004A10BD" w:rsidRPr="000144C2" w:rsidRDefault="004A10BD" w:rsidP="007C196F">
            <w:pPr>
              <w:jc w:val="both"/>
              <w:rPr>
                <w:rFonts w:asciiTheme="minorHAnsi" w:hAnsiTheme="minorHAnsi" w:cstheme="minorHAnsi"/>
                <w:sz w:val="22"/>
                <w:lang w:val="fr-BE"/>
              </w:rPr>
            </w:pPr>
            <w:r w:rsidRPr="000144C2">
              <w:rPr>
                <w:rFonts w:asciiTheme="minorHAnsi" w:eastAsia="Times New Roman" w:hAnsiTheme="minorHAnsi" w:cstheme="minorHAnsi"/>
                <w:bCs/>
                <w:sz w:val="22"/>
                <w:lang w:val="fr-BE" w:eastAsia="fr-FR"/>
              </w:rPr>
              <w:t xml:space="preserve">Le « SIP call ID » permet d’identifier chaque appel individuel en Voice-over-IP de façon fiable.  Le « SIP call ID » est une donnée importante à conserver puisqu’à l’avenir la majeure partie des appels téléphoniques est amenée à devenir du trafic SIP. </w:t>
            </w:r>
          </w:p>
        </w:tc>
        <w:tc>
          <w:tcPr>
            <w:tcW w:w="4508" w:type="dxa"/>
          </w:tcPr>
          <w:p w14:paraId="18256D4A" w14:textId="3B9F0DC6"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lang w:val="fr-BE"/>
              </w:rPr>
              <w:t xml:space="preserve"> </w:t>
            </w:r>
            <w:r w:rsidRPr="000144C2">
              <w:rPr>
                <w:rFonts w:asciiTheme="minorHAnsi" w:hAnsiTheme="minorHAnsi" w:cstheme="minorHAnsi"/>
                <w:sz w:val="22"/>
              </w:rPr>
              <w:t>De “SIP call ID” maakt het mogelijk elke individuele Voice-over-IP-oproep op een betrouwbare manier te identificeren.  De “SIP call ID” is een belangrijk te bewaren gegeven aangezien in de toekomst het grootste deel van de telefonische oproepen SIP-verkeer zal worden.</w:t>
            </w:r>
          </w:p>
        </w:tc>
      </w:tr>
      <w:tr w:rsidR="007C196F" w:rsidRPr="002F7AA5" w14:paraId="0714A5CA" w14:textId="77777777" w:rsidTr="00705040">
        <w:tc>
          <w:tcPr>
            <w:tcW w:w="4508" w:type="dxa"/>
          </w:tcPr>
          <w:p w14:paraId="4EC1A54F" w14:textId="77777777" w:rsidR="007C196F" w:rsidRPr="00C462D9" w:rsidRDefault="007C196F" w:rsidP="004A10BD">
            <w:pPr>
              <w:rPr>
                <w:rFonts w:asciiTheme="minorHAnsi" w:eastAsia="Times New Roman" w:hAnsiTheme="minorHAnsi" w:cstheme="minorHAnsi"/>
                <w:bCs/>
                <w:sz w:val="22"/>
                <w:lang w:eastAsia="fr-FR"/>
              </w:rPr>
            </w:pPr>
          </w:p>
        </w:tc>
        <w:tc>
          <w:tcPr>
            <w:tcW w:w="4508" w:type="dxa"/>
          </w:tcPr>
          <w:p w14:paraId="75EFAEDF" w14:textId="77777777" w:rsidR="007C196F" w:rsidRPr="00C462D9" w:rsidRDefault="007C196F" w:rsidP="004A10BD">
            <w:pPr>
              <w:rPr>
                <w:rFonts w:asciiTheme="minorHAnsi" w:hAnsiTheme="minorHAnsi" w:cstheme="minorHAnsi"/>
                <w:sz w:val="22"/>
              </w:rPr>
            </w:pPr>
          </w:p>
        </w:tc>
      </w:tr>
      <w:tr w:rsidR="004A10BD" w:rsidRPr="002F7AA5" w14:paraId="1A928E93" w14:textId="77777777" w:rsidTr="00705040">
        <w:tc>
          <w:tcPr>
            <w:tcW w:w="4508" w:type="dxa"/>
          </w:tcPr>
          <w:p w14:paraId="64B9108A" w14:textId="5FE03BD8" w:rsidR="004A10BD" w:rsidRPr="000144C2" w:rsidRDefault="004A10BD" w:rsidP="007C196F">
            <w:pPr>
              <w:jc w:val="both"/>
              <w:rPr>
                <w:rFonts w:asciiTheme="minorHAnsi" w:hAnsiTheme="minorHAnsi" w:cstheme="minorHAnsi"/>
                <w:sz w:val="22"/>
                <w:lang w:val="fr-BE"/>
              </w:rPr>
            </w:pPr>
            <w:r w:rsidRPr="000144C2">
              <w:rPr>
                <w:rFonts w:asciiTheme="minorHAnsi" w:eastAsia="Times New Roman" w:hAnsiTheme="minorHAnsi" w:cstheme="minorHAnsi"/>
                <w:bCs/>
                <w:sz w:val="22"/>
                <w:u w:val="single"/>
                <w:lang w:val="fr-BE" w:eastAsia="fr-FR"/>
              </w:rPr>
              <w:t>En cas d'appel multiple, de déviation ou de renvoi, l'identification de toutes les lignes en ce compris, celles vers lesquelles l'appel a été transféré  (</w:t>
            </w:r>
            <w:r w:rsidRPr="000144C2">
              <w:rPr>
                <w:rFonts w:asciiTheme="minorHAnsi" w:hAnsiTheme="minorHAnsi" w:cstheme="minorHAnsi"/>
                <w:sz w:val="22"/>
                <w:u w:val="single"/>
                <w:lang w:val="fr-BE"/>
              </w:rPr>
              <w:t>5°)</w:t>
            </w:r>
          </w:p>
        </w:tc>
        <w:tc>
          <w:tcPr>
            <w:tcW w:w="4508" w:type="dxa"/>
          </w:tcPr>
          <w:p w14:paraId="2ABC72F3" w14:textId="3864C248"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u w:val="single"/>
              </w:rPr>
              <w:t>In geval van een groepsgesprek, oproepdoorschakeling of -doorverbinding, de identificatie van alle lijnen waaronder ook diegene waarnaar de oproep is doorgeleid (5°)</w:t>
            </w:r>
          </w:p>
        </w:tc>
      </w:tr>
      <w:tr w:rsidR="007C196F" w:rsidRPr="002F7AA5" w14:paraId="5C998A37" w14:textId="77777777" w:rsidTr="00705040">
        <w:tc>
          <w:tcPr>
            <w:tcW w:w="4508" w:type="dxa"/>
          </w:tcPr>
          <w:p w14:paraId="550B760B" w14:textId="77777777" w:rsidR="007C196F" w:rsidRPr="00C462D9" w:rsidRDefault="007C196F" w:rsidP="007C196F">
            <w:pPr>
              <w:jc w:val="both"/>
              <w:rPr>
                <w:rFonts w:asciiTheme="minorHAnsi" w:eastAsia="Times New Roman" w:hAnsiTheme="minorHAnsi" w:cstheme="minorHAnsi"/>
                <w:bCs/>
                <w:sz w:val="22"/>
                <w:u w:val="single"/>
                <w:lang w:eastAsia="fr-FR"/>
              </w:rPr>
            </w:pPr>
          </w:p>
        </w:tc>
        <w:tc>
          <w:tcPr>
            <w:tcW w:w="4508" w:type="dxa"/>
          </w:tcPr>
          <w:p w14:paraId="33BC5F1C" w14:textId="77777777" w:rsidR="007C196F" w:rsidRPr="000144C2" w:rsidRDefault="007C196F" w:rsidP="007C196F">
            <w:pPr>
              <w:jc w:val="both"/>
              <w:rPr>
                <w:rFonts w:asciiTheme="minorHAnsi" w:hAnsiTheme="minorHAnsi" w:cstheme="minorHAnsi"/>
                <w:sz w:val="22"/>
                <w:u w:val="single"/>
              </w:rPr>
            </w:pPr>
          </w:p>
        </w:tc>
      </w:tr>
      <w:tr w:rsidR="004A10BD" w:rsidRPr="002F7AA5" w14:paraId="714C2CD2" w14:textId="77777777" w:rsidTr="00705040">
        <w:tc>
          <w:tcPr>
            <w:tcW w:w="4508" w:type="dxa"/>
          </w:tcPr>
          <w:p w14:paraId="03745D05" w14:textId="0C7E24D1" w:rsidR="004A10BD" w:rsidRPr="000144C2" w:rsidRDefault="004A10BD" w:rsidP="007C196F">
            <w:pPr>
              <w:jc w:val="both"/>
              <w:rPr>
                <w:rFonts w:asciiTheme="minorHAnsi" w:hAnsiTheme="minorHAnsi" w:cstheme="minorHAnsi"/>
                <w:sz w:val="22"/>
                <w:lang w:val="fr-BE"/>
              </w:rPr>
            </w:pPr>
            <w:r w:rsidRPr="000144C2">
              <w:rPr>
                <w:rFonts w:asciiTheme="minorHAnsi" w:hAnsiTheme="minorHAnsi" w:cstheme="minorHAnsi"/>
                <w:sz w:val="22"/>
                <w:lang w:val="fr-BE"/>
              </w:rPr>
              <w:t xml:space="preserve">La conservation de cette donnée était déjà prévue dans le cadre de la téléphonie classique fixe et mobile, mais peut être étendue à tout service de téléphonie (classique ou en </w:t>
            </w:r>
            <w:r w:rsidRPr="000144C2">
              <w:rPr>
                <w:rFonts w:asciiTheme="minorHAnsi" w:eastAsia="Times New Roman" w:hAnsiTheme="minorHAnsi" w:cstheme="minorHAnsi"/>
                <w:bCs/>
                <w:sz w:val="22"/>
                <w:lang w:val="fr-BE" w:eastAsia="fr-FR"/>
              </w:rPr>
              <w:t>Voice-over-IP), dès lors que l’appel multiple, la déviation et le renvoi d’appel sont des possibilités existantes également pour ce type de services.</w:t>
            </w:r>
          </w:p>
        </w:tc>
        <w:tc>
          <w:tcPr>
            <w:tcW w:w="4508" w:type="dxa"/>
          </w:tcPr>
          <w:p w14:paraId="22214476" w14:textId="5E57258A"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lang w:val="fr-BE"/>
              </w:rPr>
              <w:t xml:space="preserve"> </w:t>
            </w:r>
            <w:r w:rsidRPr="000144C2">
              <w:rPr>
                <w:rFonts w:asciiTheme="minorHAnsi" w:hAnsiTheme="minorHAnsi" w:cstheme="minorHAnsi"/>
                <w:sz w:val="22"/>
              </w:rPr>
              <w:t>In de bewaring van dat gegeven was reeds voorzien in het kader van de klassieke vaste en mobiele telefonie, maar die kan worden uitgebreid tot elke telefoniedienst (klassiek of Voice-over-IP), aangezien het groepsgesprek, de oproepdoorschakeling of -doorverbinding ook voor dat type van diensten bestaande mogelijkheden zijn.</w:t>
            </w:r>
          </w:p>
        </w:tc>
      </w:tr>
      <w:tr w:rsidR="007C196F" w:rsidRPr="002F7AA5" w14:paraId="3A04D4C5" w14:textId="77777777" w:rsidTr="00705040">
        <w:tc>
          <w:tcPr>
            <w:tcW w:w="4508" w:type="dxa"/>
          </w:tcPr>
          <w:p w14:paraId="4D4C51AE" w14:textId="77777777" w:rsidR="007C196F" w:rsidRPr="00C462D9" w:rsidRDefault="007C196F" w:rsidP="007C196F">
            <w:pPr>
              <w:jc w:val="both"/>
              <w:rPr>
                <w:rFonts w:asciiTheme="minorHAnsi" w:hAnsiTheme="minorHAnsi" w:cstheme="minorHAnsi"/>
                <w:sz w:val="22"/>
              </w:rPr>
            </w:pPr>
          </w:p>
        </w:tc>
        <w:tc>
          <w:tcPr>
            <w:tcW w:w="4508" w:type="dxa"/>
          </w:tcPr>
          <w:p w14:paraId="03E66D89" w14:textId="77777777" w:rsidR="007C196F" w:rsidRPr="00C462D9" w:rsidRDefault="007C196F" w:rsidP="007C196F">
            <w:pPr>
              <w:jc w:val="both"/>
              <w:rPr>
                <w:rFonts w:asciiTheme="minorHAnsi" w:hAnsiTheme="minorHAnsi" w:cstheme="minorHAnsi"/>
                <w:sz w:val="22"/>
              </w:rPr>
            </w:pPr>
          </w:p>
        </w:tc>
      </w:tr>
      <w:tr w:rsidR="004A10BD" w:rsidRPr="002F7AA5" w14:paraId="07744CD1" w14:textId="77777777" w:rsidTr="00705040">
        <w:tc>
          <w:tcPr>
            <w:tcW w:w="4508" w:type="dxa"/>
          </w:tcPr>
          <w:p w14:paraId="661A27E3" w14:textId="50480123" w:rsidR="004A10BD" w:rsidRPr="000144C2" w:rsidRDefault="004A10BD" w:rsidP="007C196F">
            <w:pPr>
              <w:jc w:val="both"/>
              <w:rPr>
                <w:rFonts w:asciiTheme="minorHAnsi" w:hAnsiTheme="minorHAnsi" w:cstheme="minorHAnsi"/>
                <w:sz w:val="22"/>
                <w:lang w:val="fr-BE"/>
              </w:rPr>
            </w:pPr>
            <w:r w:rsidRPr="000144C2">
              <w:rPr>
                <w:rFonts w:asciiTheme="minorHAnsi" w:eastAsia="Times New Roman" w:hAnsiTheme="minorHAnsi" w:cstheme="minorHAnsi"/>
                <w:bCs/>
                <w:sz w:val="22"/>
                <w:u w:val="single"/>
                <w:lang w:val="fr-BE" w:eastAsia="fr-FR"/>
              </w:rPr>
              <w:t>La date et l'heure exacte du début et de la fin de la session du service de communication électronique concerné (6°)</w:t>
            </w:r>
          </w:p>
        </w:tc>
        <w:tc>
          <w:tcPr>
            <w:tcW w:w="4508" w:type="dxa"/>
          </w:tcPr>
          <w:p w14:paraId="14792B06" w14:textId="75608C08"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u w:val="single"/>
              </w:rPr>
              <w:t>De datum en het juiste tijdstip van aanvang en einde van de sessie van de betrokken elektronische-communicatiedienst (6°)</w:t>
            </w:r>
          </w:p>
        </w:tc>
      </w:tr>
      <w:tr w:rsidR="007C196F" w:rsidRPr="002F7AA5" w14:paraId="5C508BAC" w14:textId="77777777" w:rsidTr="00705040">
        <w:tc>
          <w:tcPr>
            <w:tcW w:w="4508" w:type="dxa"/>
          </w:tcPr>
          <w:p w14:paraId="3919CA40" w14:textId="77777777" w:rsidR="007C196F" w:rsidRPr="00C462D9" w:rsidRDefault="007C196F" w:rsidP="004A10BD">
            <w:pPr>
              <w:rPr>
                <w:rFonts w:asciiTheme="minorHAnsi" w:eastAsia="Times New Roman" w:hAnsiTheme="minorHAnsi" w:cstheme="minorHAnsi"/>
                <w:bCs/>
                <w:sz w:val="22"/>
                <w:u w:val="single"/>
                <w:lang w:eastAsia="fr-FR"/>
              </w:rPr>
            </w:pPr>
          </w:p>
        </w:tc>
        <w:tc>
          <w:tcPr>
            <w:tcW w:w="4508" w:type="dxa"/>
          </w:tcPr>
          <w:p w14:paraId="2D70D2B7" w14:textId="77777777" w:rsidR="007C196F" w:rsidRPr="000144C2" w:rsidRDefault="007C196F" w:rsidP="004A10BD">
            <w:pPr>
              <w:rPr>
                <w:rFonts w:asciiTheme="minorHAnsi" w:hAnsiTheme="minorHAnsi" w:cstheme="minorHAnsi"/>
                <w:sz w:val="22"/>
                <w:u w:val="single"/>
              </w:rPr>
            </w:pPr>
          </w:p>
        </w:tc>
      </w:tr>
      <w:tr w:rsidR="004A10BD" w:rsidRPr="002F7AA5" w14:paraId="515DDD6D" w14:textId="77777777" w:rsidTr="00705040">
        <w:tc>
          <w:tcPr>
            <w:tcW w:w="4508" w:type="dxa"/>
          </w:tcPr>
          <w:p w14:paraId="13B393EB" w14:textId="13E8F377" w:rsidR="004A10BD" w:rsidRPr="000144C2" w:rsidRDefault="004A10BD" w:rsidP="007C196F">
            <w:pPr>
              <w:jc w:val="both"/>
              <w:rPr>
                <w:rFonts w:asciiTheme="minorHAnsi" w:hAnsiTheme="minorHAnsi" w:cstheme="minorHAnsi"/>
                <w:sz w:val="22"/>
                <w:lang w:val="fr-BE"/>
              </w:rPr>
            </w:pPr>
            <w:r w:rsidRPr="000144C2">
              <w:rPr>
                <w:rFonts w:asciiTheme="minorHAnsi" w:hAnsiTheme="minorHAnsi" w:cstheme="minorHAnsi"/>
                <w:sz w:val="22"/>
                <w:lang w:val="fr-BE"/>
              </w:rPr>
              <w:t xml:space="preserve">La conservation de ces données était déjà prévue pour l’ensemble des services visés par l’arrêté royal du 19 septembre 2013.  La terminologie a cependant été adaptée de manière à faire référence uniquement à la notion de « session », étant entendu qu’un appel téléphonique, que ce soit classique ou en </w:t>
            </w:r>
            <w:r w:rsidRPr="000144C2">
              <w:rPr>
                <w:rFonts w:asciiTheme="minorHAnsi" w:eastAsia="Times New Roman" w:hAnsiTheme="minorHAnsi" w:cstheme="minorHAnsi"/>
                <w:bCs/>
                <w:sz w:val="22"/>
                <w:lang w:val="fr-BE" w:eastAsia="fr-FR"/>
              </w:rPr>
              <w:t>Voice-over-IP, doit être considéré comme une session.</w:t>
            </w:r>
          </w:p>
        </w:tc>
        <w:tc>
          <w:tcPr>
            <w:tcW w:w="4508" w:type="dxa"/>
          </w:tcPr>
          <w:p w14:paraId="6B3E555E" w14:textId="6AD0C6B6"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lang w:val="fr-BE"/>
              </w:rPr>
              <w:t xml:space="preserve"> </w:t>
            </w:r>
            <w:r w:rsidRPr="000144C2">
              <w:rPr>
                <w:rFonts w:asciiTheme="minorHAnsi" w:hAnsiTheme="minorHAnsi" w:cstheme="minorHAnsi"/>
                <w:sz w:val="22"/>
              </w:rPr>
              <w:t>In de bewaring van die gegevens was reeds voorzien voor alle diensten bedoeld door het koninklijk besluit van 19 september 2013.  De terminologie is echter zodanig aangepast om uitsluitend te verwijzen naar het begrip van “sessie”, met dien verstande dat een telefonische oproep, of het nu om een klassieke of een Voice-over-IP-oproep gaat, moet worden beschouwd als een sessie.</w:t>
            </w:r>
          </w:p>
        </w:tc>
      </w:tr>
      <w:tr w:rsidR="007C196F" w:rsidRPr="002F7AA5" w14:paraId="5EE594B8" w14:textId="77777777" w:rsidTr="00705040">
        <w:tc>
          <w:tcPr>
            <w:tcW w:w="4508" w:type="dxa"/>
          </w:tcPr>
          <w:p w14:paraId="139AB0A2" w14:textId="77777777" w:rsidR="007C196F" w:rsidRPr="00C462D9" w:rsidRDefault="007C196F" w:rsidP="004A10BD">
            <w:pPr>
              <w:rPr>
                <w:rFonts w:asciiTheme="minorHAnsi" w:hAnsiTheme="minorHAnsi" w:cstheme="minorHAnsi"/>
                <w:sz w:val="22"/>
              </w:rPr>
            </w:pPr>
          </w:p>
        </w:tc>
        <w:tc>
          <w:tcPr>
            <w:tcW w:w="4508" w:type="dxa"/>
          </w:tcPr>
          <w:p w14:paraId="3076F6C4" w14:textId="77777777" w:rsidR="007C196F" w:rsidRPr="00C462D9" w:rsidRDefault="007C196F" w:rsidP="004A10BD">
            <w:pPr>
              <w:rPr>
                <w:rFonts w:asciiTheme="minorHAnsi" w:hAnsiTheme="minorHAnsi" w:cstheme="minorHAnsi"/>
                <w:sz w:val="22"/>
              </w:rPr>
            </w:pPr>
          </w:p>
        </w:tc>
      </w:tr>
      <w:tr w:rsidR="004A10BD" w:rsidRPr="002F7AA5" w14:paraId="66916417" w14:textId="77777777" w:rsidTr="00705040">
        <w:tc>
          <w:tcPr>
            <w:tcW w:w="4508" w:type="dxa"/>
          </w:tcPr>
          <w:p w14:paraId="19047631" w14:textId="666433F1" w:rsidR="004A10BD" w:rsidRPr="000144C2" w:rsidRDefault="004A10BD" w:rsidP="007C196F">
            <w:pPr>
              <w:jc w:val="both"/>
              <w:rPr>
                <w:rFonts w:asciiTheme="minorHAnsi" w:hAnsiTheme="minorHAnsi" w:cstheme="minorHAnsi"/>
                <w:sz w:val="22"/>
                <w:lang w:val="fr-BE"/>
              </w:rPr>
            </w:pPr>
            <w:r w:rsidRPr="000144C2">
              <w:rPr>
                <w:rFonts w:asciiTheme="minorHAnsi" w:hAnsiTheme="minorHAnsi" w:cstheme="minorHAnsi"/>
                <w:sz w:val="22"/>
                <w:u w:val="single"/>
                <w:lang w:val="fr-BE"/>
              </w:rPr>
              <w:t xml:space="preserve">L’identification et la localisation des cellules ou autres points de terminaison du réseau utilisés pendant la communication et les dates et heures y afférentes (7°) </w:t>
            </w:r>
          </w:p>
        </w:tc>
        <w:tc>
          <w:tcPr>
            <w:tcW w:w="4508" w:type="dxa"/>
          </w:tcPr>
          <w:p w14:paraId="5B36F63D" w14:textId="2D29A042"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u w:val="single"/>
              </w:rPr>
              <w:t>Het identificeren en het lokaliseren van de cellen of andere netwerkaansluitpunten gebruikt tijdens de communicatie en de data en de tijdstippen die ermee verband houden (7°)</w:t>
            </w:r>
          </w:p>
        </w:tc>
      </w:tr>
      <w:tr w:rsidR="007C196F" w:rsidRPr="002F7AA5" w14:paraId="02ECC418" w14:textId="77777777" w:rsidTr="00705040">
        <w:tc>
          <w:tcPr>
            <w:tcW w:w="4508" w:type="dxa"/>
          </w:tcPr>
          <w:p w14:paraId="2A7D1088" w14:textId="77777777" w:rsidR="007C196F" w:rsidRPr="00C462D9" w:rsidRDefault="007C196F" w:rsidP="004A10BD">
            <w:pPr>
              <w:rPr>
                <w:rFonts w:asciiTheme="minorHAnsi" w:hAnsiTheme="minorHAnsi" w:cstheme="minorHAnsi"/>
                <w:sz w:val="22"/>
                <w:u w:val="single"/>
              </w:rPr>
            </w:pPr>
          </w:p>
        </w:tc>
        <w:tc>
          <w:tcPr>
            <w:tcW w:w="4508" w:type="dxa"/>
          </w:tcPr>
          <w:p w14:paraId="1AEFF73E" w14:textId="77777777" w:rsidR="007C196F" w:rsidRPr="000144C2" w:rsidRDefault="007C196F" w:rsidP="004A10BD">
            <w:pPr>
              <w:rPr>
                <w:rFonts w:asciiTheme="minorHAnsi" w:hAnsiTheme="minorHAnsi" w:cstheme="minorHAnsi"/>
                <w:sz w:val="22"/>
                <w:u w:val="single"/>
              </w:rPr>
            </w:pPr>
          </w:p>
        </w:tc>
      </w:tr>
      <w:tr w:rsidR="004A10BD" w:rsidRPr="002F7AA5" w14:paraId="1F15DD94" w14:textId="77777777" w:rsidTr="00705040">
        <w:tc>
          <w:tcPr>
            <w:tcW w:w="4508" w:type="dxa"/>
          </w:tcPr>
          <w:p w14:paraId="72B9AFB4" w14:textId="30F5D98C" w:rsidR="004A10BD" w:rsidRPr="000144C2" w:rsidRDefault="004A10BD" w:rsidP="007C196F">
            <w:pPr>
              <w:jc w:val="both"/>
              <w:rPr>
                <w:rFonts w:asciiTheme="minorHAnsi" w:hAnsiTheme="minorHAnsi" w:cstheme="minorHAnsi"/>
                <w:sz w:val="22"/>
                <w:lang w:val="fr-BE"/>
              </w:rPr>
            </w:pPr>
            <w:r w:rsidRPr="000144C2">
              <w:rPr>
                <w:rFonts w:asciiTheme="minorHAnsi" w:hAnsiTheme="minorHAnsi" w:cstheme="minorHAnsi"/>
                <w:sz w:val="22"/>
                <w:lang w:val="fr-BE"/>
              </w:rPr>
              <w:t>Il</w:t>
            </w:r>
            <w:r w:rsidRPr="000144C2">
              <w:rPr>
                <w:rFonts w:asciiTheme="minorHAnsi" w:eastAsia="Times New Roman" w:hAnsiTheme="minorHAnsi" w:cstheme="minorHAnsi"/>
                <w:bCs/>
                <w:sz w:val="22"/>
                <w:lang w:val="fr-BE" w:eastAsia="fr-FR"/>
              </w:rPr>
              <w:t xml:space="preserve"> convient de conserver « </w:t>
            </w:r>
            <w:r w:rsidRPr="000144C2">
              <w:rPr>
                <w:rFonts w:asciiTheme="minorHAnsi" w:hAnsiTheme="minorHAnsi" w:cstheme="minorHAnsi"/>
                <w:i/>
                <w:iCs/>
                <w:sz w:val="22"/>
                <w:lang w:val="fr-BE"/>
              </w:rPr>
              <w:t xml:space="preserve">les données permettant d’identifier et de localiser les cellules ou d’autres points de terminaison du réseau, qui ont été utilisé(e)s pour effectuer la </w:t>
            </w:r>
            <w:r w:rsidRPr="000144C2">
              <w:rPr>
                <w:rFonts w:asciiTheme="minorHAnsi" w:hAnsiTheme="minorHAnsi" w:cstheme="minorHAnsi"/>
                <w:i/>
                <w:iCs/>
                <w:sz w:val="22"/>
                <w:lang w:val="fr-BE"/>
              </w:rPr>
              <w:lastRenderedPageBreak/>
              <w:t>communication, du début jusqu’à la fin de la communication, ainsi que les dates et heures précises de ces différentes localisations</w:t>
            </w:r>
            <w:r w:rsidRPr="000144C2">
              <w:rPr>
                <w:rFonts w:asciiTheme="minorHAnsi" w:hAnsiTheme="minorHAnsi" w:cstheme="minorHAnsi"/>
                <w:sz w:val="22"/>
                <w:lang w:val="fr-BE"/>
              </w:rPr>
              <w:t xml:space="preserve"> ». La localisation des cellules s’effectue en se référant à leur identifiant cellulaire (« global </w:t>
            </w:r>
            <w:proofErr w:type="spellStart"/>
            <w:r w:rsidRPr="000144C2">
              <w:rPr>
                <w:rFonts w:asciiTheme="minorHAnsi" w:hAnsiTheme="minorHAnsi" w:cstheme="minorHAnsi"/>
                <w:sz w:val="22"/>
                <w:lang w:val="fr-BE"/>
              </w:rPr>
              <w:t>cell</w:t>
            </w:r>
            <w:proofErr w:type="spellEnd"/>
            <w:r w:rsidRPr="000144C2">
              <w:rPr>
                <w:rFonts w:asciiTheme="minorHAnsi" w:hAnsiTheme="minorHAnsi" w:cstheme="minorHAnsi"/>
                <w:sz w:val="22"/>
                <w:lang w:val="fr-BE"/>
              </w:rPr>
              <w:t xml:space="preserve"> ID »).  </w:t>
            </w:r>
          </w:p>
        </w:tc>
        <w:tc>
          <w:tcPr>
            <w:tcW w:w="4508" w:type="dxa"/>
          </w:tcPr>
          <w:p w14:paraId="58967510" w14:textId="62A793F8"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lang w:val="fr-BE"/>
              </w:rPr>
              <w:lastRenderedPageBreak/>
              <w:t xml:space="preserve"> </w:t>
            </w:r>
            <w:r w:rsidRPr="000144C2">
              <w:rPr>
                <w:rFonts w:asciiTheme="minorHAnsi" w:hAnsiTheme="minorHAnsi" w:cstheme="minorHAnsi"/>
                <w:sz w:val="22"/>
              </w:rPr>
              <w:t>De “</w:t>
            </w:r>
            <w:r w:rsidRPr="000144C2">
              <w:rPr>
                <w:rFonts w:asciiTheme="minorHAnsi" w:hAnsiTheme="minorHAnsi" w:cstheme="minorHAnsi"/>
                <w:i/>
                <w:sz w:val="22"/>
              </w:rPr>
              <w:t xml:space="preserve">gegevens voor het identificeren en het lokaliseren van de cellen of andere netwerkaansluitpunten, die werden gebruikt voor de communicatie, van de start tot het einde </w:t>
            </w:r>
            <w:r w:rsidRPr="000144C2">
              <w:rPr>
                <w:rFonts w:asciiTheme="minorHAnsi" w:hAnsiTheme="minorHAnsi" w:cstheme="minorHAnsi"/>
                <w:i/>
                <w:sz w:val="22"/>
              </w:rPr>
              <w:lastRenderedPageBreak/>
              <w:t xml:space="preserve">van de communicatie alsook de exacte data en tijdstippen van deze verschillende locaties” </w:t>
            </w:r>
            <w:r w:rsidRPr="000144C2">
              <w:rPr>
                <w:rFonts w:asciiTheme="minorHAnsi" w:hAnsiTheme="minorHAnsi" w:cstheme="minorHAnsi"/>
                <w:sz w:val="22"/>
              </w:rPr>
              <w:t xml:space="preserve">moeten worden bewaard. Het lokaliseren van cellen gebeurt door te refereren aan hun </w:t>
            </w:r>
            <w:proofErr w:type="spellStart"/>
            <w:r w:rsidRPr="000144C2">
              <w:rPr>
                <w:rFonts w:asciiTheme="minorHAnsi" w:hAnsiTheme="minorHAnsi" w:cstheme="minorHAnsi"/>
                <w:sz w:val="22"/>
              </w:rPr>
              <w:t>celidentiteit</w:t>
            </w:r>
            <w:proofErr w:type="spellEnd"/>
            <w:r w:rsidRPr="000144C2">
              <w:rPr>
                <w:rFonts w:asciiTheme="minorHAnsi" w:hAnsiTheme="minorHAnsi" w:cstheme="minorHAnsi"/>
                <w:sz w:val="22"/>
              </w:rPr>
              <w:t xml:space="preserve"> (“</w:t>
            </w:r>
            <w:proofErr w:type="spellStart"/>
            <w:r w:rsidRPr="000144C2">
              <w:rPr>
                <w:rFonts w:asciiTheme="minorHAnsi" w:hAnsiTheme="minorHAnsi" w:cstheme="minorHAnsi"/>
                <w:sz w:val="22"/>
              </w:rPr>
              <w:t>global</w:t>
            </w:r>
            <w:proofErr w:type="spellEnd"/>
            <w:r w:rsidRPr="000144C2">
              <w:rPr>
                <w:rFonts w:asciiTheme="minorHAnsi" w:hAnsiTheme="minorHAnsi" w:cstheme="minorHAnsi"/>
                <w:sz w:val="22"/>
              </w:rPr>
              <w:t xml:space="preserve"> </w:t>
            </w:r>
            <w:proofErr w:type="spellStart"/>
            <w:r w:rsidRPr="000144C2">
              <w:rPr>
                <w:rFonts w:asciiTheme="minorHAnsi" w:hAnsiTheme="minorHAnsi" w:cstheme="minorHAnsi"/>
                <w:sz w:val="22"/>
              </w:rPr>
              <w:t>cell</w:t>
            </w:r>
            <w:proofErr w:type="spellEnd"/>
            <w:r w:rsidRPr="000144C2">
              <w:rPr>
                <w:rFonts w:asciiTheme="minorHAnsi" w:hAnsiTheme="minorHAnsi" w:cstheme="minorHAnsi"/>
                <w:sz w:val="22"/>
              </w:rPr>
              <w:t xml:space="preserve"> ID”).</w:t>
            </w:r>
          </w:p>
        </w:tc>
      </w:tr>
      <w:tr w:rsidR="007C196F" w:rsidRPr="002F7AA5" w14:paraId="41EEE497" w14:textId="77777777" w:rsidTr="00705040">
        <w:tc>
          <w:tcPr>
            <w:tcW w:w="4508" w:type="dxa"/>
          </w:tcPr>
          <w:p w14:paraId="38734D9D" w14:textId="77777777" w:rsidR="007C196F" w:rsidRPr="00C462D9" w:rsidRDefault="007C196F" w:rsidP="004A10BD">
            <w:pPr>
              <w:rPr>
                <w:rFonts w:asciiTheme="minorHAnsi" w:hAnsiTheme="minorHAnsi" w:cstheme="minorHAnsi"/>
                <w:sz w:val="22"/>
              </w:rPr>
            </w:pPr>
          </w:p>
        </w:tc>
        <w:tc>
          <w:tcPr>
            <w:tcW w:w="4508" w:type="dxa"/>
          </w:tcPr>
          <w:p w14:paraId="3A75529B" w14:textId="77777777" w:rsidR="007C196F" w:rsidRPr="00C462D9" w:rsidRDefault="007C196F" w:rsidP="004A10BD">
            <w:pPr>
              <w:rPr>
                <w:rFonts w:asciiTheme="minorHAnsi" w:hAnsiTheme="minorHAnsi" w:cstheme="minorHAnsi"/>
                <w:sz w:val="22"/>
              </w:rPr>
            </w:pPr>
          </w:p>
        </w:tc>
      </w:tr>
      <w:tr w:rsidR="004A10BD" w:rsidRPr="002F7AA5" w14:paraId="06D26522" w14:textId="77777777" w:rsidTr="00705040">
        <w:tc>
          <w:tcPr>
            <w:tcW w:w="4508" w:type="dxa"/>
          </w:tcPr>
          <w:p w14:paraId="24E2266C" w14:textId="51E46F34" w:rsidR="004A10BD" w:rsidRPr="000144C2" w:rsidRDefault="004A10BD" w:rsidP="007C196F">
            <w:pPr>
              <w:jc w:val="both"/>
              <w:rPr>
                <w:rFonts w:asciiTheme="minorHAnsi" w:hAnsiTheme="minorHAnsi" w:cstheme="minorHAnsi"/>
                <w:sz w:val="22"/>
                <w:lang w:val="fr-BE"/>
              </w:rPr>
            </w:pPr>
            <w:r w:rsidRPr="000144C2">
              <w:rPr>
                <w:rFonts w:asciiTheme="minorHAnsi" w:hAnsiTheme="minorHAnsi" w:cstheme="minorHAnsi"/>
                <w:sz w:val="22"/>
                <w:lang w:val="fr-BE"/>
              </w:rPr>
              <w:t xml:space="preserve">Cette disposition reprend et adapte les données précédemment prévues au paragraphe 2, 6° et 7° de l’article 4 et au paragraphe 2, 3°, 4° et 6° de l’article 5 de l’arrêté royal du 19 septembre 2013.  </w:t>
            </w:r>
          </w:p>
        </w:tc>
        <w:tc>
          <w:tcPr>
            <w:tcW w:w="4508" w:type="dxa"/>
          </w:tcPr>
          <w:p w14:paraId="12E8C4CB" w14:textId="438AFD20"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rPr>
              <w:t>Deze bepaling neemt de gegevens over waarin voordien in paragraaf 2, 6° en 7°, van artikel 4, en in paragraaf 2, 3°, 4° en 6°, van artikel 5, van het koninklijk besluit van 19 september 2013 voorzien was en past deze aan.</w:t>
            </w:r>
          </w:p>
        </w:tc>
      </w:tr>
      <w:tr w:rsidR="007C196F" w:rsidRPr="002F7AA5" w14:paraId="48D7BFE1" w14:textId="77777777" w:rsidTr="00705040">
        <w:tc>
          <w:tcPr>
            <w:tcW w:w="4508" w:type="dxa"/>
          </w:tcPr>
          <w:p w14:paraId="3A5A33C8" w14:textId="77777777" w:rsidR="007C196F" w:rsidRPr="00C462D9" w:rsidRDefault="007C196F" w:rsidP="007C196F">
            <w:pPr>
              <w:jc w:val="both"/>
              <w:rPr>
                <w:rFonts w:asciiTheme="minorHAnsi" w:hAnsiTheme="minorHAnsi" w:cstheme="minorHAnsi"/>
                <w:sz w:val="22"/>
              </w:rPr>
            </w:pPr>
          </w:p>
        </w:tc>
        <w:tc>
          <w:tcPr>
            <w:tcW w:w="4508" w:type="dxa"/>
          </w:tcPr>
          <w:p w14:paraId="31814F9B" w14:textId="77777777" w:rsidR="007C196F" w:rsidRPr="000144C2" w:rsidRDefault="007C196F" w:rsidP="007C196F">
            <w:pPr>
              <w:jc w:val="both"/>
              <w:rPr>
                <w:rFonts w:asciiTheme="minorHAnsi" w:hAnsiTheme="minorHAnsi" w:cstheme="minorHAnsi"/>
                <w:sz w:val="22"/>
              </w:rPr>
            </w:pPr>
          </w:p>
        </w:tc>
      </w:tr>
      <w:tr w:rsidR="004A10BD" w:rsidRPr="002F7AA5" w14:paraId="2187442D" w14:textId="77777777" w:rsidTr="00705040">
        <w:tc>
          <w:tcPr>
            <w:tcW w:w="4508" w:type="dxa"/>
          </w:tcPr>
          <w:p w14:paraId="507E8478" w14:textId="461D894B" w:rsidR="004A10BD" w:rsidRPr="000144C2" w:rsidRDefault="004A10BD" w:rsidP="007C196F">
            <w:pPr>
              <w:jc w:val="both"/>
              <w:rPr>
                <w:rFonts w:asciiTheme="minorHAnsi" w:hAnsiTheme="minorHAnsi" w:cstheme="minorHAnsi"/>
                <w:sz w:val="22"/>
                <w:lang w:val="fr-BE"/>
              </w:rPr>
            </w:pPr>
            <w:r w:rsidRPr="000144C2">
              <w:rPr>
                <w:rFonts w:asciiTheme="minorHAnsi" w:hAnsiTheme="minorHAnsi" w:cstheme="minorHAnsi"/>
                <w:sz w:val="22"/>
                <w:lang w:val="fr-BE"/>
              </w:rPr>
              <w:t>Elle précise les données de localisation à conserver dans le cadre d’une communication (tout appel ou SMS ou autre type de message entrant ou sortant). Dans le cadre du service d’accès à internet, la communication est toute donnée reçue par l’utilisateur final (ex. toute information reçue dès que la 4G est activée) ou information envoyée (par exemple visite d’un site internet).</w:t>
            </w:r>
          </w:p>
        </w:tc>
        <w:tc>
          <w:tcPr>
            <w:tcW w:w="4508" w:type="dxa"/>
          </w:tcPr>
          <w:p w14:paraId="20ACD580" w14:textId="7628E5D3" w:rsidR="004A10BD" w:rsidRPr="000144C2" w:rsidRDefault="004A10BD" w:rsidP="007C196F">
            <w:pPr>
              <w:jc w:val="both"/>
              <w:rPr>
                <w:rFonts w:asciiTheme="minorHAnsi" w:hAnsiTheme="minorHAnsi" w:cstheme="minorHAnsi"/>
                <w:sz w:val="22"/>
              </w:rPr>
            </w:pPr>
            <w:r w:rsidRPr="000144C2">
              <w:rPr>
                <w:rFonts w:asciiTheme="minorHAnsi" w:hAnsiTheme="minorHAnsi" w:cstheme="minorHAnsi"/>
                <w:sz w:val="22"/>
              </w:rPr>
              <w:t>Ze preciseert de locatiegegevens die moeten worden bewaard in het kader van een communicatie (elke oproep of sms of ander type van binnenkomend of uitgaand bericht). In het kader van de internettoegangsdienst bestaat de communicatie in elk gegeven ontvangen door de eindgebruiker (bijv. alle ontvangen informatie zodra 4G is geactiveerd) of verzonden informatie (bijv. bezoek aan een website).</w:t>
            </w:r>
          </w:p>
        </w:tc>
      </w:tr>
      <w:tr w:rsidR="007C196F" w:rsidRPr="002F7AA5" w14:paraId="5673E143" w14:textId="77777777" w:rsidTr="00705040">
        <w:tc>
          <w:tcPr>
            <w:tcW w:w="4508" w:type="dxa"/>
          </w:tcPr>
          <w:p w14:paraId="02616BAE" w14:textId="77777777" w:rsidR="007C196F" w:rsidRPr="00C462D9" w:rsidRDefault="007C196F" w:rsidP="004A10BD">
            <w:pPr>
              <w:rPr>
                <w:rFonts w:asciiTheme="minorHAnsi" w:hAnsiTheme="minorHAnsi" w:cstheme="minorHAnsi"/>
                <w:sz w:val="22"/>
              </w:rPr>
            </w:pPr>
          </w:p>
        </w:tc>
        <w:tc>
          <w:tcPr>
            <w:tcW w:w="4508" w:type="dxa"/>
          </w:tcPr>
          <w:p w14:paraId="6E6C93ED" w14:textId="77777777" w:rsidR="007C196F" w:rsidRPr="000144C2" w:rsidRDefault="007C196F" w:rsidP="004A10BD">
            <w:pPr>
              <w:rPr>
                <w:rFonts w:asciiTheme="minorHAnsi" w:hAnsiTheme="minorHAnsi" w:cstheme="minorHAnsi"/>
                <w:sz w:val="22"/>
              </w:rPr>
            </w:pPr>
          </w:p>
        </w:tc>
      </w:tr>
      <w:tr w:rsidR="001069DE" w:rsidRPr="001069DE" w14:paraId="7AA21759" w14:textId="77777777" w:rsidTr="00705040">
        <w:tc>
          <w:tcPr>
            <w:tcW w:w="4508" w:type="dxa"/>
          </w:tcPr>
          <w:p w14:paraId="4F15CE0B" w14:textId="4F719681" w:rsidR="001069DE" w:rsidRPr="001069DE" w:rsidRDefault="001069DE" w:rsidP="001069DE">
            <w:pPr>
              <w:jc w:val="both"/>
              <w:rPr>
                <w:rFonts w:asciiTheme="minorHAnsi" w:hAnsiTheme="minorHAnsi" w:cstheme="minorHAnsi"/>
                <w:sz w:val="22"/>
                <w:lang w:val="fr-BE"/>
              </w:rPr>
            </w:pPr>
            <w:r w:rsidRPr="001069DE">
              <w:rPr>
                <w:rFonts w:asciiTheme="minorHAnsi" w:hAnsiTheme="minorHAnsi" w:cstheme="minorHAnsi"/>
                <w:sz w:val="22"/>
                <w:lang w:val="fr-BE"/>
              </w:rPr>
              <w:t xml:space="preserve">Une nouvelle exigence est ajoutée par rapport l’arrêté royal de 2013 : les opérateurs doivent désormais conserver la localisation des cellules et autres points de terminaison du réseau tout au long de la communication (par exemple, les </w:t>
            </w:r>
            <w:r w:rsidR="00171FC3" w:rsidRPr="001069DE">
              <w:rPr>
                <w:rFonts w:asciiTheme="minorHAnsi" w:hAnsiTheme="minorHAnsi" w:cstheme="minorHAnsi"/>
                <w:sz w:val="22"/>
                <w:lang w:val="fr-BE"/>
              </w:rPr>
              <w:t>m</w:t>
            </w:r>
            <w:r w:rsidR="00171FC3">
              <w:rPr>
                <w:rFonts w:asciiTheme="minorHAnsi" w:hAnsiTheme="minorHAnsi" w:cstheme="minorHAnsi"/>
                <w:sz w:val="22"/>
                <w:lang w:val="fr-BE"/>
              </w:rPr>
              <w:t>â</w:t>
            </w:r>
            <w:r w:rsidR="00171FC3" w:rsidRPr="001069DE">
              <w:rPr>
                <w:rFonts w:asciiTheme="minorHAnsi" w:hAnsiTheme="minorHAnsi" w:cstheme="minorHAnsi"/>
                <w:sz w:val="22"/>
                <w:lang w:val="fr-BE"/>
              </w:rPr>
              <w:t xml:space="preserve">ts </w:t>
            </w:r>
            <w:r w:rsidRPr="001069DE">
              <w:rPr>
                <w:rFonts w:asciiTheme="minorHAnsi" w:hAnsiTheme="minorHAnsi" w:cstheme="minorHAnsi"/>
                <w:sz w:val="22"/>
                <w:lang w:val="fr-BE"/>
              </w:rPr>
              <w:t>intermédiaires, ou les routeurs Wifi dans le cadre de services nomades) et pas uniquement leur localisation au début et à la fin de la communication. Une telle exigence prend tout son sens lorsque l’utilisateur final se déplace. Une telle information est capitale pour les services de sécurité. Les données de localisation que les opérateurs doivent conserver en dehors de toute communication sont prévues au paragraphe 2, 10°.</w:t>
            </w:r>
          </w:p>
        </w:tc>
        <w:tc>
          <w:tcPr>
            <w:tcW w:w="4508" w:type="dxa"/>
          </w:tcPr>
          <w:p w14:paraId="128E5D68" w14:textId="72135844" w:rsidR="001069DE" w:rsidRPr="001069DE" w:rsidRDefault="001069DE" w:rsidP="001069DE">
            <w:pPr>
              <w:jc w:val="both"/>
              <w:rPr>
                <w:rFonts w:asciiTheme="minorHAnsi" w:hAnsiTheme="minorHAnsi" w:cstheme="minorHAnsi"/>
                <w:sz w:val="22"/>
              </w:rPr>
            </w:pPr>
            <w:r w:rsidRPr="001069DE">
              <w:rPr>
                <w:rFonts w:asciiTheme="minorHAnsi" w:hAnsiTheme="minorHAnsi" w:cstheme="minorHAnsi"/>
                <w:sz w:val="22"/>
              </w:rPr>
              <w:t>Een nieuwe vereiste wordt toegevoegd ten opzichte van het koninklijk besluit van 2013: de operatoren moeten voortaan de locatie van de cellen en andere netwerkaansluitpunten bewaren gedurende de communicatie (bijvoorbeeld de tussenliggende masten, of de wifirouters in het kader van nomadische diensten) en niet uitsluitend hun locatie bij aanvang en einde van de communicatie. Het nut van een dergelijke vereiste wordt volledig duidelijk wanneer de eindgebruiker zich verplaatst. Dergelijke informatie is van cruciaal belang voor de veiligheidsdiensten. De locatiegegevens die de operatoren moeten bewaren buiten elke communicatie worden bepaald in paragraaf 2, 10°.</w:t>
            </w:r>
          </w:p>
        </w:tc>
      </w:tr>
      <w:tr w:rsidR="001069DE" w:rsidRPr="002F7AA5" w14:paraId="0D93E127" w14:textId="77777777" w:rsidTr="00705040">
        <w:tc>
          <w:tcPr>
            <w:tcW w:w="4508" w:type="dxa"/>
          </w:tcPr>
          <w:p w14:paraId="65D77D81" w14:textId="77777777" w:rsidR="001069DE" w:rsidRPr="00C462D9" w:rsidRDefault="001069DE" w:rsidP="001069DE">
            <w:pPr>
              <w:rPr>
                <w:rFonts w:asciiTheme="minorHAnsi" w:hAnsiTheme="minorHAnsi" w:cstheme="minorHAnsi"/>
                <w:sz w:val="22"/>
              </w:rPr>
            </w:pPr>
          </w:p>
        </w:tc>
        <w:tc>
          <w:tcPr>
            <w:tcW w:w="4508" w:type="dxa"/>
          </w:tcPr>
          <w:p w14:paraId="16F69A8D" w14:textId="77777777" w:rsidR="001069DE" w:rsidRPr="000144C2" w:rsidRDefault="001069DE" w:rsidP="001069DE">
            <w:pPr>
              <w:rPr>
                <w:rFonts w:asciiTheme="minorHAnsi" w:hAnsiTheme="minorHAnsi" w:cstheme="minorHAnsi"/>
                <w:sz w:val="22"/>
              </w:rPr>
            </w:pPr>
          </w:p>
        </w:tc>
      </w:tr>
      <w:tr w:rsidR="001069DE" w:rsidRPr="002F7AA5" w14:paraId="0DA1B522" w14:textId="77777777" w:rsidTr="00705040">
        <w:tc>
          <w:tcPr>
            <w:tcW w:w="4508" w:type="dxa"/>
          </w:tcPr>
          <w:p w14:paraId="220208B5" w14:textId="2BCD7264" w:rsidR="001069DE" w:rsidRPr="000144C2" w:rsidRDefault="001069DE" w:rsidP="001069DE">
            <w:pPr>
              <w:jc w:val="both"/>
              <w:rPr>
                <w:rFonts w:asciiTheme="minorHAnsi" w:hAnsiTheme="minorHAnsi" w:cstheme="minorHAnsi"/>
                <w:sz w:val="22"/>
                <w:lang w:val="fr-BE"/>
              </w:rPr>
            </w:pPr>
            <w:r w:rsidRPr="000144C2">
              <w:rPr>
                <w:rFonts w:asciiTheme="minorHAnsi" w:hAnsiTheme="minorHAnsi" w:cstheme="minorHAnsi"/>
                <w:sz w:val="22"/>
                <w:lang w:val="fr-BE"/>
              </w:rPr>
              <w:t xml:space="preserve">L’article 5, § 2, 3° de l’AR de 2013 ne mentionnait l'identification et la localisation du point de terminaison du réseau utilisé par l'utilisateur final qu’au début et à la fin d'une connexion. Dans le cadre de la technologie 2G et 3G,  ceci permettait effectivement de localiser la communication réalisée au départ de cette technologie. </w:t>
            </w:r>
          </w:p>
        </w:tc>
        <w:tc>
          <w:tcPr>
            <w:tcW w:w="4508" w:type="dxa"/>
          </w:tcPr>
          <w:p w14:paraId="4314BCF4" w14:textId="03AA34A2" w:rsidR="001069DE" w:rsidRPr="000144C2" w:rsidRDefault="001069DE" w:rsidP="001069DE">
            <w:pPr>
              <w:jc w:val="both"/>
              <w:rPr>
                <w:rFonts w:asciiTheme="minorHAnsi" w:hAnsiTheme="minorHAnsi" w:cstheme="minorHAnsi"/>
                <w:sz w:val="22"/>
              </w:rPr>
            </w:pPr>
            <w:r w:rsidRPr="000144C2">
              <w:rPr>
                <w:rFonts w:asciiTheme="minorHAnsi" w:hAnsiTheme="minorHAnsi" w:cstheme="minorHAnsi"/>
                <w:sz w:val="22"/>
              </w:rPr>
              <w:t>Artikel 5, § 2, 3°, van het KB van 2013 vermeldde de identificatie en de lokalisering van het netwerkaansluitpunt gebruikt door de eindgebruiker enkel bij de aanvang en op het einde van de verbinding. In het kader van de 2G- en 3G-technologie maakte dit inderdaad mogelijk om de met deze technologie uitgevoerde communicatie te lokaliseren.</w:t>
            </w:r>
          </w:p>
        </w:tc>
      </w:tr>
      <w:tr w:rsidR="001069DE" w:rsidRPr="002F7AA5" w14:paraId="274F727A" w14:textId="77777777" w:rsidTr="00705040">
        <w:tc>
          <w:tcPr>
            <w:tcW w:w="4508" w:type="dxa"/>
          </w:tcPr>
          <w:p w14:paraId="430F8CD3" w14:textId="77777777" w:rsidR="001069DE" w:rsidRPr="0067084E" w:rsidRDefault="001069DE" w:rsidP="001069DE">
            <w:pPr>
              <w:rPr>
                <w:rFonts w:asciiTheme="minorHAnsi" w:hAnsiTheme="minorHAnsi" w:cstheme="minorHAnsi"/>
                <w:sz w:val="22"/>
              </w:rPr>
            </w:pPr>
          </w:p>
        </w:tc>
        <w:tc>
          <w:tcPr>
            <w:tcW w:w="4508" w:type="dxa"/>
          </w:tcPr>
          <w:p w14:paraId="469A44D5" w14:textId="77777777" w:rsidR="001069DE" w:rsidRPr="000144C2" w:rsidRDefault="001069DE" w:rsidP="001069DE">
            <w:pPr>
              <w:rPr>
                <w:rFonts w:asciiTheme="minorHAnsi" w:hAnsiTheme="minorHAnsi" w:cstheme="minorHAnsi"/>
                <w:sz w:val="22"/>
              </w:rPr>
            </w:pPr>
          </w:p>
        </w:tc>
      </w:tr>
      <w:tr w:rsidR="001069DE" w:rsidRPr="002F7AA5" w14:paraId="697D848F" w14:textId="77777777" w:rsidTr="00705040">
        <w:tc>
          <w:tcPr>
            <w:tcW w:w="4508" w:type="dxa"/>
          </w:tcPr>
          <w:p w14:paraId="60E9405A" w14:textId="560F751D" w:rsidR="001069DE" w:rsidRPr="000144C2" w:rsidRDefault="001069DE" w:rsidP="001069DE">
            <w:pPr>
              <w:jc w:val="both"/>
              <w:rPr>
                <w:rFonts w:asciiTheme="minorHAnsi" w:hAnsiTheme="minorHAnsi" w:cstheme="minorHAnsi"/>
                <w:sz w:val="22"/>
                <w:lang w:val="fr-BE"/>
              </w:rPr>
            </w:pPr>
            <w:r w:rsidRPr="000144C2">
              <w:rPr>
                <w:rFonts w:asciiTheme="minorHAnsi" w:hAnsiTheme="minorHAnsi" w:cstheme="minorHAnsi"/>
                <w:sz w:val="22"/>
                <w:lang w:val="fr-BE"/>
              </w:rPr>
              <w:t xml:space="preserve">Ce type d'utilisation est devenu obsolète depuis la généralisation des smartphones avec connexion de données permanente puisqu’avec </w:t>
            </w:r>
            <w:r w:rsidRPr="000144C2">
              <w:rPr>
                <w:rFonts w:asciiTheme="minorHAnsi" w:hAnsiTheme="minorHAnsi" w:cstheme="minorHAnsi"/>
                <w:sz w:val="22"/>
                <w:lang w:val="fr-BE"/>
              </w:rPr>
              <w:lastRenderedPageBreak/>
              <w:t>cette technologie, une session data peut durer de nombreuses heures (parfois supérieur</w:t>
            </w:r>
            <w:r w:rsidR="00171FC3">
              <w:rPr>
                <w:rFonts w:asciiTheme="minorHAnsi" w:hAnsiTheme="minorHAnsi" w:cstheme="minorHAnsi"/>
                <w:sz w:val="22"/>
                <w:lang w:val="fr-BE"/>
              </w:rPr>
              <w:t>e</w:t>
            </w:r>
            <w:r w:rsidRPr="000144C2">
              <w:rPr>
                <w:rFonts w:asciiTheme="minorHAnsi" w:hAnsiTheme="minorHAnsi" w:cstheme="minorHAnsi"/>
                <w:sz w:val="22"/>
                <w:lang w:val="fr-BE"/>
              </w:rPr>
              <w:t xml:space="preserve"> à 12 heures). Cela a pour conséquence qu’un utilisateur pourrait erronément être localisé à </w:t>
            </w:r>
            <w:r w:rsidR="00171FC3">
              <w:rPr>
                <w:rFonts w:asciiTheme="minorHAnsi" w:hAnsiTheme="minorHAnsi" w:cstheme="minorHAnsi"/>
                <w:sz w:val="22"/>
                <w:lang w:val="fr-BE"/>
              </w:rPr>
              <w:t>un</w:t>
            </w:r>
            <w:r w:rsidR="00171FC3" w:rsidRPr="000144C2">
              <w:rPr>
                <w:rFonts w:asciiTheme="minorHAnsi" w:hAnsiTheme="minorHAnsi" w:cstheme="minorHAnsi"/>
                <w:sz w:val="22"/>
                <w:lang w:val="fr-BE"/>
              </w:rPr>
              <w:t xml:space="preserve"> </w:t>
            </w:r>
            <w:r w:rsidRPr="000144C2">
              <w:rPr>
                <w:rFonts w:asciiTheme="minorHAnsi" w:hAnsiTheme="minorHAnsi" w:cstheme="minorHAnsi"/>
                <w:sz w:val="22"/>
                <w:lang w:val="fr-BE"/>
              </w:rPr>
              <w:t>endroit alors qu’il ne s’y trouve plus depuis de nombreuses heures.</w:t>
            </w:r>
          </w:p>
        </w:tc>
        <w:tc>
          <w:tcPr>
            <w:tcW w:w="4508" w:type="dxa"/>
          </w:tcPr>
          <w:p w14:paraId="6F56A179" w14:textId="2A0CC38F" w:rsidR="001069DE" w:rsidRPr="000144C2" w:rsidRDefault="001069DE" w:rsidP="001069DE">
            <w:pPr>
              <w:jc w:val="both"/>
              <w:rPr>
                <w:rFonts w:asciiTheme="minorHAnsi" w:hAnsiTheme="minorHAnsi" w:cstheme="minorHAnsi"/>
                <w:sz w:val="22"/>
              </w:rPr>
            </w:pPr>
            <w:r w:rsidRPr="000144C2">
              <w:rPr>
                <w:rFonts w:asciiTheme="minorHAnsi" w:hAnsiTheme="minorHAnsi" w:cstheme="minorHAnsi"/>
                <w:sz w:val="22"/>
              </w:rPr>
              <w:lastRenderedPageBreak/>
              <w:t xml:space="preserve">Dit type van gebruik is voorbijgestreefd sinds het wijdverspreide gebruik van smartphones met permanente dataverbinding, omdat met deze </w:t>
            </w:r>
            <w:r w:rsidRPr="000144C2">
              <w:rPr>
                <w:rFonts w:asciiTheme="minorHAnsi" w:hAnsiTheme="minorHAnsi" w:cstheme="minorHAnsi"/>
                <w:sz w:val="22"/>
              </w:rPr>
              <w:lastRenderedPageBreak/>
              <w:t xml:space="preserve">technologie een datasessie vele uren kan duren (soms meer dan 12 uur). Het gevolg daarvan is dat een gebruiker verkeerdelijk gelokaliseerd zou kunnen worden op </w:t>
            </w:r>
            <w:r w:rsidR="00171FC3">
              <w:rPr>
                <w:rFonts w:asciiTheme="minorHAnsi" w:hAnsiTheme="minorHAnsi" w:cstheme="minorHAnsi"/>
                <w:sz w:val="22"/>
              </w:rPr>
              <w:t>een</w:t>
            </w:r>
            <w:r w:rsidR="00171FC3" w:rsidRPr="000144C2">
              <w:rPr>
                <w:rFonts w:asciiTheme="minorHAnsi" w:hAnsiTheme="minorHAnsi" w:cstheme="minorHAnsi"/>
                <w:sz w:val="22"/>
              </w:rPr>
              <w:t xml:space="preserve"> </w:t>
            </w:r>
            <w:r w:rsidRPr="000144C2">
              <w:rPr>
                <w:rFonts w:asciiTheme="minorHAnsi" w:hAnsiTheme="minorHAnsi" w:cstheme="minorHAnsi"/>
                <w:sz w:val="22"/>
              </w:rPr>
              <w:t>plek, terwijl hij zich daar al ettelijke uren niet meer bevindt.</w:t>
            </w:r>
          </w:p>
        </w:tc>
      </w:tr>
      <w:tr w:rsidR="001069DE" w:rsidRPr="002F7AA5" w14:paraId="0F6DE9E5" w14:textId="77777777" w:rsidTr="00705040">
        <w:tc>
          <w:tcPr>
            <w:tcW w:w="4508" w:type="dxa"/>
          </w:tcPr>
          <w:p w14:paraId="0C07E23C" w14:textId="77777777" w:rsidR="001069DE" w:rsidRPr="0067084E" w:rsidRDefault="001069DE" w:rsidP="001069DE">
            <w:pPr>
              <w:jc w:val="both"/>
              <w:rPr>
                <w:rFonts w:asciiTheme="minorHAnsi" w:hAnsiTheme="minorHAnsi" w:cstheme="minorHAnsi"/>
                <w:sz w:val="22"/>
              </w:rPr>
            </w:pPr>
          </w:p>
        </w:tc>
        <w:tc>
          <w:tcPr>
            <w:tcW w:w="4508" w:type="dxa"/>
          </w:tcPr>
          <w:p w14:paraId="257EE041" w14:textId="77777777" w:rsidR="001069DE" w:rsidRPr="000144C2" w:rsidRDefault="001069DE" w:rsidP="001069DE">
            <w:pPr>
              <w:jc w:val="both"/>
              <w:rPr>
                <w:rFonts w:asciiTheme="minorHAnsi" w:hAnsiTheme="minorHAnsi" w:cstheme="minorHAnsi"/>
                <w:sz w:val="22"/>
              </w:rPr>
            </w:pPr>
          </w:p>
        </w:tc>
      </w:tr>
      <w:tr w:rsidR="001069DE" w:rsidRPr="002F7AA5" w14:paraId="11F1276C" w14:textId="77777777" w:rsidTr="00705040">
        <w:tc>
          <w:tcPr>
            <w:tcW w:w="4508" w:type="dxa"/>
          </w:tcPr>
          <w:p w14:paraId="0F53477B" w14:textId="562AD537" w:rsidR="001069DE" w:rsidRPr="000144C2" w:rsidRDefault="001069DE" w:rsidP="001069DE">
            <w:pPr>
              <w:jc w:val="both"/>
              <w:rPr>
                <w:rFonts w:asciiTheme="minorHAnsi" w:hAnsiTheme="minorHAnsi" w:cstheme="minorHAnsi"/>
                <w:sz w:val="22"/>
                <w:lang w:val="fr-BE"/>
              </w:rPr>
            </w:pPr>
            <w:r w:rsidRPr="000144C2">
              <w:rPr>
                <w:rFonts w:asciiTheme="minorHAnsi" w:hAnsiTheme="minorHAnsi" w:cstheme="minorHAnsi"/>
                <w:sz w:val="22"/>
                <w:lang w:val="fr-BE"/>
              </w:rPr>
              <w:t>Cette localisation erronée risque d’emporter des conséquences, à charge ou à décharge, des citoyens.</w:t>
            </w:r>
          </w:p>
        </w:tc>
        <w:tc>
          <w:tcPr>
            <w:tcW w:w="4508" w:type="dxa"/>
          </w:tcPr>
          <w:p w14:paraId="08E9F1E2" w14:textId="44426FFA" w:rsidR="001069DE" w:rsidRPr="000144C2" w:rsidRDefault="001069DE" w:rsidP="001069DE">
            <w:pPr>
              <w:jc w:val="both"/>
              <w:rPr>
                <w:rFonts w:asciiTheme="minorHAnsi" w:hAnsiTheme="minorHAnsi" w:cstheme="minorHAnsi"/>
                <w:sz w:val="22"/>
              </w:rPr>
            </w:pPr>
            <w:r w:rsidRPr="000144C2">
              <w:rPr>
                <w:rFonts w:asciiTheme="minorHAnsi" w:hAnsiTheme="minorHAnsi" w:cstheme="minorHAnsi"/>
                <w:sz w:val="22"/>
              </w:rPr>
              <w:t>Deze foutieve plaatsbepaling riskeert gevolgen à charge of à décharge voor de burgers met zich te brengen.</w:t>
            </w:r>
          </w:p>
        </w:tc>
      </w:tr>
      <w:tr w:rsidR="001069DE" w:rsidRPr="002F7AA5" w14:paraId="5C6DED54" w14:textId="77777777" w:rsidTr="00705040">
        <w:tc>
          <w:tcPr>
            <w:tcW w:w="4508" w:type="dxa"/>
          </w:tcPr>
          <w:p w14:paraId="1C4CFC2B" w14:textId="77777777" w:rsidR="001069DE" w:rsidRPr="0067084E" w:rsidRDefault="001069DE" w:rsidP="001069DE">
            <w:pPr>
              <w:jc w:val="both"/>
              <w:rPr>
                <w:rFonts w:asciiTheme="minorHAnsi" w:hAnsiTheme="minorHAnsi" w:cstheme="minorHAnsi"/>
                <w:sz w:val="22"/>
              </w:rPr>
            </w:pPr>
          </w:p>
        </w:tc>
        <w:tc>
          <w:tcPr>
            <w:tcW w:w="4508" w:type="dxa"/>
          </w:tcPr>
          <w:p w14:paraId="5072BA9D" w14:textId="77777777" w:rsidR="001069DE" w:rsidRPr="000144C2" w:rsidRDefault="001069DE" w:rsidP="001069DE">
            <w:pPr>
              <w:jc w:val="both"/>
              <w:rPr>
                <w:rFonts w:asciiTheme="minorHAnsi" w:hAnsiTheme="minorHAnsi" w:cstheme="minorHAnsi"/>
                <w:sz w:val="22"/>
              </w:rPr>
            </w:pPr>
          </w:p>
        </w:tc>
      </w:tr>
      <w:tr w:rsidR="001069DE" w:rsidRPr="002F7AA5" w14:paraId="38EF6C7E" w14:textId="77777777" w:rsidTr="00705040">
        <w:tc>
          <w:tcPr>
            <w:tcW w:w="4508" w:type="dxa"/>
          </w:tcPr>
          <w:p w14:paraId="6B82162D" w14:textId="43CEB139" w:rsidR="001069DE" w:rsidRPr="000144C2" w:rsidRDefault="001069DE" w:rsidP="001069DE">
            <w:pPr>
              <w:jc w:val="both"/>
              <w:rPr>
                <w:rFonts w:asciiTheme="minorHAnsi" w:hAnsiTheme="minorHAnsi" w:cstheme="minorHAnsi"/>
                <w:sz w:val="22"/>
                <w:lang w:val="fr-BE"/>
              </w:rPr>
            </w:pPr>
            <w:r w:rsidRPr="000144C2">
              <w:rPr>
                <w:rFonts w:asciiTheme="minorHAnsi" w:hAnsiTheme="minorHAnsi" w:cstheme="minorHAnsi"/>
                <w:sz w:val="22"/>
                <w:lang w:val="fr-BE"/>
              </w:rPr>
              <w:t xml:space="preserve">Dans le cas d'une connexion de données mobile ou sans fil, il est également important de connaître les points de terminaison du réseau utilisés par l'utilisateur final pendant la communication. </w:t>
            </w:r>
          </w:p>
        </w:tc>
        <w:tc>
          <w:tcPr>
            <w:tcW w:w="4508" w:type="dxa"/>
          </w:tcPr>
          <w:p w14:paraId="7899A22C" w14:textId="6B71A4A8" w:rsidR="001069DE" w:rsidRPr="000144C2" w:rsidRDefault="001069DE" w:rsidP="001069DE">
            <w:pPr>
              <w:jc w:val="both"/>
              <w:rPr>
                <w:rFonts w:asciiTheme="minorHAnsi" w:hAnsiTheme="minorHAnsi" w:cstheme="minorHAnsi"/>
                <w:sz w:val="22"/>
              </w:rPr>
            </w:pPr>
            <w:r w:rsidRPr="000144C2">
              <w:rPr>
                <w:rFonts w:asciiTheme="minorHAnsi" w:hAnsiTheme="minorHAnsi" w:cstheme="minorHAnsi"/>
                <w:sz w:val="22"/>
              </w:rPr>
              <w:t xml:space="preserve">In geval van een mobiele of draadloze dataverbinding is het belangrijk ook de netwerkaansluitpunten die door de eindgebruiker worden gebruikt gedurende de communicatie te kennen. </w:t>
            </w:r>
          </w:p>
        </w:tc>
      </w:tr>
      <w:tr w:rsidR="001069DE" w:rsidRPr="002F7AA5" w14:paraId="365ADE79" w14:textId="77777777" w:rsidTr="00705040">
        <w:tc>
          <w:tcPr>
            <w:tcW w:w="4508" w:type="dxa"/>
          </w:tcPr>
          <w:p w14:paraId="44A2CAF9" w14:textId="77777777" w:rsidR="001069DE" w:rsidRPr="0067084E" w:rsidRDefault="001069DE" w:rsidP="001069DE">
            <w:pPr>
              <w:jc w:val="both"/>
              <w:rPr>
                <w:rFonts w:asciiTheme="minorHAnsi" w:hAnsiTheme="minorHAnsi" w:cstheme="minorHAnsi"/>
                <w:sz w:val="22"/>
              </w:rPr>
            </w:pPr>
          </w:p>
        </w:tc>
        <w:tc>
          <w:tcPr>
            <w:tcW w:w="4508" w:type="dxa"/>
          </w:tcPr>
          <w:p w14:paraId="345184A8" w14:textId="77777777" w:rsidR="001069DE" w:rsidRPr="000144C2" w:rsidRDefault="001069DE" w:rsidP="001069DE">
            <w:pPr>
              <w:jc w:val="both"/>
              <w:rPr>
                <w:rFonts w:asciiTheme="minorHAnsi" w:hAnsiTheme="minorHAnsi" w:cstheme="minorHAnsi"/>
                <w:sz w:val="22"/>
              </w:rPr>
            </w:pPr>
          </w:p>
        </w:tc>
      </w:tr>
      <w:tr w:rsidR="001069DE" w:rsidRPr="002F7AA5" w14:paraId="553E9104" w14:textId="77777777" w:rsidTr="00705040">
        <w:tc>
          <w:tcPr>
            <w:tcW w:w="4508" w:type="dxa"/>
          </w:tcPr>
          <w:p w14:paraId="5421F703" w14:textId="01C6AFC8" w:rsidR="001069DE" w:rsidRPr="000144C2" w:rsidRDefault="001069DE" w:rsidP="001069DE">
            <w:pPr>
              <w:jc w:val="both"/>
              <w:rPr>
                <w:rFonts w:asciiTheme="minorHAnsi" w:hAnsiTheme="minorHAnsi" w:cstheme="minorHAnsi"/>
                <w:sz w:val="22"/>
                <w:lang w:val="fr-BE"/>
              </w:rPr>
            </w:pPr>
            <w:r w:rsidRPr="000144C2">
              <w:rPr>
                <w:rFonts w:asciiTheme="minorHAnsi" w:hAnsiTheme="minorHAnsi" w:cstheme="minorHAnsi"/>
                <w:sz w:val="22"/>
                <w:lang w:val="fr-BE"/>
              </w:rPr>
              <w:t xml:space="preserve">Ces données sont disponibles auprès de l'opérateur étant donné que le réseau de télécommunications a besoin de connaître à tout moment la localisation de l’équipement de l'utilisateur final, et pour cela il s'appuie sur les données fournies par les antennes au moment de la fourniture d'une communication. </w:t>
            </w:r>
          </w:p>
        </w:tc>
        <w:tc>
          <w:tcPr>
            <w:tcW w:w="4508" w:type="dxa"/>
          </w:tcPr>
          <w:p w14:paraId="360E14BE" w14:textId="3E522AC0" w:rsidR="001069DE" w:rsidRPr="000144C2" w:rsidRDefault="001069DE" w:rsidP="001069DE">
            <w:pPr>
              <w:jc w:val="both"/>
              <w:rPr>
                <w:rFonts w:asciiTheme="minorHAnsi" w:hAnsiTheme="minorHAnsi" w:cstheme="minorHAnsi"/>
                <w:sz w:val="22"/>
              </w:rPr>
            </w:pPr>
            <w:r w:rsidRPr="000144C2">
              <w:rPr>
                <w:rFonts w:asciiTheme="minorHAnsi" w:hAnsiTheme="minorHAnsi" w:cstheme="minorHAnsi"/>
                <w:sz w:val="22"/>
              </w:rPr>
              <w:t xml:space="preserve">Deze gegevens zijn beschikbaar bij de operator, want het telecommunicatienetwerk dient te allen tijde de locatie van de eindgebruikersapparatuur te kennen, en hiervoor valt het terug op de gegevens die de antennes aanleveren bij het aanbieden van een communicatie. </w:t>
            </w:r>
          </w:p>
        </w:tc>
      </w:tr>
      <w:tr w:rsidR="001069DE" w:rsidRPr="002F7AA5" w14:paraId="7301CBC8" w14:textId="77777777" w:rsidTr="00705040">
        <w:tc>
          <w:tcPr>
            <w:tcW w:w="4508" w:type="dxa"/>
          </w:tcPr>
          <w:p w14:paraId="51C49D1B" w14:textId="77777777" w:rsidR="001069DE" w:rsidRPr="0067084E" w:rsidRDefault="001069DE" w:rsidP="001069DE">
            <w:pPr>
              <w:jc w:val="both"/>
              <w:rPr>
                <w:rFonts w:asciiTheme="minorHAnsi" w:hAnsiTheme="minorHAnsi" w:cstheme="minorHAnsi"/>
                <w:sz w:val="22"/>
              </w:rPr>
            </w:pPr>
          </w:p>
        </w:tc>
        <w:tc>
          <w:tcPr>
            <w:tcW w:w="4508" w:type="dxa"/>
          </w:tcPr>
          <w:p w14:paraId="7ECBFEFA" w14:textId="77777777" w:rsidR="001069DE" w:rsidRPr="000144C2" w:rsidRDefault="001069DE" w:rsidP="001069DE">
            <w:pPr>
              <w:jc w:val="both"/>
              <w:rPr>
                <w:rFonts w:asciiTheme="minorHAnsi" w:hAnsiTheme="minorHAnsi" w:cstheme="minorHAnsi"/>
                <w:sz w:val="22"/>
              </w:rPr>
            </w:pPr>
          </w:p>
        </w:tc>
      </w:tr>
      <w:tr w:rsidR="001069DE" w:rsidRPr="002F7AA5" w14:paraId="1929661A" w14:textId="77777777" w:rsidTr="00705040">
        <w:tc>
          <w:tcPr>
            <w:tcW w:w="4508" w:type="dxa"/>
          </w:tcPr>
          <w:p w14:paraId="5C4E380B" w14:textId="713EF033" w:rsidR="001069DE" w:rsidRPr="000144C2" w:rsidRDefault="001069DE" w:rsidP="001069DE">
            <w:pPr>
              <w:jc w:val="both"/>
              <w:rPr>
                <w:rFonts w:asciiTheme="minorHAnsi" w:hAnsiTheme="minorHAnsi" w:cstheme="minorHAnsi"/>
                <w:sz w:val="22"/>
                <w:lang w:val="fr-BE"/>
              </w:rPr>
            </w:pPr>
            <w:r w:rsidRPr="000144C2">
              <w:rPr>
                <w:rFonts w:asciiTheme="minorHAnsi" w:hAnsiTheme="minorHAnsi" w:cstheme="minorHAnsi"/>
                <w:sz w:val="22"/>
                <w:lang w:val="fr-BE"/>
              </w:rPr>
              <w:t>Au début d'une connexion à l'antenne A, d’un transfert de la connexion mobile (le « </w:t>
            </w:r>
            <w:proofErr w:type="spellStart"/>
            <w:r w:rsidRPr="000144C2">
              <w:rPr>
                <w:rFonts w:asciiTheme="minorHAnsi" w:hAnsiTheme="minorHAnsi" w:cstheme="minorHAnsi"/>
                <w:sz w:val="22"/>
                <w:lang w:val="fr-BE"/>
              </w:rPr>
              <w:t>handover</w:t>
            </w:r>
            <w:proofErr w:type="spellEnd"/>
            <w:r w:rsidRPr="000144C2">
              <w:rPr>
                <w:rFonts w:asciiTheme="minorHAnsi" w:hAnsiTheme="minorHAnsi" w:cstheme="minorHAnsi"/>
                <w:sz w:val="22"/>
                <w:lang w:val="fr-BE"/>
              </w:rPr>
              <w:t> ») à l'antenne B et à la fin de la connexion à l'antenne C, les données de localisation des trois antennes doivent être  enregistrées à la suite de  cette modification, alors qu'auparavant, seules les positions de l'antenne au début et à la fin étaient enregistrées.</w:t>
            </w:r>
          </w:p>
        </w:tc>
        <w:tc>
          <w:tcPr>
            <w:tcW w:w="4508" w:type="dxa"/>
          </w:tcPr>
          <w:p w14:paraId="3FC8E5EC" w14:textId="1691CD51" w:rsidR="001069DE" w:rsidRPr="000144C2" w:rsidRDefault="001069DE" w:rsidP="001069DE">
            <w:pPr>
              <w:jc w:val="both"/>
              <w:rPr>
                <w:rFonts w:asciiTheme="minorHAnsi" w:hAnsiTheme="minorHAnsi" w:cstheme="minorHAnsi"/>
                <w:sz w:val="22"/>
              </w:rPr>
            </w:pPr>
            <w:r w:rsidRPr="000144C2">
              <w:rPr>
                <w:rFonts w:asciiTheme="minorHAnsi" w:hAnsiTheme="minorHAnsi" w:cstheme="minorHAnsi"/>
                <w:sz w:val="22"/>
              </w:rPr>
              <w:t>Bij de start van een verbinding op antenne A, een overdracht van de mobiele verbinding (de “</w:t>
            </w:r>
            <w:proofErr w:type="spellStart"/>
            <w:r w:rsidRPr="000144C2">
              <w:rPr>
                <w:rFonts w:asciiTheme="minorHAnsi" w:hAnsiTheme="minorHAnsi" w:cstheme="minorHAnsi"/>
                <w:sz w:val="22"/>
              </w:rPr>
              <w:t>handover</w:t>
            </w:r>
            <w:proofErr w:type="spellEnd"/>
            <w:r w:rsidRPr="000144C2">
              <w:rPr>
                <w:rFonts w:asciiTheme="minorHAnsi" w:hAnsiTheme="minorHAnsi" w:cstheme="minorHAnsi"/>
                <w:sz w:val="22"/>
              </w:rPr>
              <w:t>”) naar antenne B en het afsluiten van de verbinding op antenne C, moeten naar aanleiding van deze wijziging de locatiegegevens van de drie antennes worden bewaard, terwijl voorheen enkel de antenneposities bij aanvang en einde werden bewaard.</w:t>
            </w:r>
          </w:p>
        </w:tc>
      </w:tr>
      <w:tr w:rsidR="001069DE" w:rsidRPr="002F7AA5" w14:paraId="56DFE812" w14:textId="77777777" w:rsidTr="00705040">
        <w:tc>
          <w:tcPr>
            <w:tcW w:w="4508" w:type="dxa"/>
          </w:tcPr>
          <w:p w14:paraId="0E913489" w14:textId="77777777" w:rsidR="001069DE" w:rsidRPr="0067084E" w:rsidRDefault="001069DE" w:rsidP="001069DE">
            <w:pPr>
              <w:rPr>
                <w:rFonts w:asciiTheme="minorHAnsi" w:hAnsiTheme="minorHAnsi" w:cstheme="minorHAnsi"/>
                <w:sz w:val="22"/>
              </w:rPr>
            </w:pPr>
          </w:p>
        </w:tc>
        <w:tc>
          <w:tcPr>
            <w:tcW w:w="4508" w:type="dxa"/>
          </w:tcPr>
          <w:p w14:paraId="73993053" w14:textId="77777777" w:rsidR="001069DE" w:rsidRPr="000144C2" w:rsidRDefault="001069DE" w:rsidP="001069DE">
            <w:pPr>
              <w:rPr>
                <w:rFonts w:asciiTheme="minorHAnsi" w:hAnsiTheme="minorHAnsi" w:cstheme="minorHAnsi"/>
                <w:sz w:val="22"/>
              </w:rPr>
            </w:pPr>
          </w:p>
        </w:tc>
      </w:tr>
      <w:tr w:rsidR="001069DE" w:rsidRPr="002F7AA5" w14:paraId="5601C7C7" w14:textId="77777777" w:rsidTr="00705040">
        <w:tc>
          <w:tcPr>
            <w:tcW w:w="4508" w:type="dxa"/>
          </w:tcPr>
          <w:p w14:paraId="643EC557" w14:textId="727E4868" w:rsidR="001069DE" w:rsidRPr="000144C2" w:rsidRDefault="001069DE" w:rsidP="00984FE0">
            <w:pPr>
              <w:jc w:val="both"/>
              <w:rPr>
                <w:rFonts w:asciiTheme="minorHAnsi" w:hAnsiTheme="minorHAnsi" w:cstheme="minorHAnsi"/>
                <w:sz w:val="22"/>
                <w:lang w:val="fr-BE"/>
              </w:rPr>
            </w:pPr>
            <w:r w:rsidRPr="000144C2">
              <w:rPr>
                <w:rFonts w:asciiTheme="minorHAnsi" w:hAnsiTheme="minorHAnsi" w:cstheme="minorHAnsi"/>
                <w:sz w:val="22"/>
                <w:lang w:val="fr-BE"/>
              </w:rPr>
              <w:t>Dans la pratique, cela apporte une valeur ajoutée opérationnelle cruciale. Cette adaptation reflète l'utilisation moderne et continue des télécommunications mobiles.</w:t>
            </w:r>
          </w:p>
        </w:tc>
        <w:tc>
          <w:tcPr>
            <w:tcW w:w="4508" w:type="dxa"/>
          </w:tcPr>
          <w:p w14:paraId="572588E6" w14:textId="71ACAF85"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rPr>
              <w:t>In de praktijk biedt dit een cruciale operationele meerwaarde. Deze aanpassing weerspiegelt het moderne en continue gebruik van mobiele telecommunicatiemiddelen.</w:t>
            </w:r>
          </w:p>
        </w:tc>
      </w:tr>
      <w:tr w:rsidR="00984FE0" w:rsidRPr="002F7AA5" w14:paraId="157AC2C2" w14:textId="77777777" w:rsidTr="00705040">
        <w:tc>
          <w:tcPr>
            <w:tcW w:w="4508" w:type="dxa"/>
          </w:tcPr>
          <w:p w14:paraId="6C4DAD0C" w14:textId="77777777" w:rsidR="00984FE0" w:rsidRPr="0067084E" w:rsidRDefault="00984FE0" w:rsidP="00984FE0">
            <w:pPr>
              <w:jc w:val="both"/>
              <w:rPr>
                <w:rFonts w:asciiTheme="minorHAnsi" w:hAnsiTheme="minorHAnsi" w:cstheme="minorHAnsi"/>
                <w:sz w:val="22"/>
              </w:rPr>
            </w:pPr>
          </w:p>
        </w:tc>
        <w:tc>
          <w:tcPr>
            <w:tcW w:w="4508" w:type="dxa"/>
          </w:tcPr>
          <w:p w14:paraId="7AF49EBD" w14:textId="77777777" w:rsidR="00984FE0" w:rsidRPr="000144C2" w:rsidRDefault="00984FE0" w:rsidP="00984FE0">
            <w:pPr>
              <w:jc w:val="both"/>
              <w:rPr>
                <w:rFonts w:asciiTheme="minorHAnsi" w:hAnsiTheme="minorHAnsi" w:cstheme="minorHAnsi"/>
                <w:sz w:val="22"/>
              </w:rPr>
            </w:pPr>
          </w:p>
        </w:tc>
      </w:tr>
      <w:tr w:rsidR="001069DE" w:rsidRPr="002F7AA5" w14:paraId="6087E981" w14:textId="77777777" w:rsidTr="00705040">
        <w:tc>
          <w:tcPr>
            <w:tcW w:w="4508" w:type="dxa"/>
          </w:tcPr>
          <w:p w14:paraId="1D5A1089" w14:textId="08D67755" w:rsidR="001069DE" w:rsidRPr="000144C2" w:rsidRDefault="001069DE" w:rsidP="00984FE0">
            <w:pPr>
              <w:jc w:val="both"/>
              <w:rPr>
                <w:rFonts w:asciiTheme="minorHAnsi" w:hAnsiTheme="minorHAnsi" w:cstheme="minorHAnsi"/>
                <w:sz w:val="22"/>
                <w:lang w:val="fr-BE"/>
              </w:rPr>
            </w:pPr>
            <w:r w:rsidRPr="000144C2">
              <w:rPr>
                <w:rFonts w:asciiTheme="minorHAnsi" w:hAnsiTheme="minorHAnsi" w:cstheme="minorHAnsi"/>
                <w:sz w:val="22"/>
                <w:u w:val="single"/>
                <w:lang w:val="fr-BE"/>
              </w:rPr>
              <w:t>Le volume de données envoyées et téléchargées pendant la durée de la session</w:t>
            </w:r>
            <w:r w:rsidRPr="000144C2" w:rsidDel="00832B43">
              <w:rPr>
                <w:rFonts w:asciiTheme="minorHAnsi" w:hAnsiTheme="minorHAnsi" w:cstheme="minorHAnsi"/>
                <w:sz w:val="22"/>
                <w:u w:val="single"/>
                <w:lang w:val="fr-BE"/>
              </w:rPr>
              <w:t xml:space="preserve"> </w:t>
            </w:r>
            <w:r w:rsidRPr="000144C2">
              <w:rPr>
                <w:rFonts w:asciiTheme="minorHAnsi" w:hAnsiTheme="minorHAnsi" w:cstheme="minorHAnsi"/>
                <w:sz w:val="22"/>
                <w:u w:val="single"/>
                <w:lang w:val="fr-BE"/>
              </w:rPr>
              <w:t>(8°)</w:t>
            </w:r>
          </w:p>
        </w:tc>
        <w:tc>
          <w:tcPr>
            <w:tcW w:w="4508" w:type="dxa"/>
          </w:tcPr>
          <w:p w14:paraId="2339192F" w14:textId="26ACAEA7"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u w:val="single"/>
              </w:rPr>
              <w:t>Het tijdens de sessie geüploade en gedownloade volume van gegevens (8°)</w:t>
            </w:r>
          </w:p>
        </w:tc>
      </w:tr>
      <w:tr w:rsidR="00984FE0" w:rsidRPr="002F7AA5" w14:paraId="7E4CBC9E" w14:textId="77777777" w:rsidTr="00705040">
        <w:tc>
          <w:tcPr>
            <w:tcW w:w="4508" w:type="dxa"/>
          </w:tcPr>
          <w:p w14:paraId="7DC64492" w14:textId="77777777" w:rsidR="00984FE0" w:rsidRPr="0067084E" w:rsidRDefault="00984FE0" w:rsidP="00984FE0">
            <w:pPr>
              <w:jc w:val="both"/>
              <w:rPr>
                <w:rFonts w:asciiTheme="minorHAnsi" w:hAnsiTheme="minorHAnsi" w:cstheme="minorHAnsi"/>
                <w:sz w:val="22"/>
                <w:u w:val="single"/>
              </w:rPr>
            </w:pPr>
          </w:p>
        </w:tc>
        <w:tc>
          <w:tcPr>
            <w:tcW w:w="4508" w:type="dxa"/>
          </w:tcPr>
          <w:p w14:paraId="3A418309" w14:textId="77777777" w:rsidR="00984FE0" w:rsidRPr="000144C2" w:rsidRDefault="00984FE0" w:rsidP="00984FE0">
            <w:pPr>
              <w:jc w:val="both"/>
              <w:rPr>
                <w:rFonts w:asciiTheme="minorHAnsi" w:hAnsiTheme="minorHAnsi" w:cstheme="minorHAnsi"/>
                <w:sz w:val="22"/>
                <w:u w:val="single"/>
              </w:rPr>
            </w:pPr>
          </w:p>
        </w:tc>
      </w:tr>
      <w:tr w:rsidR="001069DE" w:rsidRPr="002F7AA5" w14:paraId="15A950C4" w14:textId="77777777" w:rsidTr="00705040">
        <w:tc>
          <w:tcPr>
            <w:tcW w:w="4508" w:type="dxa"/>
          </w:tcPr>
          <w:p w14:paraId="5915D400" w14:textId="49B50E0A" w:rsidR="001069DE" w:rsidRPr="000144C2" w:rsidRDefault="001069DE" w:rsidP="00984FE0">
            <w:pPr>
              <w:jc w:val="both"/>
              <w:rPr>
                <w:rFonts w:asciiTheme="minorHAnsi" w:hAnsiTheme="minorHAnsi" w:cstheme="minorHAnsi"/>
                <w:sz w:val="22"/>
                <w:lang w:val="fr-BE"/>
              </w:rPr>
            </w:pPr>
            <w:r w:rsidRPr="000144C2">
              <w:rPr>
                <w:rFonts w:asciiTheme="minorHAnsi" w:hAnsiTheme="minorHAnsi" w:cstheme="minorHAnsi"/>
                <w:sz w:val="22"/>
                <w:lang w:val="fr-BE"/>
              </w:rPr>
              <w:t>Cette obligation, qui était déjà prévue par l’arrêté royal du 19 septembre 2013 pour les services d’accès à internet (art. 5, § 2, 5°), est maintenue.</w:t>
            </w:r>
          </w:p>
        </w:tc>
        <w:tc>
          <w:tcPr>
            <w:tcW w:w="4508" w:type="dxa"/>
          </w:tcPr>
          <w:p w14:paraId="3572F18C" w14:textId="41E87983"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lang w:val="fr-BE"/>
              </w:rPr>
              <w:t xml:space="preserve"> </w:t>
            </w:r>
            <w:r w:rsidRPr="000144C2">
              <w:rPr>
                <w:rFonts w:asciiTheme="minorHAnsi" w:hAnsiTheme="minorHAnsi" w:cstheme="minorHAnsi"/>
                <w:sz w:val="22"/>
              </w:rPr>
              <w:t>Deze verplichting, waarin reeds voorzien werd door het koninklijk besluit van 19 september 2013 voor de internettoegangsdiensten, (art. 5, § 2, 5°) wordt behouden.</w:t>
            </w:r>
          </w:p>
        </w:tc>
      </w:tr>
      <w:tr w:rsidR="00984FE0" w:rsidRPr="002F7AA5" w14:paraId="489EF5EA" w14:textId="77777777" w:rsidTr="00705040">
        <w:tc>
          <w:tcPr>
            <w:tcW w:w="4508" w:type="dxa"/>
          </w:tcPr>
          <w:p w14:paraId="5F046964" w14:textId="77777777" w:rsidR="00984FE0" w:rsidRPr="0067084E" w:rsidRDefault="00984FE0" w:rsidP="00984FE0">
            <w:pPr>
              <w:jc w:val="both"/>
              <w:rPr>
                <w:rFonts w:asciiTheme="minorHAnsi" w:hAnsiTheme="minorHAnsi" w:cstheme="minorHAnsi"/>
                <w:sz w:val="22"/>
              </w:rPr>
            </w:pPr>
          </w:p>
        </w:tc>
        <w:tc>
          <w:tcPr>
            <w:tcW w:w="4508" w:type="dxa"/>
          </w:tcPr>
          <w:p w14:paraId="474BF912" w14:textId="77777777" w:rsidR="00984FE0" w:rsidRPr="0067084E" w:rsidRDefault="00984FE0" w:rsidP="00984FE0">
            <w:pPr>
              <w:jc w:val="both"/>
              <w:rPr>
                <w:rFonts w:asciiTheme="minorHAnsi" w:hAnsiTheme="minorHAnsi" w:cstheme="minorHAnsi"/>
                <w:sz w:val="22"/>
              </w:rPr>
            </w:pPr>
          </w:p>
        </w:tc>
      </w:tr>
      <w:tr w:rsidR="001069DE" w:rsidRPr="002F7AA5" w14:paraId="3F538A9B" w14:textId="77777777" w:rsidTr="00705040">
        <w:tc>
          <w:tcPr>
            <w:tcW w:w="4508" w:type="dxa"/>
          </w:tcPr>
          <w:p w14:paraId="17FA2E46" w14:textId="0E8A754D" w:rsidR="001069DE" w:rsidRPr="000144C2" w:rsidRDefault="001069DE" w:rsidP="00984FE0">
            <w:pPr>
              <w:jc w:val="both"/>
              <w:rPr>
                <w:rFonts w:asciiTheme="minorHAnsi" w:hAnsiTheme="minorHAnsi" w:cstheme="minorHAnsi"/>
                <w:sz w:val="22"/>
                <w:lang w:val="fr-BE"/>
              </w:rPr>
            </w:pPr>
            <w:r w:rsidRPr="000144C2">
              <w:rPr>
                <w:rFonts w:asciiTheme="minorHAnsi" w:hAnsiTheme="minorHAnsi" w:cstheme="minorHAnsi"/>
                <w:sz w:val="22"/>
                <w:u w:val="single"/>
                <w:lang w:val="fr-BE"/>
              </w:rPr>
              <w:t>Dates et heures du démarrage et de l’extinction de l’équipement terminal (9°)</w:t>
            </w:r>
          </w:p>
        </w:tc>
        <w:tc>
          <w:tcPr>
            <w:tcW w:w="4508" w:type="dxa"/>
          </w:tcPr>
          <w:p w14:paraId="73CDF597" w14:textId="70C2D539"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u w:val="single"/>
              </w:rPr>
              <w:t>Data en tijdstippen van de inschakeling en uitschakeling van de eindapparatuur (9°)</w:t>
            </w:r>
          </w:p>
        </w:tc>
      </w:tr>
      <w:tr w:rsidR="00984FE0" w:rsidRPr="002F7AA5" w14:paraId="29637B1F" w14:textId="77777777" w:rsidTr="00705040">
        <w:tc>
          <w:tcPr>
            <w:tcW w:w="4508" w:type="dxa"/>
          </w:tcPr>
          <w:p w14:paraId="30B31B79" w14:textId="77777777" w:rsidR="00984FE0" w:rsidRPr="0067084E" w:rsidRDefault="00984FE0" w:rsidP="001069DE">
            <w:pPr>
              <w:rPr>
                <w:rFonts w:asciiTheme="minorHAnsi" w:hAnsiTheme="minorHAnsi" w:cstheme="minorHAnsi"/>
                <w:sz w:val="22"/>
                <w:u w:val="single"/>
              </w:rPr>
            </w:pPr>
          </w:p>
        </w:tc>
        <w:tc>
          <w:tcPr>
            <w:tcW w:w="4508" w:type="dxa"/>
          </w:tcPr>
          <w:p w14:paraId="6231BE6E" w14:textId="77777777" w:rsidR="00984FE0" w:rsidRPr="000144C2" w:rsidRDefault="00984FE0" w:rsidP="001069DE">
            <w:pPr>
              <w:rPr>
                <w:rFonts w:asciiTheme="minorHAnsi" w:hAnsiTheme="minorHAnsi" w:cstheme="minorHAnsi"/>
                <w:sz w:val="22"/>
                <w:u w:val="single"/>
              </w:rPr>
            </w:pPr>
          </w:p>
        </w:tc>
      </w:tr>
      <w:tr w:rsidR="001069DE" w:rsidRPr="002F7AA5" w14:paraId="0406E237" w14:textId="77777777" w:rsidTr="00705040">
        <w:tc>
          <w:tcPr>
            <w:tcW w:w="4508" w:type="dxa"/>
          </w:tcPr>
          <w:p w14:paraId="02F933C1" w14:textId="7D7AEC21" w:rsidR="001069DE" w:rsidRPr="000144C2" w:rsidRDefault="001069DE" w:rsidP="00984FE0">
            <w:pPr>
              <w:jc w:val="both"/>
              <w:rPr>
                <w:rFonts w:asciiTheme="minorHAnsi" w:hAnsiTheme="minorHAnsi" w:cstheme="minorHAnsi"/>
                <w:sz w:val="22"/>
                <w:lang w:val="fr-BE"/>
              </w:rPr>
            </w:pPr>
            <w:r w:rsidRPr="000144C2">
              <w:rPr>
                <w:rFonts w:asciiTheme="minorHAnsi" w:hAnsiTheme="minorHAnsi" w:cstheme="minorHAnsi"/>
                <w:sz w:val="22"/>
                <w:lang w:val="fr-BE"/>
              </w:rPr>
              <w:lastRenderedPageBreak/>
              <w:t>Alors que les articles 4, § 2, 6° et 5, § 2, 3° de l’arrêté royal de 2013 contenaient une obligation large pour les opérateurs en matière de conservation de données de connexion, le nouveau paragraphe 2, 9° de l’article 126/2 en projet prévoit la conservation de certaines données de connexion indépendantes d’une communication, à savoir les données de (dé)connexion qui sont générées par l’allumage ou l’extinction du téléphone mobile.</w:t>
            </w:r>
          </w:p>
        </w:tc>
        <w:tc>
          <w:tcPr>
            <w:tcW w:w="4508" w:type="dxa"/>
          </w:tcPr>
          <w:p w14:paraId="2D43259E" w14:textId="6FC1BB13"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rPr>
              <w:t>Terwijl de artikelen 4, § 2, 6° en 5, § 2, 3° van het koninklijk besluit van 2013 een brede verplichting omhelsden voor de operatoren inzake bewaring van verbindingsgegevens, schrijft de nieuwe paragraaf 2, 9° van het ontworpen artikel 126/2 de bewaring voor van bepaalde verbindingsgegevens los van een communicatie, namelijk de verbindings-/afschakelgegevens die worden gegenereerd bij het aan- of uitzetten van de mobiele telefoon.</w:t>
            </w:r>
          </w:p>
        </w:tc>
      </w:tr>
      <w:tr w:rsidR="00984FE0" w:rsidRPr="002F7AA5" w14:paraId="4F11BCC2" w14:textId="77777777" w:rsidTr="00705040">
        <w:tc>
          <w:tcPr>
            <w:tcW w:w="4508" w:type="dxa"/>
          </w:tcPr>
          <w:p w14:paraId="6D68235C" w14:textId="77777777" w:rsidR="00984FE0" w:rsidRPr="0067084E" w:rsidRDefault="00984FE0" w:rsidP="00984FE0">
            <w:pPr>
              <w:jc w:val="both"/>
              <w:rPr>
                <w:rFonts w:asciiTheme="minorHAnsi" w:hAnsiTheme="minorHAnsi" w:cstheme="minorHAnsi"/>
                <w:sz w:val="22"/>
              </w:rPr>
            </w:pPr>
          </w:p>
        </w:tc>
        <w:tc>
          <w:tcPr>
            <w:tcW w:w="4508" w:type="dxa"/>
          </w:tcPr>
          <w:p w14:paraId="4F21644D" w14:textId="77777777" w:rsidR="00984FE0" w:rsidRPr="000144C2" w:rsidRDefault="00984FE0" w:rsidP="00984FE0">
            <w:pPr>
              <w:jc w:val="both"/>
              <w:rPr>
                <w:rFonts w:asciiTheme="minorHAnsi" w:hAnsiTheme="minorHAnsi" w:cstheme="minorHAnsi"/>
                <w:sz w:val="22"/>
              </w:rPr>
            </w:pPr>
          </w:p>
        </w:tc>
      </w:tr>
      <w:tr w:rsidR="001069DE" w:rsidRPr="002F7AA5" w14:paraId="47539D9D" w14:textId="77777777" w:rsidTr="00705040">
        <w:tc>
          <w:tcPr>
            <w:tcW w:w="4508" w:type="dxa"/>
          </w:tcPr>
          <w:p w14:paraId="17210ADC" w14:textId="7632C94D" w:rsidR="001069DE" w:rsidRPr="000144C2" w:rsidRDefault="001069DE" w:rsidP="00984FE0">
            <w:pPr>
              <w:jc w:val="both"/>
              <w:rPr>
                <w:rFonts w:asciiTheme="minorHAnsi" w:hAnsiTheme="minorHAnsi" w:cstheme="minorHAnsi"/>
                <w:sz w:val="22"/>
                <w:lang w:val="fr-BE"/>
              </w:rPr>
            </w:pPr>
            <w:r w:rsidRPr="000144C2">
              <w:rPr>
                <w:rFonts w:asciiTheme="minorHAnsi" w:hAnsiTheme="minorHAnsi" w:cstheme="minorHAnsi"/>
                <w:sz w:val="22"/>
                <w:u w:val="single"/>
                <w:lang w:val="fr-BE"/>
              </w:rPr>
              <w:t>Localisation de l’équipement terminal en dehors de toute communication (10°)</w:t>
            </w:r>
          </w:p>
        </w:tc>
        <w:tc>
          <w:tcPr>
            <w:tcW w:w="4508" w:type="dxa"/>
          </w:tcPr>
          <w:p w14:paraId="69AA5A35" w14:textId="1561837D"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u w:val="single"/>
              </w:rPr>
              <w:t>Locatie van de eindapparatuur buiten elke communicatie (10°)</w:t>
            </w:r>
          </w:p>
        </w:tc>
      </w:tr>
      <w:tr w:rsidR="00984FE0" w:rsidRPr="002F7AA5" w14:paraId="6BC38A48" w14:textId="77777777" w:rsidTr="00705040">
        <w:tc>
          <w:tcPr>
            <w:tcW w:w="4508" w:type="dxa"/>
          </w:tcPr>
          <w:p w14:paraId="533D001F" w14:textId="77777777" w:rsidR="00984FE0" w:rsidRPr="0067084E" w:rsidRDefault="00984FE0" w:rsidP="001069DE">
            <w:pPr>
              <w:rPr>
                <w:rFonts w:asciiTheme="minorHAnsi" w:hAnsiTheme="minorHAnsi" w:cstheme="minorHAnsi"/>
                <w:sz w:val="22"/>
                <w:u w:val="single"/>
              </w:rPr>
            </w:pPr>
          </w:p>
        </w:tc>
        <w:tc>
          <w:tcPr>
            <w:tcW w:w="4508" w:type="dxa"/>
          </w:tcPr>
          <w:p w14:paraId="663A75BC" w14:textId="77777777" w:rsidR="00984FE0" w:rsidRPr="000144C2" w:rsidRDefault="00984FE0" w:rsidP="001069DE">
            <w:pPr>
              <w:rPr>
                <w:rFonts w:asciiTheme="minorHAnsi" w:hAnsiTheme="minorHAnsi" w:cstheme="minorHAnsi"/>
                <w:sz w:val="22"/>
                <w:u w:val="single"/>
              </w:rPr>
            </w:pPr>
          </w:p>
        </w:tc>
      </w:tr>
      <w:tr w:rsidR="001069DE" w:rsidRPr="002F7AA5" w14:paraId="46B16525" w14:textId="77777777" w:rsidTr="00705040">
        <w:tc>
          <w:tcPr>
            <w:tcW w:w="4508" w:type="dxa"/>
          </w:tcPr>
          <w:p w14:paraId="6DD25B43" w14:textId="46B71F9D" w:rsidR="001069DE" w:rsidRPr="000144C2" w:rsidRDefault="001069DE" w:rsidP="00984FE0">
            <w:pPr>
              <w:jc w:val="both"/>
              <w:rPr>
                <w:rFonts w:asciiTheme="minorHAnsi" w:hAnsiTheme="minorHAnsi" w:cstheme="minorHAnsi"/>
                <w:sz w:val="22"/>
                <w:lang w:val="fr-BE"/>
              </w:rPr>
            </w:pPr>
            <w:r w:rsidRPr="000144C2">
              <w:rPr>
                <w:rFonts w:asciiTheme="minorHAnsi" w:hAnsiTheme="minorHAnsi" w:cstheme="minorHAnsi"/>
                <w:sz w:val="22"/>
                <w:lang w:val="fr-BE"/>
              </w:rPr>
              <w:t xml:space="preserve">De même, le nouveau paragraphe 2, 10° de l’article 126/2 en projet prévoit la conservation de la localisation de l’équipement terminal en dehors de toute communication, dans le cadre des opérations que fait l’opérateur régulièrement pour connaitre la présence des équipements terminaux sur son réseau. </w:t>
            </w:r>
            <w:r w:rsidRPr="000144C2">
              <w:rPr>
                <w:rFonts w:asciiTheme="minorHAnsi" w:eastAsia="Times New Roman" w:hAnsiTheme="minorHAnsi" w:cstheme="minorHAnsi"/>
                <w:sz w:val="22"/>
                <w:lang w:val="fr-BE"/>
              </w:rPr>
              <w:t xml:space="preserve">Ceci est techniquement nécessaire pour en conserver la performance, pour maintenir un niveau de service élevé, assurer le transit rapide des appels et des communications qu’ils doivent traiter, etc.  Pour ce faire, diverses méthodes sont utilisées. Il peut par exemple s’agir de « LBS » (« Localisation Base </w:t>
            </w:r>
            <w:r w:rsidR="00D52F49">
              <w:rPr>
                <w:rFonts w:asciiTheme="minorHAnsi" w:eastAsia="Times New Roman" w:hAnsiTheme="minorHAnsi" w:cstheme="minorHAnsi"/>
                <w:sz w:val="22"/>
                <w:lang w:val="fr-BE"/>
              </w:rPr>
              <w:t>S</w:t>
            </w:r>
            <w:r w:rsidR="00D52F49" w:rsidRPr="000144C2">
              <w:rPr>
                <w:rFonts w:asciiTheme="minorHAnsi" w:eastAsia="Times New Roman" w:hAnsiTheme="minorHAnsi" w:cstheme="minorHAnsi"/>
                <w:sz w:val="22"/>
                <w:lang w:val="fr-BE"/>
              </w:rPr>
              <w:t>ervices </w:t>
            </w:r>
            <w:r w:rsidRPr="000144C2">
              <w:rPr>
                <w:rFonts w:asciiTheme="minorHAnsi" w:eastAsia="Times New Roman" w:hAnsiTheme="minorHAnsi" w:cstheme="minorHAnsi"/>
                <w:sz w:val="22"/>
                <w:lang w:val="fr-BE"/>
              </w:rPr>
              <w:t>») ou de « paging ». La fréquence et la méthode de ces opérations est variable. Elle dépend des nécessités techniques propres au réseau de l’opérateur, telles que le type de technologie utilisée (2G, 3G, 4G, etc.)  ou la densité d’utilisateurs présents sur une partie du réseau.</w:t>
            </w:r>
          </w:p>
        </w:tc>
        <w:tc>
          <w:tcPr>
            <w:tcW w:w="4508" w:type="dxa"/>
          </w:tcPr>
          <w:p w14:paraId="3A040144" w14:textId="02029BBD" w:rsidR="001069DE" w:rsidRPr="00984FE0" w:rsidRDefault="001069DE" w:rsidP="00984FE0">
            <w:pPr>
              <w:jc w:val="both"/>
              <w:rPr>
                <w:rFonts w:asciiTheme="minorHAnsi" w:eastAsia="Times New Roman" w:hAnsiTheme="minorHAnsi" w:cstheme="minorHAnsi"/>
                <w:sz w:val="22"/>
              </w:rPr>
            </w:pPr>
            <w:r w:rsidRPr="000144C2">
              <w:rPr>
                <w:rFonts w:asciiTheme="minorHAnsi" w:hAnsiTheme="minorHAnsi" w:cstheme="minorHAnsi"/>
                <w:sz w:val="22"/>
              </w:rPr>
              <w:t>Zo bepaalt de nieuwe paragraaf 2, 10°, van het ontworpen artikel 126/2 de bewaring van de locatie van de eindapparatuur buiten elke communicatie in het kader van de handelingen die de operator regelmatig uitvoert om te weten welke eindapparatuur zich op zijn netwerk bevindt. Dat is technisch noodzakelijk om de goede werking ervan te behouden, om een hoog niveau van dienstverlening te behouden, om de oproepen en communicatie die ze moeten behandelen, snel te verwerken, enz.  Daartoe worden verscheidene methodes gebruikt. Het kan bijvoorbeeld gaan om “LBS” (“</w:t>
            </w:r>
            <w:proofErr w:type="spellStart"/>
            <w:r w:rsidRPr="000144C2">
              <w:rPr>
                <w:rFonts w:asciiTheme="minorHAnsi" w:hAnsiTheme="minorHAnsi" w:cstheme="minorHAnsi"/>
                <w:sz w:val="22"/>
              </w:rPr>
              <w:t>Localisation</w:t>
            </w:r>
            <w:proofErr w:type="spellEnd"/>
            <w:r w:rsidRPr="000144C2">
              <w:rPr>
                <w:rFonts w:asciiTheme="minorHAnsi" w:hAnsiTheme="minorHAnsi" w:cstheme="minorHAnsi"/>
                <w:sz w:val="22"/>
              </w:rPr>
              <w:t xml:space="preserve"> Base Services”) of “</w:t>
            </w:r>
            <w:proofErr w:type="spellStart"/>
            <w:r w:rsidRPr="000144C2">
              <w:rPr>
                <w:rFonts w:asciiTheme="minorHAnsi" w:hAnsiTheme="minorHAnsi" w:cstheme="minorHAnsi"/>
                <w:sz w:val="22"/>
              </w:rPr>
              <w:t>paging</w:t>
            </w:r>
            <w:proofErr w:type="spellEnd"/>
            <w:r w:rsidRPr="000144C2">
              <w:rPr>
                <w:rFonts w:asciiTheme="minorHAnsi" w:hAnsiTheme="minorHAnsi" w:cstheme="minorHAnsi"/>
                <w:sz w:val="22"/>
              </w:rPr>
              <w:t>”. De frequentie en de methode van deze handelingen verschillen. Ze hangen af van de technische vereisten die inherent zijn aan het netwerk van de operator, zoals het type technologie dat wordt gehanteerd (2G, 3G, 4G, enz.) of de dichtheid van de gebruikers op een deel van het netwerk.</w:t>
            </w:r>
          </w:p>
        </w:tc>
      </w:tr>
      <w:tr w:rsidR="00984FE0" w:rsidRPr="002F7AA5" w14:paraId="562EBE7A" w14:textId="77777777" w:rsidTr="00705040">
        <w:tc>
          <w:tcPr>
            <w:tcW w:w="4508" w:type="dxa"/>
          </w:tcPr>
          <w:p w14:paraId="42F05FCD" w14:textId="77777777" w:rsidR="00984FE0" w:rsidRPr="0067084E" w:rsidRDefault="00984FE0" w:rsidP="001069DE">
            <w:pPr>
              <w:rPr>
                <w:rFonts w:asciiTheme="minorHAnsi" w:hAnsiTheme="minorHAnsi" w:cstheme="minorHAnsi"/>
                <w:sz w:val="22"/>
              </w:rPr>
            </w:pPr>
          </w:p>
        </w:tc>
        <w:tc>
          <w:tcPr>
            <w:tcW w:w="4508" w:type="dxa"/>
          </w:tcPr>
          <w:p w14:paraId="1A980CC6" w14:textId="77777777" w:rsidR="00984FE0" w:rsidRPr="000144C2" w:rsidRDefault="00984FE0" w:rsidP="001069DE">
            <w:pPr>
              <w:jc w:val="both"/>
              <w:rPr>
                <w:rFonts w:asciiTheme="minorHAnsi" w:hAnsiTheme="minorHAnsi" w:cstheme="minorHAnsi"/>
                <w:sz w:val="22"/>
              </w:rPr>
            </w:pPr>
          </w:p>
        </w:tc>
      </w:tr>
      <w:tr w:rsidR="001069DE" w:rsidRPr="002F7AA5" w14:paraId="428FD2D4" w14:textId="77777777" w:rsidTr="00705040">
        <w:tc>
          <w:tcPr>
            <w:tcW w:w="4508" w:type="dxa"/>
          </w:tcPr>
          <w:p w14:paraId="1E82154F" w14:textId="02CCB9BE"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u w:val="single"/>
                <w:lang w:val="fr-BE"/>
              </w:rPr>
              <w:t>Donnée fonctionnellement équivalente (11°)</w:t>
            </w:r>
          </w:p>
        </w:tc>
        <w:tc>
          <w:tcPr>
            <w:tcW w:w="4508" w:type="dxa"/>
          </w:tcPr>
          <w:p w14:paraId="7F783B81" w14:textId="02FE6014"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u w:val="single"/>
              </w:rPr>
              <w:t>Gegeven dat functioneel gelijkwaardig is (11°)</w:t>
            </w:r>
          </w:p>
        </w:tc>
      </w:tr>
      <w:tr w:rsidR="00984FE0" w:rsidRPr="002F7AA5" w14:paraId="59508B73" w14:textId="77777777" w:rsidTr="00705040">
        <w:tc>
          <w:tcPr>
            <w:tcW w:w="4508" w:type="dxa"/>
          </w:tcPr>
          <w:p w14:paraId="6570FCF1" w14:textId="77777777" w:rsidR="00984FE0" w:rsidRPr="0067084E" w:rsidRDefault="00984FE0" w:rsidP="001069DE">
            <w:pPr>
              <w:rPr>
                <w:rFonts w:asciiTheme="minorHAnsi" w:hAnsiTheme="minorHAnsi" w:cstheme="minorHAnsi"/>
                <w:sz w:val="22"/>
                <w:u w:val="single"/>
              </w:rPr>
            </w:pPr>
          </w:p>
        </w:tc>
        <w:tc>
          <w:tcPr>
            <w:tcW w:w="4508" w:type="dxa"/>
          </w:tcPr>
          <w:p w14:paraId="3AA4A4BC" w14:textId="77777777" w:rsidR="00984FE0" w:rsidRPr="000144C2" w:rsidRDefault="00984FE0" w:rsidP="001069DE">
            <w:pPr>
              <w:rPr>
                <w:rFonts w:asciiTheme="minorHAnsi" w:hAnsiTheme="minorHAnsi" w:cstheme="minorHAnsi"/>
                <w:sz w:val="22"/>
                <w:u w:val="single"/>
              </w:rPr>
            </w:pPr>
          </w:p>
        </w:tc>
      </w:tr>
      <w:tr w:rsidR="001069DE" w:rsidRPr="002F7AA5" w14:paraId="63E60FE0" w14:textId="77777777" w:rsidTr="00705040">
        <w:tc>
          <w:tcPr>
            <w:tcW w:w="4508" w:type="dxa"/>
          </w:tcPr>
          <w:p w14:paraId="2297D85F" w14:textId="157E73AD" w:rsidR="001069DE" w:rsidRPr="000144C2" w:rsidRDefault="001069DE" w:rsidP="00984FE0">
            <w:pPr>
              <w:jc w:val="both"/>
              <w:rPr>
                <w:rFonts w:asciiTheme="minorHAnsi" w:hAnsiTheme="minorHAnsi" w:cstheme="minorHAnsi"/>
                <w:sz w:val="22"/>
                <w:lang w:val="fr-BE"/>
              </w:rPr>
            </w:pPr>
            <w:bookmarkStart w:id="58" w:name="_Hlk94866738"/>
            <w:r w:rsidRPr="000144C2">
              <w:rPr>
                <w:rFonts w:asciiTheme="minorHAnsi" w:hAnsiTheme="minorHAnsi" w:cstheme="minorHAnsi"/>
                <w:sz w:val="22"/>
                <w:lang w:val="fr-BE"/>
              </w:rPr>
              <w:t xml:space="preserve">Lorsqu’une donnée visée au paragraphe 2 du présent article n’est pas disponible, l’obligation de conservation vise toute donnée ayant une fonction équivalente.  A titre d’exemple, les IMEI et PEI peuvent être considérées comme fonctionnellement équivalentes, dès lors que leur fonction est d’identifier un équipement terminal.  </w:t>
            </w:r>
            <w:bookmarkEnd w:id="58"/>
          </w:p>
        </w:tc>
        <w:tc>
          <w:tcPr>
            <w:tcW w:w="4508" w:type="dxa"/>
          </w:tcPr>
          <w:p w14:paraId="365487AF" w14:textId="0CD0D574"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rPr>
              <w:t>Wanneer een in paragraaf 2 van het onderhavige artikel bedoeld gegeven niet beschikbaar is, doelt de verplichting tot bewaring op elk gegeven met een gelijkwaardige functie.  De IMEI en PEI kunnen bijvoorbeeld als functioneel gelijkwaardig worden beschouwd, aangezien hun functie erin bestaat een eindtoestel te identificeren.</w:t>
            </w:r>
          </w:p>
        </w:tc>
      </w:tr>
      <w:tr w:rsidR="001069DE" w:rsidRPr="002F7AA5" w14:paraId="1AF7DC56" w14:textId="77777777" w:rsidTr="00705040">
        <w:tc>
          <w:tcPr>
            <w:tcW w:w="4508" w:type="dxa"/>
          </w:tcPr>
          <w:p w14:paraId="0BFBF346" w14:textId="77777777" w:rsidR="001069DE" w:rsidRPr="000144C2" w:rsidRDefault="001069DE" w:rsidP="00984FE0">
            <w:pPr>
              <w:jc w:val="both"/>
              <w:rPr>
                <w:rFonts w:asciiTheme="minorHAnsi" w:hAnsiTheme="minorHAnsi" w:cstheme="minorHAnsi"/>
                <w:sz w:val="22"/>
              </w:rPr>
            </w:pPr>
          </w:p>
        </w:tc>
        <w:tc>
          <w:tcPr>
            <w:tcW w:w="4508" w:type="dxa"/>
          </w:tcPr>
          <w:p w14:paraId="5BB0714F" w14:textId="77777777" w:rsidR="001069DE" w:rsidRPr="000144C2" w:rsidRDefault="001069DE" w:rsidP="00984FE0">
            <w:pPr>
              <w:jc w:val="both"/>
              <w:rPr>
                <w:rFonts w:asciiTheme="minorHAnsi" w:hAnsiTheme="minorHAnsi" w:cstheme="minorHAnsi"/>
                <w:sz w:val="22"/>
              </w:rPr>
            </w:pPr>
          </w:p>
        </w:tc>
      </w:tr>
      <w:tr w:rsidR="001069DE" w:rsidRPr="002F7AA5" w14:paraId="655A82A1" w14:textId="77777777" w:rsidTr="00705040">
        <w:tc>
          <w:tcPr>
            <w:tcW w:w="4508" w:type="dxa"/>
          </w:tcPr>
          <w:p w14:paraId="31CC93A7" w14:textId="492DCBC6" w:rsidR="001069DE" w:rsidRPr="0067084E" w:rsidRDefault="001069DE" w:rsidP="00984FE0">
            <w:pPr>
              <w:jc w:val="both"/>
              <w:rPr>
                <w:rFonts w:asciiTheme="minorHAnsi" w:hAnsiTheme="minorHAnsi" w:cstheme="minorHAnsi"/>
                <w:sz w:val="22"/>
                <w:lang w:val="fr-BE"/>
              </w:rPr>
            </w:pPr>
            <w:r w:rsidRPr="000144C2">
              <w:rPr>
                <w:rFonts w:asciiTheme="minorHAnsi" w:hAnsiTheme="minorHAnsi" w:cstheme="minorHAnsi"/>
                <w:sz w:val="22"/>
                <w:lang w:val="fr-BE"/>
              </w:rPr>
              <w:t xml:space="preserve">La possibilité pour le Roi d’imposer aux opérateurs de conserver d’autres identifiants relatifs à l’utilisateur final, à l’équipement terminal ou à l’équipement le plus proche de cet équipement terminal, qui résultent de </w:t>
            </w:r>
            <w:r w:rsidRPr="000144C2">
              <w:rPr>
                <w:rFonts w:asciiTheme="minorHAnsi" w:hAnsiTheme="minorHAnsi" w:cstheme="minorHAnsi"/>
                <w:sz w:val="22"/>
                <w:lang w:val="fr-BE"/>
              </w:rPr>
              <w:lastRenderedPageBreak/>
              <w:t xml:space="preserve">l’évolution technologique a été prévue au cas où il serait nécessaire d’imposer de manière urgente la conservation de cette donnée, sans devoir attendre la modification de la loi. </w:t>
            </w:r>
          </w:p>
        </w:tc>
        <w:tc>
          <w:tcPr>
            <w:tcW w:w="4508" w:type="dxa"/>
          </w:tcPr>
          <w:p w14:paraId="1049414B" w14:textId="05104304"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sz w:val="22"/>
              </w:rPr>
              <w:lastRenderedPageBreak/>
              <w:t xml:space="preserve">Er is voorzien in de mogelijkheid voor de Koning om de operatoren te verplichten andere </w:t>
            </w:r>
            <w:proofErr w:type="spellStart"/>
            <w:r w:rsidR="0005635B">
              <w:rPr>
                <w:rFonts w:asciiTheme="minorHAnsi" w:hAnsiTheme="minorHAnsi" w:cstheme="minorHAnsi"/>
                <w:sz w:val="22"/>
              </w:rPr>
              <w:t>identifier</w:t>
            </w:r>
            <w:proofErr w:type="spellEnd"/>
            <w:r w:rsidRPr="000144C2">
              <w:rPr>
                <w:rFonts w:asciiTheme="minorHAnsi" w:hAnsiTheme="minorHAnsi" w:cstheme="minorHAnsi"/>
                <w:sz w:val="22"/>
              </w:rPr>
              <w:t xml:space="preserve"> te bewaren met betrekking tot de eindgebruiker, </w:t>
            </w:r>
            <w:r w:rsidR="00560ABB">
              <w:rPr>
                <w:rFonts w:asciiTheme="minorHAnsi" w:hAnsiTheme="minorHAnsi" w:cstheme="minorHAnsi"/>
                <w:sz w:val="22"/>
              </w:rPr>
              <w:t xml:space="preserve">tot </w:t>
            </w:r>
            <w:r w:rsidRPr="000144C2">
              <w:rPr>
                <w:rFonts w:asciiTheme="minorHAnsi" w:hAnsiTheme="minorHAnsi" w:cstheme="minorHAnsi"/>
                <w:sz w:val="22"/>
              </w:rPr>
              <w:t xml:space="preserve">de eindapparatuur of </w:t>
            </w:r>
            <w:r w:rsidR="00560ABB">
              <w:rPr>
                <w:rFonts w:asciiTheme="minorHAnsi" w:hAnsiTheme="minorHAnsi" w:cstheme="minorHAnsi"/>
                <w:sz w:val="22"/>
              </w:rPr>
              <w:t xml:space="preserve">tot </w:t>
            </w:r>
            <w:r w:rsidRPr="000144C2">
              <w:rPr>
                <w:rFonts w:asciiTheme="minorHAnsi" w:hAnsiTheme="minorHAnsi" w:cstheme="minorHAnsi"/>
                <w:sz w:val="22"/>
              </w:rPr>
              <w:t xml:space="preserve">de eindapparatuur het dichtst bij die </w:t>
            </w:r>
            <w:r w:rsidRPr="000144C2">
              <w:rPr>
                <w:rFonts w:asciiTheme="minorHAnsi" w:hAnsiTheme="minorHAnsi" w:cstheme="minorHAnsi"/>
                <w:sz w:val="22"/>
              </w:rPr>
              <w:lastRenderedPageBreak/>
              <w:t xml:space="preserve">eindapparatuur, die resulteren uit de technologische ontwikkeling, ingeval het noodzakelijk zou zijn om dringend de bewaring van dat gegeven op te leggen zonder te moeten wachten op de wetswijziging. </w:t>
            </w:r>
          </w:p>
        </w:tc>
      </w:tr>
      <w:tr w:rsidR="00984FE0" w:rsidRPr="002F7AA5" w14:paraId="4914A943" w14:textId="77777777" w:rsidTr="00705040">
        <w:tc>
          <w:tcPr>
            <w:tcW w:w="4508" w:type="dxa"/>
          </w:tcPr>
          <w:p w14:paraId="215C0669" w14:textId="77777777" w:rsidR="00984FE0" w:rsidRPr="0067084E" w:rsidRDefault="00984FE0" w:rsidP="00984FE0">
            <w:pPr>
              <w:jc w:val="both"/>
              <w:rPr>
                <w:rFonts w:asciiTheme="minorHAnsi" w:hAnsiTheme="minorHAnsi" w:cstheme="minorHAnsi"/>
                <w:sz w:val="22"/>
                <w:highlight w:val="green"/>
              </w:rPr>
            </w:pPr>
          </w:p>
        </w:tc>
        <w:tc>
          <w:tcPr>
            <w:tcW w:w="4508" w:type="dxa"/>
          </w:tcPr>
          <w:p w14:paraId="626EA09E" w14:textId="77777777" w:rsidR="00984FE0" w:rsidRPr="000144C2" w:rsidRDefault="00984FE0" w:rsidP="00984FE0">
            <w:pPr>
              <w:jc w:val="both"/>
              <w:rPr>
                <w:rFonts w:asciiTheme="minorHAnsi" w:hAnsiTheme="minorHAnsi" w:cstheme="minorHAnsi"/>
                <w:sz w:val="22"/>
                <w:highlight w:val="green"/>
              </w:rPr>
            </w:pPr>
          </w:p>
        </w:tc>
      </w:tr>
      <w:tr w:rsidR="001069DE" w:rsidRPr="002F7AA5" w14:paraId="23E4571F" w14:textId="77777777" w:rsidTr="00705040">
        <w:tc>
          <w:tcPr>
            <w:tcW w:w="4508" w:type="dxa"/>
          </w:tcPr>
          <w:p w14:paraId="23072A35" w14:textId="3DC7E08E"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b/>
                <w:bCs/>
                <w:sz w:val="22"/>
                <w:lang w:val="fr-BE"/>
              </w:rPr>
              <w:t>Paragraphe 3</w:t>
            </w:r>
          </w:p>
        </w:tc>
        <w:tc>
          <w:tcPr>
            <w:tcW w:w="4508" w:type="dxa"/>
          </w:tcPr>
          <w:p w14:paraId="64EAEF1F" w14:textId="37FE84CC" w:rsidR="001069DE" w:rsidRPr="000144C2" w:rsidRDefault="001069DE" w:rsidP="00984FE0">
            <w:pPr>
              <w:jc w:val="both"/>
              <w:rPr>
                <w:rFonts w:asciiTheme="minorHAnsi" w:hAnsiTheme="minorHAnsi" w:cstheme="minorHAnsi"/>
                <w:sz w:val="22"/>
              </w:rPr>
            </w:pPr>
            <w:proofErr w:type="spellStart"/>
            <w:r w:rsidRPr="000144C2">
              <w:rPr>
                <w:rFonts w:asciiTheme="minorHAnsi" w:hAnsiTheme="minorHAnsi" w:cstheme="minorHAnsi"/>
                <w:b/>
                <w:bCs/>
                <w:sz w:val="22"/>
                <w:lang w:val="fr-BE"/>
              </w:rPr>
              <w:t>Paragraaf</w:t>
            </w:r>
            <w:proofErr w:type="spellEnd"/>
            <w:r w:rsidRPr="000144C2">
              <w:rPr>
                <w:rFonts w:asciiTheme="minorHAnsi" w:hAnsiTheme="minorHAnsi" w:cstheme="minorHAnsi"/>
                <w:b/>
                <w:bCs/>
                <w:sz w:val="22"/>
                <w:lang w:val="fr-BE"/>
              </w:rPr>
              <w:t xml:space="preserve"> 3</w:t>
            </w:r>
          </w:p>
        </w:tc>
      </w:tr>
      <w:tr w:rsidR="00984FE0" w:rsidRPr="002F7AA5" w14:paraId="5CAB63D2" w14:textId="77777777" w:rsidTr="00705040">
        <w:tc>
          <w:tcPr>
            <w:tcW w:w="4508" w:type="dxa"/>
          </w:tcPr>
          <w:p w14:paraId="03E16CF5" w14:textId="77777777" w:rsidR="00984FE0" w:rsidRPr="000144C2" w:rsidRDefault="00984FE0" w:rsidP="00984FE0">
            <w:pPr>
              <w:jc w:val="both"/>
              <w:rPr>
                <w:rFonts w:asciiTheme="minorHAnsi" w:hAnsiTheme="minorHAnsi" w:cstheme="minorHAnsi"/>
                <w:b/>
                <w:bCs/>
                <w:sz w:val="22"/>
                <w:lang w:val="fr-BE"/>
              </w:rPr>
            </w:pPr>
          </w:p>
        </w:tc>
        <w:tc>
          <w:tcPr>
            <w:tcW w:w="4508" w:type="dxa"/>
          </w:tcPr>
          <w:p w14:paraId="7A1D9A0A" w14:textId="77777777" w:rsidR="00984FE0" w:rsidRPr="000144C2" w:rsidRDefault="00984FE0" w:rsidP="00984FE0">
            <w:pPr>
              <w:jc w:val="both"/>
              <w:rPr>
                <w:rFonts w:asciiTheme="minorHAnsi" w:hAnsiTheme="minorHAnsi" w:cstheme="minorHAnsi"/>
                <w:b/>
                <w:bCs/>
                <w:sz w:val="22"/>
                <w:lang w:val="fr-BE"/>
              </w:rPr>
            </w:pPr>
          </w:p>
        </w:tc>
      </w:tr>
      <w:tr w:rsidR="001069DE" w:rsidRPr="002F7AA5" w14:paraId="2A2E23B2" w14:textId="77777777" w:rsidTr="00705040">
        <w:tc>
          <w:tcPr>
            <w:tcW w:w="4508" w:type="dxa"/>
          </w:tcPr>
          <w:p w14:paraId="09EF1875" w14:textId="3A395E73" w:rsidR="001069DE" w:rsidRPr="0067084E" w:rsidRDefault="001069DE" w:rsidP="00984FE0">
            <w:pPr>
              <w:jc w:val="both"/>
              <w:rPr>
                <w:rFonts w:asciiTheme="minorHAnsi" w:hAnsiTheme="minorHAnsi" w:cstheme="minorHAnsi"/>
                <w:sz w:val="22"/>
                <w:lang w:val="fr-BE"/>
              </w:rPr>
            </w:pPr>
            <w:r w:rsidRPr="0067084E">
              <w:rPr>
                <w:rFonts w:asciiTheme="minorHAnsi" w:hAnsiTheme="minorHAnsi" w:cstheme="minorHAnsi"/>
                <w:sz w:val="22"/>
                <w:lang w:val="fr-BE"/>
              </w:rPr>
              <w:t>Le troisième paragraphe reprend et adapte l’article 7, § 1</w:t>
            </w:r>
            <w:r w:rsidRPr="0067084E">
              <w:rPr>
                <w:rFonts w:asciiTheme="minorHAnsi" w:hAnsiTheme="minorHAnsi" w:cstheme="minorHAnsi"/>
                <w:sz w:val="22"/>
                <w:vertAlign w:val="superscript"/>
                <w:lang w:val="fr-BE"/>
              </w:rPr>
              <w:t>er</w:t>
            </w:r>
            <w:r w:rsidRPr="0067084E">
              <w:rPr>
                <w:rFonts w:asciiTheme="minorHAnsi" w:hAnsiTheme="minorHAnsi" w:cstheme="minorHAnsi"/>
                <w:sz w:val="22"/>
                <w:lang w:val="fr-BE"/>
              </w:rPr>
              <w:t>, alinéa 2, de l’arrêté royal du 19 septembre 2013, afin de veiller à ce que les données conservées en exécution de l’article 126 et du présent article puissent être combinées de manière à permettre d'établir la relation entre l'origine de la communication et sa destination.</w:t>
            </w:r>
          </w:p>
        </w:tc>
        <w:tc>
          <w:tcPr>
            <w:tcW w:w="4508" w:type="dxa"/>
          </w:tcPr>
          <w:p w14:paraId="3489EBF7" w14:textId="38AE3D57" w:rsidR="001069DE" w:rsidRPr="0067084E" w:rsidRDefault="001069DE" w:rsidP="00984FE0">
            <w:pPr>
              <w:jc w:val="both"/>
              <w:rPr>
                <w:rFonts w:asciiTheme="minorHAnsi" w:hAnsiTheme="minorHAnsi" w:cstheme="minorHAnsi"/>
                <w:sz w:val="22"/>
              </w:rPr>
            </w:pPr>
            <w:r w:rsidRPr="0067084E">
              <w:rPr>
                <w:rFonts w:asciiTheme="minorHAnsi" w:hAnsiTheme="minorHAnsi" w:cstheme="minorHAnsi"/>
                <w:sz w:val="22"/>
              </w:rPr>
              <w:t>De derde paragraaf neemt artikel 7, § 1, tweede lid, van het koninklijk besluit van 19 september 2013 over en past deze aan om ervoor te zorgen dat de bewaarde gegevens in uitvoering van artikel 126 en dit artikel gecombineerd kunnen worden om de relatie te kunnen leggen tussen de bron en de bestemming van de communicatie.</w:t>
            </w:r>
          </w:p>
        </w:tc>
      </w:tr>
      <w:tr w:rsidR="00984FE0" w:rsidRPr="002F7AA5" w14:paraId="109FF11E" w14:textId="77777777" w:rsidTr="00705040">
        <w:tc>
          <w:tcPr>
            <w:tcW w:w="4508" w:type="dxa"/>
          </w:tcPr>
          <w:p w14:paraId="0A911977" w14:textId="77777777" w:rsidR="00984FE0" w:rsidRPr="0067084E" w:rsidRDefault="00984FE0" w:rsidP="00984FE0">
            <w:pPr>
              <w:jc w:val="both"/>
              <w:rPr>
                <w:rFonts w:asciiTheme="minorHAnsi" w:hAnsiTheme="minorHAnsi" w:cstheme="minorHAnsi"/>
                <w:sz w:val="22"/>
              </w:rPr>
            </w:pPr>
          </w:p>
        </w:tc>
        <w:tc>
          <w:tcPr>
            <w:tcW w:w="4508" w:type="dxa"/>
          </w:tcPr>
          <w:p w14:paraId="7B8AA319" w14:textId="77777777" w:rsidR="00984FE0" w:rsidRPr="0067084E" w:rsidRDefault="00984FE0" w:rsidP="00984FE0">
            <w:pPr>
              <w:jc w:val="both"/>
              <w:rPr>
                <w:rFonts w:asciiTheme="minorHAnsi" w:hAnsiTheme="minorHAnsi" w:cstheme="minorHAnsi"/>
                <w:sz w:val="22"/>
              </w:rPr>
            </w:pPr>
          </w:p>
        </w:tc>
      </w:tr>
      <w:tr w:rsidR="001069DE" w:rsidRPr="002F7AA5" w14:paraId="45C47722" w14:textId="77777777" w:rsidTr="00705040">
        <w:tc>
          <w:tcPr>
            <w:tcW w:w="4508" w:type="dxa"/>
          </w:tcPr>
          <w:p w14:paraId="471C29A6" w14:textId="208403DB"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b/>
                <w:bCs/>
                <w:sz w:val="22"/>
                <w:lang w:val="fr-BE"/>
              </w:rPr>
              <w:t>Paragraphe 4</w:t>
            </w:r>
          </w:p>
        </w:tc>
        <w:tc>
          <w:tcPr>
            <w:tcW w:w="4508" w:type="dxa"/>
          </w:tcPr>
          <w:p w14:paraId="1E7691CF" w14:textId="0394AF4B" w:rsidR="001069DE" w:rsidRPr="000144C2" w:rsidRDefault="001069DE" w:rsidP="00984FE0">
            <w:pPr>
              <w:jc w:val="both"/>
              <w:rPr>
                <w:rFonts w:asciiTheme="minorHAnsi" w:hAnsiTheme="minorHAnsi" w:cstheme="minorHAnsi"/>
                <w:sz w:val="22"/>
              </w:rPr>
            </w:pPr>
            <w:r w:rsidRPr="000144C2">
              <w:rPr>
                <w:rFonts w:asciiTheme="minorHAnsi" w:hAnsiTheme="minorHAnsi" w:cstheme="minorHAnsi"/>
                <w:b/>
                <w:bCs/>
                <w:sz w:val="22"/>
              </w:rPr>
              <w:t>Paragraaf 4</w:t>
            </w:r>
          </w:p>
        </w:tc>
      </w:tr>
      <w:tr w:rsidR="00984FE0" w:rsidRPr="002F7AA5" w14:paraId="32A318A7" w14:textId="77777777" w:rsidTr="00705040">
        <w:tc>
          <w:tcPr>
            <w:tcW w:w="4508" w:type="dxa"/>
          </w:tcPr>
          <w:p w14:paraId="04DC48D2" w14:textId="77777777" w:rsidR="00984FE0" w:rsidRPr="0067084E" w:rsidRDefault="00984FE0" w:rsidP="00984FE0">
            <w:pPr>
              <w:jc w:val="both"/>
              <w:rPr>
                <w:rFonts w:asciiTheme="minorHAnsi" w:hAnsiTheme="minorHAnsi" w:cstheme="minorHAnsi"/>
                <w:sz w:val="22"/>
                <w:lang w:val="fr-BE"/>
              </w:rPr>
            </w:pPr>
          </w:p>
        </w:tc>
        <w:tc>
          <w:tcPr>
            <w:tcW w:w="4508" w:type="dxa"/>
          </w:tcPr>
          <w:p w14:paraId="11E25352" w14:textId="77777777" w:rsidR="00984FE0" w:rsidRPr="0067084E" w:rsidRDefault="00984FE0" w:rsidP="00984FE0">
            <w:pPr>
              <w:jc w:val="both"/>
              <w:rPr>
                <w:rFonts w:asciiTheme="minorHAnsi" w:hAnsiTheme="minorHAnsi" w:cstheme="minorHAnsi"/>
                <w:sz w:val="22"/>
              </w:rPr>
            </w:pPr>
          </w:p>
        </w:tc>
      </w:tr>
      <w:tr w:rsidR="001069DE" w:rsidRPr="002F7AA5" w14:paraId="0C7E5F3A" w14:textId="77777777" w:rsidTr="00705040">
        <w:tc>
          <w:tcPr>
            <w:tcW w:w="4508" w:type="dxa"/>
          </w:tcPr>
          <w:p w14:paraId="1D1B3164" w14:textId="7A1595B4" w:rsidR="001069DE" w:rsidRPr="0067084E" w:rsidRDefault="001069DE" w:rsidP="00984FE0">
            <w:pPr>
              <w:jc w:val="both"/>
              <w:rPr>
                <w:rFonts w:asciiTheme="minorHAnsi" w:hAnsiTheme="minorHAnsi" w:cstheme="minorHAnsi"/>
                <w:sz w:val="22"/>
                <w:lang w:val="fr-BE"/>
              </w:rPr>
            </w:pPr>
            <w:r w:rsidRPr="0067084E">
              <w:rPr>
                <w:rFonts w:asciiTheme="minorHAnsi" w:hAnsiTheme="minorHAnsi" w:cstheme="minorHAnsi"/>
                <w:sz w:val="22"/>
                <w:lang w:val="fr-BE"/>
              </w:rPr>
              <w:t xml:space="preserve">Enfin, le quatrième paragraphe prévoit une délégation au Roi dans le cas où il s’avérerait nécessaire de spécifier les exigences auxquelles ces données doivent répondre. </w:t>
            </w:r>
          </w:p>
        </w:tc>
        <w:tc>
          <w:tcPr>
            <w:tcW w:w="4508" w:type="dxa"/>
          </w:tcPr>
          <w:p w14:paraId="37427B3B" w14:textId="291D02D8" w:rsidR="001069DE" w:rsidRPr="0067084E" w:rsidRDefault="001069DE" w:rsidP="00984FE0">
            <w:pPr>
              <w:jc w:val="both"/>
              <w:rPr>
                <w:rFonts w:asciiTheme="minorHAnsi" w:hAnsiTheme="minorHAnsi" w:cstheme="minorHAnsi"/>
                <w:sz w:val="22"/>
              </w:rPr>
            </w:pPr>
            <w:r w:rsidRPr="0067084E">
              <w:rPr>
                <w:rFonts w:asciiTheme="minorHAnsi" w:hAnsiTheme="minorHAnsi" w:cstheme="minorHAnsi"/>
                <w:sz w:val="22"/>
              </w:rPr>
              <w:t>Tot slot voorziet de vierde paragraaf in een delegatie aan de Koning voor het geval dat het noodzakelijk zou zijn de vereisten te specifiëren waaraan deze gegevens moeten beantwoorden</w:t>
            </w:r>
          </w:p>
        </w:tc>
      </w:tr>
      <w:tr w:rsidR="001069DE" w:rsidRPr="002F7AA5" w14:paraId="43616A21" w14:textId="77777777" w:rsidTr="00705040">
        <w:tc>
          <w:tcPr>
            <w:tcW w:w="4508" w:type="dxa"/>
          </w:tcPr>
          <w:p w14:paraId="6717F0E9" w14:textId="77777777" w:rsidR="001069DE" w:rsidRPr="0067084E" w:rsidRDefault="001069DE" w:rsidP="001069DE">
            <w:pPr>
              <w:rPr>
                <w:rFonts w:asciiTheme="minorHAnsi" w:hAnsiTheme="minorHAnsi" w:cstheme="minorHAnsi"/>
                <w:sz w:val="22"/>
              </w:rPr>
            </w:pPr>
          </w:p>
        </w:tc>
        <w:tc>
          <w:tcPr>
            <w:tcW w:w="4508" w:type="dxa"/>
          </w:tcPr>
          <w:p w14:paraId="1C82075E" w14:textId="77777777" w:rsidR="001069DE" w:rsidRPr="0067084E" w:rsidRDefault="001069DE" w:rsidP="001069DE">
            <w:pPr>
              <w:rPr>
                <w:rFonts w:asciiTheme="minorHAnsi" w:hAnsiTheme="minorHAnsi" w:cstheme="minorHAnsi"/>
                <w:sz w:val="22"/>
              </w:rPr>
            </w:pPr>
          </w:p>
        </w:tc>
      </w:tr>
      <w:tr w:rsidR="00D9041B" w:rsidRPr="002F7AA5" w14:paraId="239ECCEC" w14:textId="77777777" w:rsidTr="00705040">
        <w:tc>
          <w:tcPr>
            <w:tcW w:w="4508" w:type="dxa"/>
          </w:tcPr>
          <w:p w14:paraId="0B314AAF" w14:textId="5BE7AB0C" w:rsidR="00D9041B" w:rsidRPr="00D9041B" w:rsidRDefault="00D9041B" w:rsidP="0067084E">
            <w:pPr>
              <w:pStyle w:val="Kop1"/>
              <w:outlineLvl w:val="0"/>
              <w:rPr>
                <w:lang w:val="fr-BE"/>
              </w:rPr>
            </w:pPr>
            <w:bookmarkStart w:id="59" w:name="_Toc96614954"/>
            <w:r w:rsidRPr="00D9041B">
              <w:rPr>
                <w:rFonts w:eastAsia="Times New Roman"/>
                <w:lang w:val="fr-BE" w:eastAsia="fr-FR"/>
              </w:rPr>
              <w:t xml:space="preserve">Amendement n° </w:t>
            </w:r>
            <w:r>
              <w:rPr>
                <w:rFonts w:eastAsia="Times New Roman"/>
                <w:lang w:val="fr-BE" w:eastAsia="fr-FR"/>
              </w:rPr>
              <w:t>4</w:t>
            </w:r>
            <w:bookmarkEnd w:id="59"/>
          </w:p>
        </w:tc>
        <w:tc>
          <w:tcPr>
            <w:tcW w:w="4508" w:type="dxa"/>
          </w:tcPr>
          <w:p w14:paraId="7D0AD51E" w14:textId="46E85474" w:rsidR="00D9041B" w:rsidRPr="00D9041B" w:rsidRDefault="00D9041B" w:rsidP="0067084E">
            <w:pPr>
              <w:pStyle w:val="Kop1"/>
              <w:outlineLvl w:val="0"/>
            </w:pPr>
            <w:bookmarkStart w:id="60" w:name="_Toc96614955"/>
            <w:r w:rsidRPr="00D9041B">
              <w:rPr>
                <w:rFonts w:eastAsia="Times New Roman"/>
                <w:lang w:eastAsia="fr-FR"/>
              </w:rPr>
              <w:t xml:space="preserve">Amendement nr. </w:t>
            </w:r>
            <w:r>
              <w:rPr>
                <w:rFonts w:eastAsia="Times New Roman"/>
                <w:lang w:eastAsia="fr-FR"/>
              </w:rPr>
              <w:t>4</w:t>
            </w:r>
            <w:bookmarkEnd w:id="60"/>
          </w:p>
        </w:tc>
      </w:tr>
      <w:tr w:rsidR="00D9041B" w:rsidRPr="002F7AA5" w14:paraId="4B6E9E93" w14:textId="77777777" w:rsidTr="00705040">
        <w:tc>
          <w:tcPr>
            <w:tcW w:w="4508" w:type="dxa"/>
          </w:tcPr>
          <w:p w14:paraId="377AB3D4" w14:textId="77777777" w:rsidR="00D9041B" w:rsidRPr="00D9041B" w:rsidRDefault="00D9041B" w:rsidP="00D9041B">
            <w:pPr>
              <w:jc w:val="center"/>
              <w:rPr>
                <w:rFonts w:asciiTheme="minorHAnsi" w:eastAsia="Times New Roman" w:hAnsiTheme="minorHAnsi" w:cstheme="minorHAnsi"/>
                <w:b/>
                <w:bCs/>
                <w:sz w:val="22"/>
                <w:lang w:eastAsia="fr-FR"/>
              </w:rPr>
            </w:pPr>
          </w:p>
        </w:tc>
        <w:tc>
          <w:tcPr>
            <w:tcW w:w="4508" w:type="dxa"/>
          </w:tcPr>
          <w:p w14:paraId="79519FDB" w14:textId="77777777" w:rsidR="00D9041B" w:rsidRPr="00D9041B" w:rsidRDefault="00D9041B" w:rsidP="00D9041B">
            <w:pPr>
              <w:jc w:val="center"/>
              <w:rPr>
                <w:rFonts w:asciiTheme="minorHAnsi" w:eastAsia="Times New Roman" w:hAnsiTheme="minorHAnsi" w:cstheme="minorHAnsi"/>
                <w:b/>
                <w:sz w:val="22"/>
                <w:lang w:eastAsia="fr-FR"/>
              </w:rPr>
            </w:pPr>
          </w:p>
        </w:tc>
      </w:tr>
      <w:tr w:rsidR="00D9041B" w:rsidRPr="002F7AA5" w14:paraId="79C78CE4" w14:textId="77777777" w:rsidTr="00705040">
        <w:tc>
          <w:tcPr>
            <w:tcW w:w="4508" w:type="dxa"/>
          </w:tcPr>
          <w:p w14:paraId="22EF9D77" w14:textId="5FE000B7" w:rsidR="00D9041B" w:rsidRPr="00541244" w:rsidRDefault="00D9041B" w:rsidP="00D9041B">
            <w:pPr>
              <w:jc w:val="center"/>
              <w:rPr>
                <w:rFonts w:asciiTheme="minorHAnsi" w:hAnsiTheme="minorHAnsi" w:cstheme="minorHAnsi"/>
                <w:b/>
                <w:bCs/>
                <w:sz w:val="22"/>
              </w:rPr>
            </w:pPr>
            <w:proofErr w:type="spellStart"/>
            <w:r w:rsidRPr="00541244">
              <w:rPr>
                <w:rFonts w:asciiTheme="minorHAnsi" w:eastAsia="Times New Roman" w:hAnsiTheme="minorHAnsi" w:cstheme="minorHAnsi"/>
                <w:b/>
                <w:bCs/>
                <w:sz w:val="22"/>
                <w:lang w:eastAsia="fr-FR"/>
              </w:rPr>
              <w:t>Article</w:t>
            </w:r>
            <w:proofErr w:type="spellEnd"/>
            <w:r w:rsidRPr="00541244">
              <w:rPr>
                <w:rFonts w:asciiTheme="minorHAnsi" w:eastAsia="Times New Roman" w:hAnsiTheme="minorHAnsi" w:cstheme="minorHAnsi"/>
                <w:b/>
                <w:bCs/>
                <w:sz w:val="22"/>
                <w:lang w:eastAsia="fr-FR"/>
              </w:rPr>
              <w:t xml:space="preserve"> 14</w:t>
            </w:r>
          </w:p>
        </w:tc>
        <w:tc>
          <w:tcPr>
            <w:tcW w:w="4508" w:type="dxa"/>
          </w:tcPr>
          <w:p w14:paraId="5D78AE67" w14:textId="2F884ABE" w:rsidR="00D9041B" w:rsidRPr="00541244" w:rsidRDefault="00D9041B" w:rsidP="00D9041B">
            <w:pPr>
              <w:jc w:val="center"/>
              <w:rPr>
                <w:rFonts w:asciiTheme="minorHAnsi" w:hAnsiTheme="minorHAnsi" w:cstheme="minorHAnsi"/>
                <w:sz w:val="22"/>
              </w:rPr>
            </w:pPr>
            <w:r w:rsidRPr="00541244">
              <w:rPr>
                <w:rFonts w:asciiTheme="minorHAnsi" w:hAnsiTheme="minorHAnsi" w:cstheme="minorHAnsi"/>
                <w:b/>
                <w:bCs/>
                <w:sz w:val="22"/>
              </w:rPr>
              <w:t>Artikel 14</w:t>
            </w:r>
          </w:p>
        </w:tc>
      </w:tr>
      <w:tr w:rsidR="00D9041B" w:rsidRPr="002F7AA5" w14:paraId="66254CDE" w14:textId="77777777" w:rsidTr="00705040">
        <w:tc>
          <w:tcPr>
            <w:tcW w:w="4508" w:type="dxa"/>
          </w:tcPr>
          <w:p w14:paraId="7775011C" w14:textId="77777777" w:rsidR="00D9041B" w:rsidRPr="00D9041B" w:rsidRDefault="00D9041B" w:rsidP="00D9041B">
            <w:pPr>
              <w:rPr>
                <w:rFonts w:asciiTheme="minorHAnsi" w:hAnsiTheme="minorHAnsi" w:cstheme="minorHAnsi"/>
                <w:sz w:val="22"/>
              </w:rPr>
            </w:pPr>
          </w:p>
        </w:tc>
        <w:tc>
          <w:tcPr>
            <w:tcW w:w="4508" w:type="dxa"/>
          </w:tcPr>
          <w:p w14:paraId="5EB879CB" w14:textId="77777777" w:rsidR="00D9041B" w:rsidRPr="00D9041B" w:rsidRDefault="00D9041B" w:rsidP="00D9041B">
            <w:pPr>
              <w:rPr>
                <w:rFonts w:asciiTheme="minorHAnsi" w:hAnsiTheme="minorHAnsi" w:cstheme="minorHAnsi"/>
                <w:sz w:val="22"/>
              </w:rPr>
            </w:pPr>
          </w:p>
        </w:tc>
      </w:tr>
      <w:tr w:rsidR="00D9041B" w:rsidRPr="002F7AA5" w14:paraId="610B0201" w14:textId="77777777" w:rsidTr="00705040">
        <w:tc>
          <w:tcPr>
            <w:tcW w:w="4508" w:type="dxa"/>
          </w:tcPr>
          <w:p w14:paraId="4002BE9C" w14:textId="1AA821D5" w:rsidR="00D9041B" w:rsidRPr="00D9041B" w:rsidRDefault="00D9041B" w:rsidP="00D9041B">
            <w:pPr>
              <w:jc w:val="both"/>
              <w:rPr>
                <w:rFonts w:asciiTheme="minorHAnsi" w:hAnsiTheme="minorHAnsi" w:cstheme="minorHAnsi"/>
                <w:sz w:val="22"/>
                <w:lang w:val="fr-BE"/>
              </w:rPr>
            </w:pPr>
            <w:r w:rsidRPr="00D9041B">
              <w:rPr>
                <w:rFonts w:asciiTheme="minorHAnsi" w:hAnsiTheme="minorHAnsi" w:cstheme="minorHAnsi"/>
                <w:sz w:val="22"/>
                <w:lang w:val="fr-BE"/>
              </w:rPr>
              <w:t xml:space="preserve">A l’article 145 de la loi du 13 juin 2005 relative aux communications électroniques, les mots « 126, 126/1 », » sont remplacés par les mots  « 126 à 126/2 ». </w:t>
            </w:r>
          </w:p>
        </w:tc>
        <w:tc>
          <w:tcPr>
            <w:tcW w:w="4508" w:type="dxa"/>
          </w:tcPr>
          <w:p w14:paraId="445737F8" w14:textId="3F26B4CE" w:rsidR="00D9041B" w:rsidRPr="00D9041B" w:rsidRDefault="00D9041B" w:rsidP="00D9041B">
            <w:pPr>
              <w:jc w:val="both"/>
              <w:rPr>
                <w:rFonts w:asciiTheme="minorHAnsi" w:hAnsiTheme="minorHAnsi" w:cstheme="minorHAnsi"/>
                <w:sz w:val="22"/>
              </w:rPr>
            </w:pPr>
            <w:r w:rsidRPr="00D9041B">
              <w:rPr>
                <w:rFonts w:asciiTheme="minorHAnsi" w:hAnsiTheme="minorHAnsi" w:cstheme="minorHAnsi"/>
                <w:sz w:val="22"/>
              </w:rPr>
              <w:t>In artikel 145 van de wet van 13 juni 2005 betreffende de elektronische communicatie worden de woorden “126, 126/1” vervangen door de woorden “126 tot 126/2”.</w:t>
            </w:r>
          </w:p>
        </w:tc>
      </w:tr>
      <w:tr w:rsidR="00D9041B" w:rsidRPr="002F7AA5" w14:paraId="2CC4C6BC" w14:textId="77777777" w:rsidTr="00705040">
        <w:tc>
          <w:tcPr>
            <w:tcW w:w="4508" w:type="dxa"/>
          </w:tcPr>
          <w:p w14:paraId="7E58C331" w14:textId="77777777" w:rsidR="00D9041B" w:rsidRPr="00D9041B" w:rsidRDefault="00D9041B" w:rsidP="00D9041B">
            <w:pPr>
              <w:rPr>
                <w:rFonts w:asciiTheme="minorHAnsi" w:hAnsiTheme="minorHAnsi" w:cstheme="minorHAnsi"/>
                <w:sz w:val="22"/>
              </w:rPr>
            </w:pPr>
          </w:p>
        </w:tc>
        <w:tc>
          <w:tcPr>
            <w:tcW w:w="4508" w:type="dxa"/>
          </w:tcPr>
          <w:p w14:paraId="2E451F0B" w14:textId="77777777" w:rsidR="00D9041B" w:rsidRPr="00D9041B" w:rsidRDefault="00D9041B" w:rsidP="00D9041B">
            <w:pPr>
              <w:rPr>
                <w:rFonts w:asciiTheme="minorHAnsi" w:hAnsiTheme="minorHAnsi" w:cstheme="minorHAnsi"/>
                <w:sz w:val="22"/>
              </w:rPr>
            </w:pPr>
          </w:p>
        </w:tc>
      </w:tr>
      <w:tr w:rsidR="00D9041B" w:rsidRPr="002F7AA5" w14:paraId="381E8453" w14:textId="77777777" w:rsidTr="00705040">
        <w:tc>
          <w:tcPr>
            <w:tcW w:w="4508" w:type="dxa"/>
          </w:tcPr>
          <w:p w14:paraId="1408D6B1" w14:textId="4AF3272A" w:rsidR="00D9041B" w:rsidRPr="00D9041B" w:rsidRDefault="00D9041B" w:rsidP="00D9041B">
            <w:pPr>
              <w:jc w:val="center"/>
              <w:rPr>
                <w:rFonts w:asciiTheme="minorHAnsi" w:hAnsiTheme="minorHAnsi" w:cstheme="minorHAnsi"/>
                <w:b/>
                <w:bCs/>
                <w:sz w:val="22"/>
              </w:rPr>
            </w:pPr>
            <w:r w:rsidRPr="00D9041B">
              <w:rPr>
                <w:rFonts w:asciiTheme="minorHAnsi" w:eastAsia="Times New Roman" w:hAnsiTheme="minorHAnsi" w:cstheme="minorHAnsi"/>
                <w:b/>
                <w:bCs/>
                <w:sz w:val="22"/>
                <w:lang w:eastAsia="fr-FR"/>
              </w:rPr>
              <w:t>JUSTIFICATION</w:t>
            </w:r>
          </w:p>
        </w:tc>
        <w:tc>
          <w:tcPr>
            <w:tcW w:w="4508" w:type="dxa"/>
          </w:tcPr>
          <w:p w14:paraId="32210737" w14:textId="6D325869" w:rsidR="00D9041B" w:rsidRPr="00D9041B" w:rsidRDefault="00D9041B" w:rsidP="00D9041B">
            <w:pPr>
              <w:jc w:val="center"/>
              <w:rPr>
                <w:rFonts w:asciiTheme="minorHAnsi" w:hAnsiTheme="minorHAnsi" w:cstheme="minorHAnsi"/>
                <w:sz w:val="22"/>
              </w:rPr>
            </w:pPr>
            <w:r w:rsidRPr="00D9041B">
              <w:rPr>
                <w:rFonts w:asciiTheme="minorHAnsi" w:eastAsia="Times New Roman" w:hAnsiTheme="minorHAnsi" w:cstheme="minorHAnsi"/>
                <w:b/>
                <w:sz w:val="22"/>
                <w:lang w:val="fr-BE" w:eastAsia="fr-FR"/>
              </w:rPr>
              <w:t>VERANTWOORDING</w:t>
            </w:r>
          </w:p>
        </w:tc>
      </w:tr>
      <w:tr w:rsidR="00D9041B" w:rsidRPr="002F7AA5" w14:paraId="2ABCF72D" w14:textId="77777777" w:rsidTr="00705040">
        <w:tc>
          <w:tcPr>
            <w:tcW w:w="4508" w:type="dxa"/>
          </w:tcPr>
          <w:p w14:paraId="05C7389A" w14:textId="77777777" w:rsidR="00D9041B" w:rsidRPr="002F7AA5" w:rsidRDefault="00D9041B" w:rsidP="00D9041B">
            <w:pPr>
              <w:rPr>
                <w:rFonts w:asciiTheme="minorHAnsi" w:hAnsiTheme="minorHAnsi" w:cstheme="minorHAnsi"/>
                <w:sz w:val="22"/>
              </w:rPr>
            </w:pPr>
          </w:p>
        </w:tc>
        <w:tc>
          <w:tcPr>
            <w:tcW w:w="4508" w:type="dxa"/>
          </w:tcPr>
          <w:p w14:paraId="46D31442" w14:textId="77777777" w:rsidR="00D9041B" w:rsidRPr="002F7AA5" w:rsidRDefault="00D9041B" w:rsidP="00D9041B">
            <w:pPr>
              <w:rPr>
                <w:rFonts w:asciiTheme="minorHAnsi" w:hAnsiTheme="minorHAnsi" w:cstheme="minorHAnsi"/>
                <w:sz w:val="22"/>
              </w:rPr>
            </w:pPr>
          </w:p>
        </w:tc>
      </w:tr>
      <w:tr w:rsidR="00D9041B" w:rsidRPr="002F7AA5" w14:paraId="4C380FE4" w14:textId="77777777" w:rsidTr="00705040">
        <w:tc>
          <w:tcPr>
            <w:tcW w:w="4508" w:type="dxa"/>
          </w:tcPr>
          <w:p w14:paraId="2E6352F7" w14:textId="7418E42A" w:rsidR="00D9041B" w:rsidRPr="00D9041B" w:rsidRDefault="00D9041B" w:rsidP="00D9041B">
            <w:pPr>
              <w:jc w:val="both"/>
              <w:rPr>
                <w:rFonts w:asciiTheme="minorHAnsi" w:hAnsiTheme="minorHAnsi" w:cstheme="minorHAnsi"/>
                <w:sz w:val="22"/>
                <w:lang w:val="fr-BE"/>
              </w:rPr>
            </w:pPr>
            <w:r w:rsidRPr="00D9041B">
              <w:rPr>
                <w:rFonts w:asciiTheme="minorHAnsi" w:hAnsiTheme="minorHAnsi" w:cstheme="minorHAnsi"/>
                <w:sz w:val="22"/>
                <w:lang w:val="fr-BE"/>
              </w:rPr>
              <w:t>Vu qu’un nouvel article 126/2 est inséré dans la loi télécom par l’amendement n</w:t>
            </w:r>
            <w:r w:rsidRPr="00DD55CC">
              <w:rPr>
                <w:rFonts w:asciiTheme="minorHAnsi" w:hAnsiTheme="minorHAnsi" w:cstheme="minorHAnsi"/>
                <w:b/>
                <w:bCs/>
                <w:sz w:val="22"/>
                <w:lang w:val="fr-BE"/>
              </w:rPr>
              <w:t xml:space="preserve">° </w:t>
            </w:r>
            <w:r w:rsidR="00D52F49">
              <w:rPr>
                <w:rFonts w:asciiTheme="minorHAnsi" w:hAnsiTheme="minorHAnsi" w:cstheme="minorHAnsi"/>
                <w:b/>
                <w:bCs/>
                <w:sz w:val="22"/>
                <w:lang w:val="fr-BE"/>
              </w:rPr>
              <w:t>3</w:t>
            </w:r>
            <w:r w:rsidRPr="00D9041B">
              <w:rPr>
                <w:rFonts w:asciiTheme="minorHAnsi" w:hAnsiTheme="minorHAnsi" w:cstheme="minorHAnsi"/>
                <w:sz w:val="22"/>
                <w:lang w:val="fr-BE"/>
              </w:rPr>
              <w:t xml:space="preserve">, il est nécessaire d’adapter l’article 145 de cette même loi, de sorte que le non-respect de l’arrêté royal d’exécution de l’article 126/2 soit puni par l’amende pénale prévue à l’article 145.  </w:t>
            </w:r>
          </w:p>
        </w:tc>
        <w:tc>
          <w:tcPr>
            <w:tcW w:w="4508" w:type="dxa"/>
          </w:tcPr>
          <w:p w14:paraId="33728A80" w14:textId="3440FA01" w:rsidR="00D9041B" w:rsidRPr="00D9041B" w:rsidRDefault="00D9041B" w:rsidP="00D9041B">
            <w:pPr>
              <w:jc w:val="both"/>
              <w:rPr>
                <w:rFonts w:asciiTheme="minorHAnsi" w:hAnsiTheme="minorHAnsi" w:cstheme="minorHAnsi"/>
                <w:sz w:val="22"/>
              </w:rPr>
            </w:pPr>
            <w:r w:rsidRPr="00D9041B">
              <w:rPr>
                <w:rFonts w:asciiTheme="minorHAnsi" w:hAnsiTheme="minorHAnsi" w:cstheme="minorHAnsi"/>
                <w:sz w:val="22"/>
              </w:rPr>
              <w:t xml:space="preserve">Aangezien door amendement nr. </w:t>
            </w:r>
            <w:r w:rsidR="00D52F49">
              <w:rPr>
                <w:rFonts w:asciiTheme="minorHAnsi" w:hAnsiTheme="minorHAnsi" w:cstheme="minorHAnsi"/>
                <w:b/>
                <w:bCs/>
                <w:sz w:val="22"/>
              </w:rPr>
              <w:t>3</w:t>
            </w:r>
            <w:r w:rsidR="00D52F49" w:rsidRPr="00D9041B">
              <w:rPr>
                <w:rFonts w:asciiTheme="minorHAnsi" w:hAnsiTheme="minorHAnsi" w:cstheme="minorHAnsi"/>
                <w:sz w:val="22"/>
              </w:rPr>
              <w:t xml:space="preserve"> </w:t>
            </w:r>
            <w:r w:rsidRPr="00D9041B">
              <w:rPr>
                <w:rFonts w:asciiTheme="minorHAnsi" w:hAnsiTheme="minorHAnsi" w:cstheme="minorHAnsi"/>
                <w:sz w:val="22"/>
              </w:rPr>
              <w:t>een nieuw artikel 126/2 wordt ingevoegd in de telecomwet, is het noodzakelijk om artikel 145 van dezelfde wet aan te passen, zodat de niet-naleving van het koninklijk besluit ter uitvoering van artikel 126/2 bestraft wordt met de geldboete waarin artikel 145 voorziet.</w:t>
            </w:r>
          </w:p>
        </w:tc>
      </w:tr>
      <w:tr w:rsidR="00D9041B" w:rsidRPr="002F7AA5" w14:paraId="21D46FBA" w14:textId="77777777" w:rsidTr="00705040">
        <w:tc>
          <w:tcPr>
            <w:tcW w:w="4508" w:type="dxa"/>
          </w:tcPr>
          <w:p w14:paraId="1DC66AEF" w14:textId="77777777" w:rsidR="00D9041B" w:rsidRPr="002F7AA5" w:rsidRDefault="00D9041B" w:rsidP="00D9041B">
            <w:pPr>
              <w:rPr>
                <w:rFonts w:asciiTheme="minorHAnsi" w:hAnsiTheme="minorHAnsi" w:cstheme="minorHAnsi"/>
                <w:sz w:val="22"/>
              </w:rPr>
            </w:pPr>
          </w:p>
        </w:tc>
        <w:tc>
          <w:tcPr>
            <w:tcW w:w="4508" w:type="dxa"/>
          </w:tcPr>
          <w:p w14:paraId="600102C7" w14:textId="77777777" w:rsidR="00D9041B" w:rsidRPr="002F7AA5" w:rsidRDefault="00D9041B" w:rsidP="00D9041B">
            <w:pPr>
              <w:rPr>
                <w:rFonts w:asciiTheme="minorHAnsi" w:hAnsiTheme="minorHAnsi" w:cstheme="minorHAnsi"/>
                <w:sz w:val="22"/>
              </w:rPr>
            </w:pPr>
          </w:p>
        </w:tc>
      </w:tr>
      <w:tr w:rsidR="00DD55CC" w:rsidRPr="002F7AA5" w14:paraId="58835865" w14:textId="77777777" w:rsidTr="00705040">
        <w:tc>
          <w:tcPr>
            <w:tcW w:w="4508" w:type="dxa"/>
          </w:tcPr>
          <w:p w14:paraId="5B4BE44B" w14:textId="22D03F3E" w:rsidR="00DD55CC" w:rsidRPr="00DD55CC" w:rsidRDefault="00DD55CC" w:rsidP="0067084E">
            <w:pPr>
              <w:pStyle w:val="Kop1"/>
              <w:outlineLvl w:val="0"/>
              <w:rPr>
                <w:lang w:val="fr-BE"/>
              </w:rPr>
            </w:pPr>
            <w:bookmarkStart w:id="61" w:name="_Toc96614956"/>
            <w:r w:rsidRPr="00DD55CC">
              <w:rPr>
                <w:rFonts w:eastAsia="Times New Roman"/>
                <w:lang w:val="fr-BE" w:eastAsia="fr-FR"/>
              </w:rPr>
              <w:t xml:space="preserve">Amendement n° </w:t>
            </w:r>
            <w:r>
              <w:rPr>
                <w:rFonts w:eastAsia="Times New Roman"/>
                <w:lang w:val="fr-BE" w:eastAsia="fr-FR"/>
              </w:rPr>
              <w:t>5</w:t>
            </w:r>
            <w:bookmarkEnd w:id="61"/>
          </w:p>
        </w:tc>
        <w:tc>
          <w:tcPr>
            <w:tcW w:w="4508" w:type="dxa"/>
          </w:tcPr>
          <w:p w14:paraId="0981ED90" w14:textId="39399B3B" w:rsidR="00DD55CC" w:rsidRPr="00DD55CC" w:rsidRDefault="00DD55CC" w:rsidP="0067084E">
            <w:pPr>
              <w:pStyle w:val="Kop1"/>
              <w:outlineLvl w:val="0"/>
            </w:pPr>
            <w:bookmarkStart w:id="62" w:name="_Toc96614957"/>
            <w:r w:rsidRPr="00DD55CC">
              <w:rPr>
                <w:rFonts w:eastAsia="Times New Roman"/>
                <w:lang w:eastAsia="fr-FR"/>
              </w:rPr>
              <w:t xml:space="preserve">Amendement nr. </w:t>
            </w:r>
            <w:r>
              <w:rPr>
                <w:rFonts w:eastAsia="Times New Roman"/>
                <w:lang w:eastAsia="fr-FR"/>
              </w:rPr>
              <w:t>5</w:t>
            </w:r>
            <w:bookmarkEnd w:id="62"/>
          </w:p>
        </w:tc>
      </w:tr>
      <w:tr w:rsidR="00DD55CC" w:rsidRPr="002F7AA5" w14:paraId="5AE6CE81" w14:textId="77777777" w:rsidTr="00705040">
        <w:tc>
          <w:tcPr>
            <w:tcW w:w="4508" w:type="dxa"/>
          </w:tcPr>
          <w:p w14:paraId="3125B2D6" w14:textId="77777777" w:rsidR="00DD55CC" w:rsidRPr="00DD55CC" w:rsidRDefault="00DD55CC" w:rsidP="00DD55CC">
            <w:pPr>
              <w:rPr>
                <w:rFonts w:asciiTheme="minorHAnsi" w:eastAsia="Times New Roman" w:hAnsiTheme="minorHAnsi" w:cstheme="minorHAnsi"/>
                <w:sz w:val="22"/>
                <w:lang w:eastAsia="fr-FR"/>
              </w:rPr>
            </w:pPr>
          </w:p>
        </w:tc>
        <w:tc>
          <w:tcPr>
            <w:tcW w:w="4508" w:type="dxa"/>
          </w:tcPr>
          <w:p w14:paraId="0E4A7E95" w14:textId="77777777" w:rsidR="00DD55CC" w:rsidRPr="00DD55CC" w:rsidRDefault="00DD55CC" w:rsidP="00DD55CC">
            <w:pPr>
              <w:rPr>
                <w:rFonts w:asciiTheme="minorHAnsi" w:eastAsia="Times New Roman" w:hAnsiTheme="minorHAnsi" w:cstheme="minorHAnsi"/>
                <w:b/>
                <w:sz w:val="22"/>
                <w:lang w:eastAsia="fr-FR"/>
              </w:rPr>
            </w:pPr>
          </w:p>
        </w:tc>
      </w:tr>
      <w:tr w:rsidR="00DD55CC" w:rsidRPr="002F7AA5" w14:paraId="6A5FE0F4" w14:textId="77777777" w:rsidTr="00541244">
        <w:tc>
          <w:tcPr>
            <w:tcW w:w="4508" w:type="dxa"/>
            <w:shd w:val="clear" w:color="auto" w:fill="auto"/>
          </w:tcPr>
          <w:p w14:paraId="117198CE" w14:textId="156FF393" w:rsidR="00DD55CC" w:rsidRPr="00541244" w:rsidRDefault="00DD55CC" w:rsidP="00DD55CC">
            <w:pPr>
              <w:jc w:val="center"/>
              <w:rPr>
                <w:rFonts w:asciiTheme="minorHAnsi" w:hAnsiTheme="minorHAnsi" w:cstheme="minorHAnsi"/>
                <w:b/>
                <w:bCs/>
                <w:sz w:val="22"/>
              </w:rPr>
            </w:pPr>
            <w:proofErr w:type="spellStart"/>
            <w:r w:rsidRPr="00541244">
              <w:rPr>
                <w:rFonts w:asciiTheme="minorHAnsi" w:eastAsia="Times New Roman" w:hAnsiTheme="minorHAnsi" w:cstheme="minorHAnsi"/>
                <w:b/>
                <w:bCs/>
                <w:sz w:val="22"/>
                <w:lang w:eastAsia="fr-FR"/>
              </w:rPr>
              <w:t>Nouvel</w:t>
            </w:r>
            <w:proofErr w:type="spellEnd"/>
            <w:r w:rsidRPr="00541244">
              <w:rPr>
                <w:rFonts w:asciiTheme="minorHAnsi" w:eastAsia="Times New Roman" w:hAnsiTheme="minorHAnsi" w:cstheme="minorHAnsi"/>
                <w:b/>
                <w:bCs/>
                <w:sz w:val="22"/>
                <w:lang w:eastAsia="fr-FR"/>
              </w:rPr>
              <w:t xml:space="preserve"> </w:t>
            </w:r>
            <w:proofErr w:type="spellStart"/>
            <w:r w:rsidRPr="00541244">
              <w:rPr>
                <w:rFonts w:asciiTheme="minorHAnsi" w:eastAsia="Times New Roman" w:hAnsiTheme="minorHAnsi" w:cstheme="minorHAnsi"/>
                <w:b/>
                <w:bCs/>
                <w:sz w:val="22"/>
                <w:lang w:eastAsia="fr-FR"/>
              </w:rPr>
              <w:t>article</w:t>
            </w:r>
            <w:proofErr w:type="spellEnd"/>
            <w:r w:rsidRPr="00541244">
              <w:rPr>
                <w:rFonts w:asciiTheme="minorHAnsi" w:eastAsia="Times New Roman" w:hAnsiTheme="minorHAnsi" w:cstheme="minorHAnsi"/>
                <w:b/>
                <w:bCs/>
                <w:sz w:val="22"/>
                <w:lang w:eastAsia="fr-FR"/>
              </w:rPr>
              <w:t xml:space="preserve"> 39</w:t>
            </w:r>
          </w:p>
        </w:tc>
        <w:tc>
          <w:tcPr>
            <w:tcW w:w="4508" w:type="dxa"/>
            <w:shd w:val="clear" w:color="auto" w:fill="auto"/>
          </w:tcPr>
          <w:p w14:paraId="4DFFD374" w14:textId="02E015E3" w:rsidR="00DD55CC" w:rsidRPr="00541244" w:rsidRDefault="00DD55CC" w:rsidP="00DD55CC">
            <w:pPr>
              <w:jc w:val="center"/>
              <w:rPr>
                <w:rFonts w:asciiTheme="minorHAnsi" w:hAnsiTheme="minorHAnsi" w:cstheme="minorHAnsi"/>
                <w:sz w:val="22"/>
              </w:rPr>
            </w:pPr>
            <w:r w:rsidRPr="00541244">
              <w:rPr>
                <w:rFonts w:asciiTheme="minorHAnsi" w:eastAsia="Times New Roman" w:hAnsiTheme="minorHAnsi" w:cstheme="minorHAnsi"/>
                <w:b/>
                <w:sz w:val="22"/>
                <w:lang w:eastAsia="fr-FR"/>
              </w:rPr>
              <w:t>Nieuw artikel 39</w:t>
            </w:r>
          </w:p>
        </w:tc>
      </w:tr>
      <w:tr w:rsidR="00DD55CC" w:rsidRPr="002F7AA5" w14:paraId="032B4462" w14:textId="77777777" w:rsidTr="00705040">
        <w:tc>
          <w:tcPr>
            <w:tcW w:w="4508" w:type="dxa"/>
          </w:tcPr>
          <w:p w14:paraId="4FA51A0F" w14:textId="77777777" w:rsidR="00DD55CC" w:rsidRPr="00DD55CC" w:rsidRDefault="00DD55CC" w:rsidP="00DD55CC">
            <w:pPr>
              <w:rPr>
                <w:rFonts w:asciiTheme="minorHAnsi" w:eastAsia="Times New Roman" w:hAnsiTheme="minorHAnsi" w:cstheme="minorHAnsi"/>
                <w:sz w:val="22"/>
                <w:lang w:eastAsia="fr-FR"/>
              </w:rPr>
            </w:pPr>
          </w:p>
        </w:tc>
        <w:tc>
          <w:tcPr>
            <w:tcW w:w="4508" w:type="dxa"/>
          </w:tcPr>
          <w:p w14:paraId="0BE59FAC" w14:textId="77777777" w:rsidR="00DD55CC" w:rsidRPr="00DD55CC" w:rsidRDefault="00DD55CC" w:rsidP="00DD55CC">
            <w:pPr>
              <w:rPr>
                <w:rFonts w:asciiTheme="minorHAnsi" w:eastAsia="Times New Roman" w:hAnsiTheme="minorHAnsi" w:cstheme="minorHAnsi"/>
                <w:b/>
                <w:sz w:val="22"/>
                <w:lang w:eastAsia="fr-FR"/>
              </w:rPr>
            </w:pPr>
          </w:p>
        </w:tc>
      </w:tr>
      <w:tr w:rsidR="00DD55CC" w:rsidRPr="002F7AA5" w14:paraId="53354D2D" w14:textId="77777777" w:rsidTr="00705040">
        <w:tc>
          <w:tcPr>
            <w:tcW w:w="4508" w:type="dxa"/>
          </w:tcPr>
          <w:p w14:paraId="7B45EC58" w14:textId="69B463E1" w:rsidR="00DD55CC" w:rsidRPr="00DD55CC" w:rsidRDefault="00DD55CC" w:rsidP="00DD55CC">
            <w:pPr>
              <w:jc w:val="both"/>
              <w:rPr>
                <w:rFonts w:asciiTheme="minorHAnsi" w:hAnsiTheme="minorHAnsi" w:cstheme="minorHAnsi"/>
                <w:sz w:val="22"/>
                <w:lang w:val="fr-BE"/>
              </w:rPr>
            </w:pPr>
            <w:r w:rsidRPr="00DD55CC">
              <w:rPr>
                <w:rFonts w:asciiTheme="minorHAnsi" w:hAnsiTheme="minorHAnsi" w:cstheme="minorHAnsi"/>
                <w:sz w:val="22"/>
                <w:lang w:val="fr-BE"/>
              </w:rPr>
              <w:lastRenderedPageBreak/>
              <w:t xml:space="preserve">Un article 39 est ajouté au projet de loi, rédigé comme suit : </w:t>
            </w:r>
          </w:p>
        </w:tc>
        <w:tc>
          <w:tcPr>
            <w:tcW w:w="4508" w:type="dxa"/>
          </w:tcPr>
          <w:p w14:paraId="4488E7E6" w14:textId="48689458" w:rsidR="00DD55CC" w:rsidRPr="00DD55CC" w:rsidRDefault="00DD55CC" w:rsidP="00DD55CC">
            <w:pPr>
              <w:jc w:val="both"/>
              <w:rPr>
                <w:rFonts w:asciiTheme="minorHAnsi" w:hAnsiTheme="minorHAnsi" w:cstheme="minorHAnsi"/>
                <w:sz w:val="22"/>
              </w:rPr>
            </w:pPr>
            <w:r w:rsidRPr="00DD55CC">
              <w:rPr>
                <w:rFonts w:asciiTheme="minorHAnsi" w:hAnsiTheme="minorHAnsi" w:cstheme="minorHAnsi"/>
                <w:sz w:val="22"/>
              </w:rPr>
              <w:t>In het wetsontwerp wordt een artikel 39 toegevoegd, luidende:</w:t>
            </w:r>
          </w:p>
        </w:tc>
      </w:tr>
      <w:tr w:rsidR="00DD55CC" w:rsidRPr="002F7AA5" w14:paraId="736B7EFD" w14:textId="77777777" w:rsidTr="00705040">
        <w:tc>
          <w:tcPr>
            <w:tcW w:w="4508" w:type="dxa"/>
          </w:tcPr>
          <w:p w14:paraId="3EDEA365" w14:textId="77777777" w:rsidR="00DD55CC" w:rsidRPr="002F7AA5" w:rsidRDefault="00DD55CC" w:rsidP="00DD55CC">
            <w:pPr>
              <w:rPr>
                <w:rFonts w:asciiTheme="minorHAnsi" w:hAnsiTheme="minorHAnsi" w:cstheme="minorHAnsi"/>
                <w:sz w:val="22"/>
              </w:rPr>
            </w:pPr>
          </w:p>
        </w:tc>
        <w:tc>
          <w:tcPr>
            <w:tcW w:w="4508" w:type="dxa"/>
          </w:tcPr>
          <w:p w14:paraId="7E2F30AE" w14:textId="77777777" w:rsidR="00DD55CC" w:rsidRPr="002F7AA5" w:rsidRDefault="00DD55CC" w:rsidP="00DD55CC">
            <w:pPr>
              <w:rPr>
                <w:rFonts w:asciiTheme="minorHAnsi" w:hAnsiTheme="minorHAnsi" w:cstheme="minorHAnsi"/>
                <w:sz w:val="22"/>
              </w:rPr>
            </w:pPr>
          </w:p>
        </w:tc>
      </w:tr>
      <w:tr w:rsidR="00DD55CC" w:rsidRPr="002F7AA5" w14:paraId="1BBC00A8" w14:textId="77777777" w:rsidTr="00705040">
        <w:tc>
          <w:tcPr>
            <w:tcW w:w="4508" w:type="dxa"/>
          </w:tcPr>
          <w:p w14:paraId="7DF3B2CE" w14:textId="6E6AAB2B" w:rsidR="00DD55CC" w:rsidRPr="00DD55CC" w:rsidRDefault="00DD55CC" w:rsidP="00DD55CC">
            <w:pPr>
              <w:jc w:val="both"/>
              <w:rPr>
                <w:rFonts w:asciiTheme="minorHAnsi" w:hAnsiTheme="minorHAnsi" w:cstheme="minorHAnsi"/>
                <w:sz w:val="22"/>
                <w:lang w:val="fr-BE"/>
              </w:rPr>
            </w:pPr>
            <w:r w:rsidRPr="00DD55CC">
              <w:rPr>
                <w:rFonts w:asciiTheme="minorHAnsi" w:eastAsia="Times New Roman" w:hAnsiTheme="minorHAnsi" w:cstheme="minorHAnsi"/>
                <w:b/>
                <w:bCs/>
                <w:sz w:val="22"/>
                <w:lang w:val="fr-BE" w:eastAsia="fr-FR"/>
              </w:rPr>
              <w:t>Article 39.</w:t>
            </w:r>
            <w:r w:rsidRPr="00DD55CC">
              <w:rPr>
                <w:rFonts w:asciiTheme="minorHAnsi" w:eastAsia="Times New Roman" w:hAnsiTheme="minorHAnsi" w:cstheme="minorHAnsi"/>
                <w:sz w:val="22"/>
                <w:lang w:val="fr-BE" w:eastAsia="fr-FR"/>
              </w:rPr>
              <w:t xml:space="preserve"> Les opérateurs conservent les données suivantes  a</w:t>
            </w:r>
            <w:r w:rsidRPr="00DD55CC">
              <w:rPr>
                <w:rFonts w:asciiTheme="minorHAnsi" w:hAnsiTheme="minorHAnsi" w:cstheme="minorHAnsi"/>
                <w:sz w:val="22"/>
                <w:lang w:val="fr-BE"/>
              </w:rPr>
              <w:t>u plus tard le premier jour qui suit l'expiration d'un délai d'un an prenant cours le jour de la publication de la présente loi au Moniteur belge:</w:t>
            </w:r>
          </w:p>
        </w:tc>
        <w:tc>
          <w:tcPr>
            <w:tcW w:w="4508" w:type="dxa"/>
          </w:tcPr>
          <w:p w14:paraId="091F95A1" w14:textId="0D357374" w:rsidR="00DD55CC" w:rsidRPr="00DD55CC" w:rsidRDefault="00DD55CC" w:rsidP="00DD55CC">
            <w:pPr>
              <w:jc w:val="both"/>
              <w:rPr>
                <w:rFonts w:asciiTheme="minorHAnsi" w:hAnsiTheme="minorHAnsi" w:cstheme="minorHAnsi"/>
                <w:sz w:val="22"/>
              </w:rPr>
            </w:pPr>
            <w:r w:rsidRPr="00DD55CC">
              <w:rPr>
                <w:rFonts w:asciiTheme="minorHAnsi" w:eastAsia="Times New Roman" w:hAnsiTheme="minorHAnsi" w:cstheme="minorHAnsi"/>
                <w:b/>
                <w:sz w:val="22"/>
                <w:lang w:eastAsia="fr-FR"/>
              </w:rPr>
              <w:t xml:space="preserve">Artikel 39. </w:t>
            </w:r>
            <w:r w:rsidRPr="00DD55CC">
              <w:rPr>
                <w:rFonts w:asciiTheme="minorHAnsi" w:hAnsiTheme="minorHAnsi" w:cstheme="minorHAnsi"/>
                <w:sz w:val="22"/>
              </w:rPr>
              <w:t xml:space="preserve">Uiterlijk op de eerste dag die volgt op de afloop van een termijn van een jaar die ingaat op de dag waarop deze wet wordt bekendgemaakt in het Belgisch Staatsblad, bewaren de operatoren de volgende gegevens: </w:t>
            </w:r>
          </w:p>
        </w:tc>
      </w:tr>
      <w:tr w:rsidR="00DD55CC" w:rsidRPr="002F7AA5" w14:paraId="364FDC0F" w14:textId="77777777" w:rsidTr="00705040">
        <w:tc>
          <w:tcPr>
            <w:tcW w:w="4508" w:type="dxa"/>
          </w:tcPr>
          <w:p w14:paraId="1671E53B" w14:textId="77777777" w:rsidR="00DD55CC" w:rsidRPr="00DD55CC" w:rsidRDefault="00DD55CC" w:rsidP="00DD55CC">
            <w:pPr>
              <w:jc w:val="both"/>
              <w:rPr>
                <w:rFonts w:asciiTheme="minorHAnsi" w:hAnsiTheme="minorHAnsi" w:cstheme="minorHAnsi"/>
                <w:sz w:val="22"/>
              </w:rPr>
            </w:pPr>
          </w:p>
        </w:tc>
        <w:tc>
          <w:tcPr>
            <w:tcW w:w="4508" w:type="dxa"/>
          </w:tcPr>
          <w:p w14:paraId="2A73C4C1" w14:textId="77777777" w:rsidR="00DD55CC" w:rsidRPr="00DD55CC" w:rsidRDefault="00DD55CC" w:rsidP="00DD55CC">
            <w:pPr>
              <w:jc w:val="both"/>
              <w:rPr>
                <w:rFonts w:asciiTheme="minorHAnsi" w:hAnsiTheme="minorHAnsi" w:cstheme="minorHAnsi"/>
                <w:sz w:val="22"/>
              </w:rPr>
            </w:pPr>
          </w:p>
        </w:tc>
      </w:tr>
      <w:tr w:rsidR="00DD55CC" w:rsidRPr="002F7AA5" w14:paraId="616B4439" w14:textId="77777777" w:rsidTr="00705040">
        <w:tc>
          <w:tcPr>
            <w:tcW w:w="4508" w:type="dxa"/>
          </w:tcPr>
          <w:p w14:paraId="312EBC77" w14:textId="569AF318" w:rsidR="00DD55CC" w:rsidRPr="00DD55CC" w:rsidRDefault="00DD55CC" w:rsidP="00DD55CC">
            <w:pPr>
              <w:jc w:val="both"/>
              <w:rPr>
                <w:rFonts w:asciiTheme="minorHAnsi" w:hAnsiTheme="minorHAnsi" w:cstheme="minorHAnsi"/>
                <w:sz w:val="22"/>
                <w:lang w:val="fr-BE"/>
              </w:rPr>
            </w:pPr>
            <w:r w:rsidRPr="00DD55CC">
              <w:rPr>
                <w:rFonts w:asciiTheme="minorHAnsi" w:hAnsiTheme="minorHAnsi" w:cstheme="minorHAnsi"/>
                <w:sz w:val="22"/>
                <w:lang w:val="fr-BE"/>
              </w:rPr>
              <w:t xml:space="preserve">1° l’adresse « MAC (Media Access Control) », visée aux articles 126 et 126/2 </w:t>
            </w:r>
            <w:r w:rsidRPr="00DD55CC">
              <w:rPr>
                <w:rFonts w:asciiTheme="minorHAnsi" w:eastAsia="Times New Roman" w:hAnsiTheme="minorHAnsi" w:cstheme="minorHAnsi"/>
                <w:sz w:val="22"/>
                <w:lang w:val="fr-BE" w:eastAsia="fr-FR"/>
              </w:rPr>
              <w:t>de la loi du 13 juin 2005 relative aux communications électroniques </w:t>
            </w:r>
            <w:r w:rsidRPr="00DD55CC">
              <w:rPr>
                <w:rFonts w:asciiTheme="minorHAnsi" w:hAnsiTheme="minorHAnsi" w:cstheme="minorHAnsi"/>
                <w:sz w:val="22"/>
                <w:lang w:val="fr-BE"/>
              </w:rPr>
              <w:t xml:space="preserve">;  </w:t>
            </w:r>
          </w:p>
        </w:tc>
        <w:tc>
          <w:tcPr>
            <w:tcW w:w="4508" w:type="dxa"/>
          </w:tcPr>
          <w:p w14:paraId="6900DEAB" w14:textId="116CC447" w:rsidR="00DD55CC" w:rsidRPr="00DD55CC" w:rsidRDefault="00DD55CC" w:rsidP="00DD55CC">
            <w:pPr>
              <w:jc w:val="both"/>
              <w:rPr>
                <w:rFonts w:asciiTheme="minorHAnsi" w:hAnsiTheme="minorHAnsi" w:cstheme="minorHAnsi"/>
                <w:sz w:val="22"/>
              </w:rPr>
            </w:pPr>
            <w:r w:rsidRPr="00DD55CC">
              <w:rPr>
                <w:rFonts w:asciiTheme="minorHAnsi" w:hAnsiTheme="minorHAnsi" w:cstheme="minorHAnsi"/>
                <w:sz w:val="22"/>
              </w:rPr>
              <w:t xml:space="preserve">1° het “MAC-adres (Media Access Control)”, bedoeld in de artikelen 126 en 126/2 van de wet van 13 juni 2005 betreffende de elektronische communicatie;  </w:t>
            </w:r>
          </w:p>
        </w:tc>
      </w:tr>
      <w:tr w:rsidR="00DD55CC" w:rsidRPr="002F7AA5" w14:paraId="0A46AD9F" w14:textId="77777777" w:rsidTr="00705040">
        <w:tc>
          <w:tcPr>
            <w:tcW w:w="4508" w:type="dxa"/>
          </w:tcPr>
          <w:p w14:paraId="6B253371" w14:textId="77777777" w:rsidR="00DD55CC" w:rsidRPr="00DD55CC" w:rsidRDefault="00DD55CC" w:rsidP="00DD55CC">
            <w:pPr>
              <w:jc w:val="both"/>
              <w:rPr>
                <w:rFonts w:asciiTheme="minorHAnsi" w:hAnsiTheme="minorHAnsi" w:cstheme="minorHAnsi"/>
                <w:sz w:val="22"/>
              </w:rPr>
            </w:pPr>
          </w:p>
        </w:tc>
        <w:tc>
          <w:tcPr>
            <w:tcW w:w="4508" w:type="dxa"/>
          </w:tcPr>
          <w:p w14:paraId="0D33761B" w14:textId="77777777" w:rsidR="00DD55CC" w:rsidRPr="00DD55CC" w:rsidRDefault="00DD55CC" w:rsidP="00DD55CC">
            <w:pPr>
              <w:jc w:val="both"/>
              <w:rPr>
                <w:rFonts w:asciiTheme="minorHAnsi" w:hAnsiTheme="minorHAnsi" w:cstheme="minorHAnsi"/>
                <w:sz w:val="22"/>
              </w:rPr>
            </w:pPr>
          </w:p>
        </w:tc>
      </w:tr>
      <w:tr w:rsidR="00DD55CC" w:rsidRPr="002F7AA5" w14:paraId="1296A23B" w14:textId="77777777" w:rsidTr="00705040">
        <w:tc>
          <w:tcPr>
            <w:tcW w:w="4508" w:type="dxa"/>
          </w:tcPr>
          <w:p w14:paraId="547F6EFF" w14:textId="3A77C025" w:rsidR="00DD55CC" w:rsidRPr="00DD55CC" w:rsidRDefault="00DD55CC" w:rsidP="00DD55CC">
            <w:pPr>
              <w:jc w:val="both"/>
              <w:rPr>
                <w:rFonts w:asciiTheme="minorHAnsi" w:hAnsiTheme="minorHAnsi" w:cstheme="minorHAnsi"/>
                <w:sz w:val="22"/>
                <w:lang w:val="fr-BE"/>
              </w:rPr>
            </w:pPr>
            <w:r w:rsidRPr="00DD55CC">
              <w:rPr>
                <w:rFonts w:asciiTheme="minorHAnsi" w:hAnsiTheme="minorHAnsi" w:cstheme="minorHAnsi"/>
                <w:sz w:val="22"/>
                <w:lang w:val="fr-BE"/>
              </w:rPr>
              <w:t>2° l’identifiant unique pour les appels individuels (« SIP call ID »), visé à l’article 126/2 </w:t>
            </w:r>
            <w:r w:rsidRPr="00DD55CC">
              <w:rPr>
                <w:rFonts w:asciiTheme="minorHAnsi" w:eastAsia="Times New Roman" w:hAnsiTheme="minorHAnsi" w:cstheme="minorHAnsi"/>
                <w:sz w:val="22"/>
                <w:lang w:val="fr-BE" w:eastAsia="fr-FR"/>
              </w:rPr>
              <w:t xml:space="preserve"> de la loi du 13 juin 2005 relative aux communications électroniques</w:t>
            </w:r>
            <w:r w:rsidR="00F70EAD">
              <w:rPr>
                <w:rFonts w:asciiTheme="minorHAnsi" w:eastAsia="Times New Roman" w:hAnsiTheme="minorHAnsi" w:cstheme="minorHAnsi"/>
                <w:sz w:val="22"/>
                <w:lang w:val="fr-BE" w:eastAsia="fr-FR"/>
              </w:rPr>
              <w:t xml:space="preserve"> </w:t>
            </w:r>
            <w:r w:rsidRPr="00DD55CC">
              <w:rPr>
                <w:rFonts w:asciiTheme="minorHAnsi" w:hAnsiTheme="minorHAnsi" w:cstheme="minorHAnsi"/>
                <w:sz w:val="22"/>
                <w:lang w:val="fr-BE"/>
              </w:rPr>
              <w:t>;</w:t>
            </w:r>
          </w:p>
        </w:tc>
        <w:tc>
          <w:tcPr>
            <w:tcW w:w="4508" w:type="dxa"/>
          </w:tcPr>
          <w:p w14:paraId="37D21C5B" w14:textId="15F8DCDA" w:rsidR="00DD55CC" w:rsidRPr="00DD55CC" w:rsidRDefault="00DD55CC" w:rsidP="00DD55CC">
            <w:pPr>
              <w:jc w:val="both"/>
              <w:rPr>
                <w:rFonts w:asciiTheme="minorHAnsi" w:hAnsiTheme="minorHAnsi" w:cstheme="minorHAnsi"/>
                <w:sz w:val="22"/>
              </w:rPr>
            </w:pPr>
            <w:r w:rsidRPr="00DD55CC">
              <w:rPr>
                <w:rFonts w:asciiTheme="minorHAnsi" w:hAnsiTheme="minorHAnsi" w:cstheme="minorHAnsi"/>
                <w:sz w:val="22"/>
              </w:rPr>
              <w:t xml:space="preserve">2° de unieke </w:t>
            </w:r>
            <w:proofErr w:type="spellStart"/>
            <w:r w:rsidR="00D169DD">
              <w:rPr>
                <w:rFonts w:asciiTheme="minorHAnsi" w:hAnsiTheme="minorHAnsi" w:cstheme="minorHAnsi"/>
                <w:sz w:val="22"/>
              </w:rPr>
              <w:t>identifi</w:t>
            </w:r>
            <w:r w:rsidR="0005635B">
              <w:rPr>
                <w:rFonts w:asciiTheme="minorHAnsi" w:hAnsiTheme="minorHAnsi" w:cstheme="minorHAnsi"/>
                <w:sz w:val="22"/>
              </w:rPr>
              <w:t>er</w:t>
            </w:r>
            <w:proofErr w:type="spellEnd"/>
            <w:r w:rsidRPr="00DD55CC">
              <w:rPr>
                <w:rFonts w:asciiTheme="minorHAnsi" w:hAnsiTheme="minorHAnsi" w:cstheme="minorHAnsi"/>
                <w:sz w:val="22"/>
              </w:rPr>
              <w:t xml:space="preserve"> voor de individuele oproepen (“SIP call ID”), bedoeld in artikel 126/2 van de wet van 13 juni 2005 betreffende de elektronische communicatie;</w:t>
            </w:r>
          </w:p>
        </w:tc>
      </w:tr>
      <w:tr w:rsidR="00DD55CC" w:rsidRPr="002F7AA5" w14:paraId="3F1C560C" w14:textId="77777777" w:rsidTr="00705040">
        <w:tc>
          <w:tcPr>
            <w:tcW w:w="4508" w:type="dxa"/>
          </w:tcPr>
          <w:p w14:paraId="37DA7CBD" w14:textId="77777777" w:rsidR="00DD55CC" w:rsidRPr="00DD55CC" w:rsidRDefault="00DD55CC" w:rsidP="00DD55CC">
            <w:pPr>
              <w:jc w:val="both"/>
              <w:rPr>
                <w:rFonts w:asciiTheme="minorHAnsi" w:hAnsiTheme="minorHAnsi" w:cstheme="minorHAnsi"/>
                <w:sz w:val="22"/>
              </w:rPr>
            </w:pPr>
          </w:p>
        </w:tc>
        <w:tc>
          <w:tcPr>
            <w:tcW w:w="4508" w:type="dxa"/>
          </w:tcPr>
          <w:p w14:paraId="53F02731" w14:textId="77777777" w:rsidR="00DD55CC" w:rsidRPr="00DD55CC" w:rsidRDefault="00DD55CC" w:rsidP="00DD55CC">
            <w:pPr>
              <w:jc w:val="both"/>
              <w:rPr>
                <w:rFonts w:asciiTheme="minorHAnsi" w:hAnsiTheme="minorHAnsi" w:cstheme="minorHAnsi"/>
                <w:sz w:val="22"/>
              </w:rPr>
            </w:pPr>
          </w:p>
        </w:tc>
      </w:tr>
      <w:tr w:rsidR="00DD55CC" w:rsidRPr="002F7AA5" w14:paraId="230B98F6" w14:textId="77777777" w:rsidTr="00705040">
        <w:tc>
          <w:tcPr>
            <w:tcW w:w="4508" w:type="dxa"/>
          </w:tcPr>
          <w:p w14:paraId="3D1DDCA2" w14:textId="0E8E35A5" w:rsidR="00DD55CC" w:rsidRPr="00DD55CC" w:rsidRDefault="00DD55CC" w:rsidP="00DD55CC">
            <w:pPr>
              <w:jc w:val="both"/>
              <w:rPr>
                <w:rFonts w:asciiTheme="minorHAnsi" w:hAnsiTheme="minorHAnsi" w:cstheme="minorHAnsi"/>
                <w:sz w:val="22"/>
                <w:lang w:val="fr-BE"/>
              </w:rPr>
            </w:pPr>
            <w:r w:rsidRPr="00DD55CC">
              <w:rPr>
                <w:rFonts w:asciiTheme="minorHAnsi" w:hAnsiTheme="minorHAnsi" w:cstheme="minorHAnsi"/>
                <w:sz w:val="22"/>
                <w:lang w:val="fr-BE"/>
              </w:rPr>
              <w:t>3° les données permettant d’établir la localisation géographique des cellules ou d’autres points de terminaison du réseau,  qui ont été utilisé(e)s au cours de la  communication, visées à l’article 126/2 </w:t>
            </w:r>
            <w:r w:rsidRPr="00DD55CC">
              <w:rPr>
                <w:rFonts w:asciiTheme="minorHAnsi" w:eastAsia="Times New Roman" w:hAnsiTheme="minorHAnsi" w:cstheme="minorHAnsi"/>
                <w:sz w:val="22"/>
                <w:lang w:val="fr-BE" w:eastAsia="fr-FR"/>
              </w:rPr>
              <w:t xml:space="preserve"> de la loi du 13 juin 2005 relative aux communications électroniques</w:t>
            </w:r>
            <w:r w:rsidR="00F70EAD">
              <w:rPr>
                <w:rFonts w:asciiTheme="minorHAnsi" w:eastAsia="Times New Roman" w:hAnsiTheme="minorHAnsi" w:cstheme="minorHAnsi"/>
                <w:sz w:val="22"/>
                <w:lang w:val="fr-BE" w:eastAsia="fr-FR"/>
              </w:rPr>
              <w:t xml:space="preserve"> </w:t>
            </w:r>
            <w:r w:rsidRPr="00DD55CC">
              <w:rPr>
                <w:rFonts w:asciiTheme="minorHAnsi" w:hAnsiTheme="minorHAnsi" w:cstheme="minorHAnsi"/>
                <w:sz w:val="22"/>
                <w:lang w:val="fr-BE"/>
              </w:rPr>
              <w:t xml:space="preserve">; </w:t>
            </w:r>
          </w:p>
        </w:tc>
        <w:tc>
          <w:tcPr>
            <w:tcW w:w="4508" w:type="dxa"/>
          </w:tcPr>
          <w:p w14:paraId="3DA5F743" w14:textId="2DF8A336" w:rsidR="00DD55CC" w:rsidRPr="00DD55CC" w:rsidRDefault="00DD55CC" w:rsidP="00DD55CC">
            <w:pPr>
              <w:jc w:val="both"/>
              <w:rPr>
                <w:rFonts w:asciiTheme="minorHAnsi" w:hAnsiTheme="minorHAnsi" w:cstheme="minorHAnsi"/>
                <w:sz w:val="22"/>
              </w:rPr>
            </w:pPr>
            <w:r w:rsidRPr="00DD55CC">
              <w:rPr>
                <w:rFonts w:asciiTheme="minorHAnsi" w:hAnsiTheme="minorHAnsi" w:cstheme="minorHAnsi"/>
                <w:sz w:val="22"/>
              </w:rPr>
              <w:t>3° de gegevens aan de hand waarvan de geografische locatie kan worden bepaald van de cellen of andere netwerkaansluitpunten, die werden gebruikt bij de communicatie, en waarvan sprake in artikel 126/2 van de wet van 13 juni 2005 betreffende de elektronische communicatie;</w:t>
            </w:r>
          </w:p>
        </w:tc>
      </w:tr>
      <w:tr w:rsidR="00DD55CC" w:rsidRPr="002F7AA5" w14:paraId="62EF46AB" w14:textId="77777777" w:rsidTr="00705040">
        <w:tc>
          <w:tcPr>
            <w:tcW w:w="4508" w:type="dxa"/>
          </w:tcPr>
          <w:p w14:paraId="0EF7E41F" w14:textId="77777777" w:rsidR="00DD55CC" w:rsidRPr="00DD55CC" w:rsidRDefault="00DD55CC" w:rsidP="00DD55CC">
            <w:pPr>
              <w:jc w:val="both"/>
              <w:rPr>
                <w:rFonts w:asciiTheme="minorHAnsi" w:hAnsiTheme="minorHAnsi" w:cstheme="minorHAnsi"/>
                <w:sz w:val="22"/>
              </w:rPr>
            </w:pPr>
          </w:p>
        </w:tc>
        <w:tc>
          <w:tcPr>
            <w:tcW w:w="4508" w:type="dxa"/>
          </w:tcPr>
          <w:p w14:paraId="56F72911" w14:textId="77777777" w:rsidR="00DD55CC" w:rsidRPr="00DD55CC" w:rsidRDefault="00DD55CC" w:rsidP="00DD55CC">
            <w:pPr>
              <w:jc w:val="both"/>
              <w:rPr>
                <w:rFonts w:asciiTheme="minorHAnsi" w:hAnsiTheme="minorHAnsi" w:cstheme="minorHAnsi"/>
                <w:sz w:val="22"/>
              </w:rPr>
            </w:pPr>
          </w:p>
        </w:tc>
      </w:tr>
      <w:tr w:rsidR="00DD55CC" w:rsidRPr="002F7AA5" w14:paraId="7C76A6EA" w14:textId="77777777" w:rsidTr="00705040">
        <w:tc>
          <w:tcPr>
            <w:tcW w:w="4508" w:type="dxa"/>
          </w:tcPr>
          <w:p w14:paraId="1076F1A1" w14:textId="369A2203" w:rsidR="00DD55CC" w:rsidRPr="00DD55CC" w:rsidRDefault="00DD55CC" w:rsidP="00DD55CC">
            <w:pPr>
              <w:jc w:val="both"/>
              <w:rPr>
                <w:rFonts w:asciiTheme="minorHAnsi" w:hAnsiTheme="minorHAnsi" w:cstheme="minorHAnsi"/>
                <w:sz w:val="22"/>
                <w:lang w:val="fr-BE"/>
              </w:rPr>
            </w:pPr>
            <w:r w:rsidRPr="00DD55CC">
              <w:rPr>
                <w:rFonts w:asciiTheme="minorHAnsi" w:hAnsiTheme="minorHAnsi" w:cstheme="minorHAnsi"/>
                <w:sz w:val="22"/>
                <w:lang w:val="fr-BE"/>
              </w:rPr>
              <w:t xml:space="preserve">4° les données visées à l’article 126/2, § 2, 8° et 9° </w:t>
            </w:r>
            <w:r w:rsidRPr="00DD55CC">
              <w:rPr>
                <w:rFonts w:asciiTheme="minorHAnsi" w:eastAsia="Times New Roman" w:hAnsiTheme="minorHAnsi" w:cstheme="minorHAnsi"/>
                <w:sz w:val="22"/>
                <w:lang w:val="fr-BE" w:eastAsia="fr-FR"/>
              </w:rPr>
              <w:t xml:space="preserve"> de la loi du 13 juin 2005 relative aux communications électroniques</w:t>
            </w:r>
            <w:r w:rsidRPr="00DD55CC">
              <w:rPr>
                <w:rFonts w:asciiTheme="minorHAnsi" w:hAnsiTheme="minorHAnsi" w:cstheme="minorHAnsi"/>
                <w:sz w:val="22"/>
                <w:lang w:val="fr-BE"/>
              </w:rPr>
              <w:t xml:space="preserve">.  </w:t>
            </w:r>
          </w:p>
        </w:tc>
        <w:tc>
          <w:tcPr>
            <w:tcW w:w="4508" w:type="dxa"/>
          </w:tcPr>
          <w:p w14:paraId="3E20695B" w14:textId="5217AD4C" w:rsidR="00DD55CC" w:rsidRPr="00DD55CC" w:rsidRDefault="00DD55CC" w:rsidP="00DD55CC">
            <w:pPr>
              <w:jc w:val="both"/>
              <w:rPr>
                <w:rFonts w:asciiTheme="minorHAnsi" w:hAnsiTheme="minorHAnsi" w:cstheme="minorHAnsi"/>
                <w:sz w:val="22"/>
              </w:rPr>
            </w:pPr>
            <w:r w:rsidRPr="00DD55CC">
              <w:rPr>
                <w:rFonts w:asciiTheme="minorHAnsi" w:hAnsiTheme="minorHAnsi" w:cstheme="minorHAnsi"/>
                <w:sz w:val="22"/>
              </w:rPr>
              <w:t>2° de gegevens bedoeld in artikel 126/2, § 2, 8° en 9°, van de wet van 13 juni 2005 betreffende de elektronische communicatie.</w:t>
            </w:r>
          </w:p>
        </w:tc>
      </w:tr>
      <w:tr w:rsidR="00DD55CC" w:rsidRPr="002F7AA5" w14:paraId="0887F2A1" w14:textId="77777777" w:rsidTr="00705040">
        <w:tc>
          <w:tcPr>
            <w:tcW w:w="4508" w:type="dxa"/>
          </w:tcPr>
          <w:p w14:paraId="6EEE5D8F" w14:textId="77777777" w:rsidR="00DD55CC" w:rsidRPr="002F7AA5" w:rsidRDefault="00DD55CC" w:rsidP="00DD55CC">
            <w:pPr>
              <w:rPr>
                <w:rFonts w:asciiTheme="minorHAnsi" w:hAnsiTheme="minorHAnsi" w:cstheme="minorHAnsi"/>
                <w:sz w:val="22"/>
              </w:rPr>
            </w:pPr>
          </w:p>
        </w:tc>
        <w:tc>
          <w:tcPr>
            <w:tcW w:w="4508" w:type="dxa"/>
          </w:tcPr>
          <w:p w14:paraId="49882F35" w14:textId="77777777" w:rsidR="00DD55CC" w:rsidRPr="002F7AA5" w:rsidRDefault="00DD55CC" w:rsidP="00DD55CC">
            <w:pPr>
              <w:rPr>
                <w:rFonts w:asciiTheme="minorHAnsi" w:hAnsiTheme="minorHAnsi" w:cstheme="minorHAnsi"/>
                <w:sz w:val="22"/>
              </w:rPr>
            </w:pPr>
          </w:p>
        </w:tc>
      </w:tr>
      <w:tr w:rsidR="00DD55CC" w:rsidRPr="002F7AA5" w14:paraId="1401CD97" w14:textId="77777777" w:rsidTr="00705040">
        <w:tc>
          <w:tcPr>
            <w:tcW w:w="4508" w:type="dxa"/>
          </w:tcPr>
          <w:p w14:paraId="5BCD29A0" w14:textId="7B5DD71C" w:rsidR="00DD55CC" w:rsidRPr="00DD55CC" w:rsidRDefault="00DD55CC" w:rsidP="00DD55CC">
            <w:pPr>
              <w:jc w:val="center"/>
              <w:rPr>
                <w:rFonts w:asciiTheme="minorHAnsi" w:hAnsiTheme="minorHAnsi" w:cstheme="minorHAnsi"/>
                <w:b/>
                <w:bCs/>
                <w:sz w:val="22"/>
              </w:rPr>
            </w:pPr>
            <w:r w:rsidRPr="00DD55CC">
              <w:rPr>
                <w:rFonts w:ascii="Calibri" w:eastAsia="Times New Roman" w:hAnsi="Calibri" w:cs="Calibri"/>
                <w:b/>
                <w:bCs/>
                <w:sz w:val="22"/>
                <w:lang w:eastAsia="fr-FR"/>
              </w:rPr>
              <w:t>JUSTIFICATION</w:t>
            </w:r>
          </w:p>
        </w:tc>
        <w:tc>
          <w:tcPr>
            <w:tcW w:w="4508" w:type="dxa"/>
          </w:tcPr>
          <w:p w14:paraId="68C2CB65" w14:textId="5A12426F" w:rsidR="00DD55CC" w:rsidRPr="00DD55CC" w:rsidRDefault="00DD55CC" w:rsidP="00DD55CC">
            <w:pPr>
              <w:jc w:val="center"/>
              <w:rPr>
                <w:rFonts w:asciiTheme="minorHAnsi" w:hAnsiTheme="minorHAnsi" w:cstheme="minorHAnsi"/>
                <w:sz w:val="22"/>
              </w:rPr>
            </w:pPr>
            <w:r w:rsidRPr="00DD55CC">
              <w:rPr>
                <w:rFonts w:ascii="Calibri" w:eastAsia="Times New Roman" w:hAnsi="Calibri" w:cs="Calibri"/>
                <w:b/>
                <w:sz w:val="22"/>
                <w:lang w:val="fr-BE" w:eastAsia="fr-FR"/>
              </w:rPr>
              <w:t>VERANTWOORDING</w:t>
            </w:r>
          </w:p>
        </w:tc>
      </w:tr>
      <w:tr w:rsidR="00DD55CC" w:rsidRPr="002F7AA5" w14:paraId="20A7A620" w14:textId="77777777" w:rsidTr="00705040">
        <w:tc>
          <w:tcPr>
            <w:tcW w:w="4508" w:type="dxa"/>
          </w:tcPr>
          <w:p w14:paraId="2438E2EA" w14:textId="77777777" w:rsidR="00DD55CC" w:rsidRPr="002F7AA5" w:rsidRDefault="00DD55CC" w:rsidP="00DD55CC">
            <w:pPr>
              <w:rPr>
                <w:rFonts w:asciiTheme="minorHAnsi" w:hAnsiTheme="minorHAnsi" w:cstheme="minorHAnsi"/>
                <w:sz w:val="22"/>
              </w:rPr>
            </w:pPr>
          </w:p>
        </w:tc>
        <w:tc>
          <w:tcPr>
            <w:tcW w:w="4508" w:type="dxa"/>
          </w:tcPr>
          <w:p w14:paraId="3565E24E" w14:textId="77777777" w:rsidR="00DD55CC" w:rsidRPr="002F7AA5" w:rsidRDefault="00DD55CC" w:rsidP="00DD55CC">
            <w:pPr>
              <w:rPr>
                <w:rFonts w:asciiTheme="minorHAnsi" w:hAnsiTheme="minorHAnsi" w:cstheme="minorHAnsi"/>
                <w:sz w:val="22"/>
              </w:rPr>
            </w:pPr>
          </w:p>
        </w:tc>
      </w:tr>
      <w:tr w:rsidR="00DD55CC" w:rsidRPr="002F7AA5" w14:paraId="348DBDC1" w14:textId="77777777" w:rsidTr="00705040">
        <w:tc>
          <w:tcPr>
            <w:tcW w:w="4508" w:type="dxa"/>
          </w:tcPr>
          <w:p w14:paraId="5A9CE0A8" w14:textId="098B8082" w:rsidR="00DD55CC" w:rsidRPr="00DD55CC" w:rsidRDefault="00DD55CC" w:rsidP="00DD55CC">
            <w:pPr>
              <w:jc w:val="both"/>
              <w:rPr>
                <w:rFonts w:asciiTheme="minorHAnsi" w:hAnsiTheme="minorHAnsi" w:cstheme="minorHAnsi"/>
                <w:sz w:val="22"/>
                <w:lang w:val="fr-BE"/>
              </w:rPr>
            </w:pPr>
            <w:r w:rsidRPr="00DD55CC">
              <w:rPr>
                <w:rFonts w:asciiTheme="minorHAnsi" w:hAnsiTheme="minorHAnsi" w:cstheme="minorHAnsi"/>
                <w:sz w:val="22"/>
                <w:lang w:val="fr-BE"/>
              </w:rPr>
              <w:t xml:space="preserve">Les opérateurs disposent d’un délai d’un an pour conserver les nouvelles données, à savoir des données visées dans les articles 126 et 126/2 de la loi télécom et qui ne sont pas prévues dans l’arrêté royal du 19 septembre 2013 portant exécution de l'article 126 de la loi du 13 juin 2005 relative aux communications électroniques.  </w:t>
            </w:r>
          </w:p>
        </w:tc>
        <w:tc>
          <w:tcPr>
            <w:tcW w:w="4508" w:type="dxa"/>
          </w:tcPr>
          <w:p w14:paraId="4F636E5D" w14:textId="47CDA915" w:rsidR="00DD55CC" w:rsidRPr="00DD55CC" w:rsidRDefault="00DD55CC" w:rsidP="00DD55CC">
            <w:pPr>
              <w:jc w:val="both"/>
              <w:rPr>
                <w:rFonts w:asciiTheme="minorHAnsi" w:hAnsiTheme="minorHAnsi" w:cstheme="minorHAnsi"/>
                <w:sz w:val="22"/>
              </w:rPr>
            </w:pPr>
            <w:r w:rsidRPr="00DD55CC">
              <w:rPr>
                <w:rFonts w:asciiTheme="minorHAnsi" w:hAnsiTheme="minorHAnsi" w:cstheme="minorHAnsi"/>
                <w:sz w:val="22"/>
              </w:rPr>
              <w:t>De operatoren beschikken over een termijn van een jaar om de nieuwe gegevens, namelijk gegevens bedoeld in de artikelen 126 en 126/2 van de telecomwet en waarin het koninklijk besluit van 19 september 2013 tot uitvoering van artikel 126 van de wet van 13 juni 2005 betreffende de elektronische communicatie niet voorziet, te bewaren.</w:t>
            </w:r>
          </w:p>
        </w:tc>
      </w:tr>
    </w:tbl>
    <w:p w14:paraId="5987CAA2" w14:textId="77777777" w:rsidR="00A907E6" w:rsidRPr="00270C6B" w:rsidRDefault="00A907E6" w:rsidP="00270C6B"/>
    <w:sectPr w:rsidR="00A907E6" w:rsidRPr="00270C6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A659" w14:textId="77777777" w:rsidR="0067084E" w:rsidRDefault="0067084E" w:rsidP="0067084E">
      <w:pPr>
        <w:spacing w:after="0" w:line="240" w:lineRule="auto"/>
      </w:pPr>
      <w:r>
        <w:separator/>
      </w:r>
    </w:p>
  </w:endnote>
  <w:endnote w:type="continuationSeparator" w:id="0">
    <w:p w14:paraId="5E41F881" w14:textId="77777777" w:rsidR="0067084E" w:rsidRDefault="0067084E" w:rsidP="0067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853698"/>
      <w:docPartObj>
        <w:docPartGallery w:val="Page Numbers (Bottom of Page)"/>
        <w:docPartUnique/>
      </w:docPartObj>
    </w:sdtPr>
    <w:sdtEndPr/>
    <w:sdtContent>
      <w:p w14:paraId="55FD1EDD" w14:textId="166B15C7" w:rsidR="0067084E" w:rsidRDefault="0067084E">
        <w:pPr>
          <w:pStyle w:val="Voettekst"/>
          <w:jc w:val="center"/>
        </w:pPr>
        <w:r>
          <w:fldChar w:fldCharType="begin"/>
        </w:r>
        <w:r>
          <w:instrText>PAGE   \* MERGEFORMAT</w:instrText>
        </w:r>
        <w:r>
          <w:fldChar w:fldCharType="separate"/>
        </w:r>
        <w:r>
          <w:rPr>
            <w:lang w:val="nl-NL"/>
          </w:rPr>
          <w:t>2</w:t>
        </w:r>
        <w:r>
          <w:fldChar w:fldCharType="end"/>
        </w:r>
      </w:p>
    </w:sdtContent>
  </w:sdt>
  <w:p w14:paraId="48EE7C90" w14:textId="77777777" w:rsidR="0067084E" w:rsidRDefault="006708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D8E9" w14:textId="77777777" w:rsidR="0067084E" w:rsidRDefault="0067084E" w:rsidP="0067084E">
      <w:pPr>
        <w:spacing w:after="0" w:line="240" w:lineRule="auto"/>
      </w:pPr>
      <w:r>
        <w:separator/>
      </w:r>
    </w:p>
  </w:footnote>
  <w:footnote w:type="continuationSeparator" w:id="0">
    <w:p w14:paraId="648827FE" w14:textId="77777777" w:rsidR="0067084E" w:rsidRDefault="0067084E" w:rsidP="00670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E46C6"/>
    <w:multiLevelType w:val="hybridMultilevel"/>
    <w:tmpl w:val="7CECD024"/>
    <w:lvl w:ilvl="0" w:tplc="6F4E5C6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52F7079"/>
    <w:multiLevelType w:val="hybridMultilevel"/>
    <w:tmpl w:val="ED465F72"/>
    <w:lvl w:ilvl="0" w:tplc="4BFA2E98">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36D63"/>
    <w:multiLevelType w:val="hybridMultilevel"/>
    <w:tmpl w:val="969A1CCC"/>
    <w:lvl w:ilvl="0" w:tplc="7ED41B7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62C67F1"/>
    <w:multiLevelType w:val="hybridMultilevel"/>
    <w:tmpl w:val="C3DC7D16"/>
    <w:lvl w:ilvl="0" w:tplc="30F6D58E">
      <w:start w:val="1"/>
      <w:numFmt w:val="bullet"/>
      <w:lvlText w:val="-"/>
      <w:lvlJc w:val="left"/>
      <w:pPr>
        <w:ind w:left="360" w:hanging="360"/>
      </w:pPr>
      <w:rPr>
        <w:rFonts w:ascii="Cambria" w:hAnsi="Cambria"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40"/>
    <w:rsid w:val="000144C2"/>
    <w:rsid w:val="0001570F"/>
    <w:rsid w:val="0005022E"/>
    <w:rsid w:val="0005635B"/>
    <w:rsid w:val="00056D8A"/>
    <w:rsid w:val="000A06F2"/>
    <w:rsid w:val="000D685F"/>
    <w:rsid w:val="001053A3"/>
    <w:rsid w:val="001069DE"/>
    <w:rsid w:val="00153FF6"/>
    <w:rsid w:val="00171FC3"/>
    <w:rsid w:val="00182D5B"/>
    <w:rsid w:val="00246D4B"/>
    <w:rsid w:val="002547AE"/>
    <w:rsid w:val="00270C6B"/>
    <w:rsid w:val="002A20E3"/>
    <w:rsid w:val="002A4D19"/>
    <w:rsid w:val="002F60E7"/>
    <w:rsid w:val="002F7AA5"/>
    <w:rsid w:val="003471A7"/>
    <w:rsid w:val="003869CB"/>
    <w:rsid w:val="0039499B"/>
    <w:rsid w:val="004236EC"/>
    <w:rsid w:val="004306FC"/>
    <w:rsid w:val="00493CB4"/>
    <w:rsid w:val="004A10BD"/>
    <w:rsid w:val="004A7671"/>
    <w:rsid w:val="004D79A5"/>
    <w:rsid w:val="004E0728"/>
    <w:rsid w:val="004E6848"/>
    <w:rsid w:val="00515994"/>
    <w:rsid w:val="005266D0"/>
    <w:rsid w:val="00541244"/>
    <w:rsid w:val="00557A99"/>
    <w:rsid w:val="00560ABB"/>
    <w:rsid w:val="005D290D"/>
    <w:rsid w:val="005E2406"/>
    <w:rsid w:val="005F632C"/>
    <w:rsid w:val="00653D61"/>
    <w:rsid w:val="0067084E"/>
    <w:rsid w:val="006A066E"/>
    <w:rsid w:val="006B01FD"/>
    <w:rsid w:val="006C5B74"/>
    <w:rsid w:val="006D59DD"/>
    <w:rsid w:val="006E0DCA"/>
    <w:rsid w:val="006F1905"/>
    <w:rsid w:val="00705040"/>
    <w:rsid w:val="00706C31"/>
    <w:rsid w:val="00776E0A"/>
    <w:rsid w:val="007912FB"/>
    <w:rsid w:val="007A11EF"/>
    <w:rsid w:val="007C196F"/>
    <w:rsid w:val="00822D8E"/>
    <w:rsid w:val="00872E37"/>
    <w:rsid w:val="008730B1"/>
    <w:rsid w:val="00876B45"/>
    <w:rsid w:val="00882239"/>
    <w:rsid w:val="008B21D2"/>
    <w:rsid w:val="008C25D4"/>
    <w:rsid w:val="008D3B9B"/>
    <w:rsid w:val="008F1F7F"/>
    <w:rsid w:val="00904A62"/>
    <w:rsid w:val="009627FF"/>
    <w:rsid w:val="00977E17"/>
    <w:rsid w:val="00984FE0"/>
    <w:rsid w:val="009964A4"/>
    <w:rsid w:val="009B40C8"/>
    <w:rsid w:val="009F7499"/>
    <w:rsid w:val="00A26693"/>
    <w:rsid w:val="00A33A52"/>
    <w:rsid w:val="00A37B47"/>
    <w:rsid w:val="00A82A7E"/>
    <w:rsid w:val="00A907E6"/>
    <w:rsid w:val="00AA7156"/>
    <w:rsid w:val="00B1764E"/>
    <w:rsid w:val="00B4052E"/>
    <w:rsid w:val="00BA6F44"/>
    <w:rsid w:val="00BC0B27"/>
    <w:rsid w:val="00BD3F76"/>
    <w:rsid w:val="00C017AA"/>
    <w:rsid w:val="00C159DC"/>
    <w:rsid w:val="00C15F53"/>
    <w:rsid w:val="00C45B34"/>
    <w:rsid w:val="00C462D9"/>
    <w:rsid w:val="00C818A2"/>
    <w:rsid w:val="00D00907"/>
    <w:rsid w:val="00D169DD"/>
    <w:rsid w:val="00D4520A"/>
    <w:rsid w:val="00D4569E"/>
    <w:rsid w:val="00D52F49"/>
    <w:rsid w:val="00D535F1"/>
    <w:rsid w:val="00D6245E"/>
    <w:rsid w:val="00D64A61"/>
    <w:rsid w:val="00D759E9"/>
    <w:rsid w:val="00D80017"/>
    <w:rsid w:val="00D9041B"/>
    <w:rsid w:val="00DC2110"/>
    <w:rsid w:val="00DD55CC"/>
    <w:rsid w:val="00E63CBF"/>
    <w:rsid w:val="00E96110"/>
    <w:rsid w:val="00EB6D2B"/>
    <w:rsid w:val="00ED7535"/>
    <w:rsid w:val="00EE1575"/>
    <w:rsid w:val="00EF5D0F"/>
    <w:rsid w:val="00F032B9"/>
    <w:rsid w:val="00F30795"/>
    <w:rsid w:val="00F35E8A"/>
    <w:rsid w:val="00F478C3"/>
    <w:rsid w:val="00F70EAD"/>
    <w:rsid w:val="00FB35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E812"/>
  <w15:chartTrackingRefBased/>
  <w15:docId w15:val="{5F99E41F-117E-4127-8805-638AF74E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60E7"/>
    <w:rPr>
      <w:rFonts w:ascii="Tahoma" w:hAnsi="Tahoma"/>
      <w:sz w:val="20"/>
    </w:rPr>
  </w:style>
  <w:style w:type="paragraph" w:styleId="Kop1">
    <w:name w:val="heading 1"/>
    <w:basedOn w:val="Standaard"/>
    <w:next w:val="Standaard"/>
    <w:link w:val="Kop1Char"/>
    <w:uiPriority w:val="9"/>
    <w:qFormat/>
    <w:rsid w:val="00056D8A"/>
    <w:pPr>
      <w:keepNext/>
      <w:keepLines/>
      <w:spacing w:before="240" w:after="0" w:line="360" w:lineRule="auto"/>
      <w:jc w:val="center"/>
      <w:outlineLvl w:val="0"/>
    </w:pPr>
    <w:rPr>
      <w:rFonts w:ascii="Calibri" w:eastAsiaTheme="majorEastAsia" w:hAnsi="Calibri" w:cstheme="majorBidi"/>
      <w:b/>
      <w:sz w:val="24"/>
      <w:szCs w:val="32"/>
    </w:rPr>
  </w:style>
  <w:style w:type="paragraph" w:styleId="Kop2">
    <w:name w:val="heading 2"/>
    <w:basedOn w:val="Standaard"/>
    <w:next w:val="Standaard"/>
    <w:link w:val="Kop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D8A"/>
    <w:rPr>
      <w:rFonts w:ascii="Calibri" w:eastAsiaTheme="majorEastAsia" w:hAnsi="Calibri" w:cstheme="majorBidi"/>
      <w:b/>
      <w:sz w:val="24"/>
      <w:szCs w:val="32"/>
    </w:rPr>
  </w:style>
  <w:style w:type="paragraph" w:styleId="Titel">
    <w:name w:val="Title"/>
    <w:basedOn w:val="Standaard"/>
    <w:next w:val="Standaard"/>
    <w:link w:val="Titel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elChar">
    <w:name w:val="Titel Char"/>
    <w:basedOn w:val="Standaardalinea-lettertype"/>
    <w:link w:val="Titel"/>
    <w:uiPriority w:val="10"/>
    <w:rsid w:val="00A907E6"/>
    <w:rPr>
      <w:rFonts w:ascii="Tahoma" w:eastAsiaTheme="majorEastAsia" w:hAnsi="Tahoma" w:cstheme="majorBidi"/>
      <w:spacing w:val="-10"/>
      <w:kern w:val="28"/>
      <w:sz w:val="76"/>
      <w:szCs w:val="56"/>
    </w:rPr>
  </w:style>
  <w:style w:type="character" w:customStyle="1" w:styleId="Kop2Char">
    <w:name w:val="Kop 2 Char"/>
    <w:basedOn w:val="Standaardalinea-lettertype"/>
    <w:link w:val="Kop2"/>
    <w:uiPriority w:val="9"/>
    <w:rsid w:val="00A907E6"/>
    <w:rPr>
      <w:rFonts w:ascii="Tahoma" w:eastAsiaTheme="majorEastAsia" w:hAnsi="Tahoma" w:cstheme="majorBidi"/>
      <w:color w:val="1B80B2" w:themeColor="accent1" w:themeShade="BF"/>
      <w:sz w:val="36"/>
      <w:szCs w:val="26"/>
    </w:rPr>
  </w:style>
  <w:style w:type="table" w:styleId="Tabelraster">
    <w:name w:val="Table Grid"/>
    <w:basedOn w:val="Standaardtabel"/>
    <w:uiPriority w:val="39"/>
    <w:rsid w:val="00705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B3514"/>
    <w:pPr>
      <w:spacing w:after="0" w:line="240" w:lineRule="auto"/>
    </w:pPr>
    <w:rPr>
      <w:rFonts w:ascii="Tahoma" w:hAnsi="Tahoma"/>
      <w:sz w:val="20"/>
    </w:rPr>
  </w:style>
  <w:style w:type="paragraph" w:styleId="Lijstalinea">
    <w:name w:val="List Paragraph"/>
    <w:basedOn w:val="Standaard"/>
    <w:link w:val="LijstalineaChar"/>
    <w:uiPriority w:val="34"/>
    <w:qFormat/>
    <w:rsid w:val="00FB3514"/>
    <w:pPr>
      <w:ind w:left="720"/>
      <w:contextualSpacing/>
    </w:pPr>
  </w:style>
  <w:style w:type="character" w:customStyle="1" w:styleId="LijstalineaChar">
    <w:name w:val="Lijstalinea Char"/>
    <w:basedOn w:val="Standaardalinea-lettertype"/>
    <w:link w:val="Lijstalinea"/>
    <w:uiPriority w:val="34"/>
    <w:rsid w:val="00182D5B"/>
    <w:rPr>
      <w:rFonts w:ascii="Tahoma" w:hAnsi="Tahoma"/>
      <w:sz w:val="20"/>
    </w:rPr>
  </w:style>
  <w:style w:type="character" w:styleId="Verwijzingopmerking">
    <w:name w:val="annotation reference"/>
    <w:basedOn w:val="Standaardalinea-lettertype"/>
    <w:uiPriority w:val="99"/>
    <w:semiHidden/>
    <w:unhideWhenUsed/>
    <w:rsid w:val="00C15F53"/>
    <w:rPr>
      <w:sz w:val="16"/>
      <w:szCs w:val="16"/>
    </w:rPr>
  </w:style>
  <w:style w:type="paragraph" w:styleId="Tekstopmerking">
    <w:name w:val="annotation text"/>
    <w:basedOn w:val="Standaard"/>
    <w:link w:val="TekstopmerkingChar"/>
    <w:uiPriority w:val="99"/>
    <w:unhideWhenUsed/>
    <w:rsid w:val="00C15F53"/>
    <w:pPr>
      <w:spacing w:line="240" w:lineRule="auto"/>
    </w:pPr>
    <w:rPr>
      <w:szCs w:val="20"/>
    </w:rPr>
  </w:style>
  <w:style w:type="character" w:customStyle="1" w:styleId="TekstopmerkingChar">
    <w:name w:val="Tekst opmerking Char"/>
    <w:basedOn w:val="Standaardalinea-lettertype"/>
    <w:link w:val="Tekstopmerking"/>
    <w:uiPriority w:val="99"/>
    <w:rsid w:val="00C15F53"/>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C15F53"/>
    <w:rPr>
      <w:b/>
      <w:bCs/>
    </w:rPr>
  </w:style>
  <w:style w:type="character" w:customStyle="1" w:styleId="OnderwerpvanopmerkingChar">
    <w:name w:val="Onderwerp van opmerking Char"/>
    <w:basedOn w:val="TekstopmerkingChar"/>
    <w:link w:val="Onderwerpvanopmerking"/>
    <w:uiPriority w:val="99"/>
    <w:semiHidden/>
    <w:rsid w:val="00C15F53"/>
    <w:rPr>
      <w:rFonts w:ascii="Tahoma" w:hAnsi="Tahoma"/>
      <w:b/>
      <w:bCs/>
      <w:sz w:val="20"/>
      <w:szCs w:val="20"/>
    </w:rPr>
  </w:style>
  <w:style w:type="paragraph" w:styleId="Kopvaninhoudsopgave">
    <w:name w:val="TOC Heading"/>
    <w:basedOn w:val="Kop1"/>
    <w:next w:val="Standaard"/>
    <w:uiPriority w:val="39"/>
    <w:unhideWhenUsed/>
    <w:qFormat/>
    <w:rsid w:val="002F60E7"/>
    <w:pPr>
      <w:spacing w:line="259" w:lineRule="auto"/>
      <w:outlineLvl w:val="9"/>
    </w:pPr>
    <w:rPr>
      <w:color w:val="1B80B2" w:themeColor="accent1" w:themeShade="BF"/>
      <w:sz w:val="32"/>
      <w:lang w:eastAsia="nl-BE"/>
    </w:rPr>
  </w:style>
  <w:style w:type="paragraph" w:styleId="Inhopg1">
    <w:name w:val="toc 1"/>
    <w:basedOn w:val="Standaard"/>
    <w:next w:val="Standaard"/>
    <w:autoRedefine/>
    <w:uiPriority w:val="39"/>
    <w:unhideWhenUsed/>
    <w:rsid w:val="002F60E7"/>
    <w:pPr>
      <w:tabs>
        <w:tab w:val="right" w:leader="dot" w:pos="9016"/>
      </w:tabs>
      <w:spacing w:after="100"/>
    </w:pPr>
  </w:style>
  <w:style w:type="character" w:styleId="Hyperlink">
    <w:name w:val="Hyperlink"/>
    <w:basedOn w:val="Standaardalinea-lettertype"/>
    <w:uiPriority w:val="99"/>
    <w:unhideWhenUsed/>
    <w:rsid w:val="00A37B47"/>
    <w:rPr>
      <w:color w:val="32A8E0" w:themeColor="hyperlink"/>
      <w:u w:val="single"/>
    </w:rPr>
  </w:style>
  <w:style w:type="paragraph" w:styleId="Ondertitel">
    <w:name w:val="Subtitle"/>
    <w:aliases w:val="Sous-titre 1"/>
    <w:basedOn w:val="Standaard"/>
    <w:next w:val="Standaard"/>
    <w:link w:val="OndertitelChar"/>
    <w:uiPriority w:val="11"/>
    <w:qFormat/>
    <w:rsid w:val="00246D4B"/>
    <w:pPr>
      <w:numPr>
        <w:ilvl w:val="1"/>
      </w:numPr>
      <w:jc w:val="center"/>
    </w:pPr>
    <w:rPr>
      <w:rFonts w:asciiTheme="minorHAnsi" w:eastAsiaTheme="minorEastAsia" w:hAnsiTheme="minorHAnsi"/>
      <w:b/>
      <w:color w:val="5A5A5A" w:themeColor="text1" w:themeTint="A5"/>
      <w:spacing w:val="15"/>
      <w:sz w:val="22"/>
    </w:rPr>
  </w:style>
  <w:style w:type="character" w:customStyle="1" w:styleId="OndertitelChar">
    <w:name w:val="Ondertitel Char"/>
    <w:aliases w:val="Sous-titre 1 Char"/>
    <w:basedOn w:val="Standaardalinea-lettertype"/>
    <w:link w:val="Ondertitel"/>
    <w:uiPriority w:val="11"/>
    <w:rsid w:val="00246D4B"/>
    <w:rPr>
      <w:rFonts w:eastAsiaTheme="minorEastAsia"/>
      <w:b/>
      <w:color w:val="5A5A5A" w:themeColor="text1" w:themeTint="A5"/>
      <w:spacing w:val="15"/>
    </w:rPr>
  </w:style>
  <w:style w:type="paragraph" w:styleId="Koptekst">
    <w:name w:val="header"/>
    <w:basedOn w:val="Standaard"/>
    <w:link w:val="KoptekstChar"/>
    <w:uiPriority w:val="99"/>
    <w:unhideWhenUsed/>
    <w:rsid w:val="006708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084E"/>
    <w:rPr>
      <w:rFonts w:ascii="Tahoma" w:hAnsi="Tahoma"/>
      <w:sz w:val="20"/>
    </w:rPr>
  </w:style>
  <w:style w:type="paragraph" w:styleId="Voettekst">
    <w:name w:val="footer"/>
    <w:basedOn w:val="Standaard"/>
    <w:link w:val="VoettekstChar"/>
    <w:uiPriority w:val="99"/>
    <w:unhideWhenUsed/>
    <w:rsid w:val="006708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084E"/>
    <w:rPr>
      <w:rFonts w:ascii="Tahoma" w:hAnsi="Tahoma"/>
      <w:sz w:val="20"/>
    </w:rPr>
  </w:style>
  <w:style w:type="character" w:styleId="GevolgdeHyperlink">
    <w:name w:val="FollowedHyperlink"/>
    <w:basedOn w:val="Standaardalinea-lettertype"/>
    <w:uiPriority w:val="99"/>
    <w:semiHidden/>
    <w:unhideWhenUsed/>
    <w:rsid w:val="00D169DD"/>
    <w:rPr>
      <w:color w:val="834B9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27</Value>
    </TaxCatchAll>
    <QuickPartDocumentId xmlns="2b4b6fc7-bde4-44a8-8bca-a78eb25a27e9">DS20-1372834777-2333</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DS20-1372834777-2333</_dlc_DocId>
    <_dlc_DocIdUrl xmlns="2b4b6fc7-bde4-44a8-8bca-a78eb25a27e9">
      <Url>http://teamworkingspace.bipt.local/sites/dossiers2020/12/2020001255/_layouts/DocIdRedir.aspx?ID=DS20-1372834777-2333</Url>
      <Description>DS20-1372834777-2333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54b1b19eda27af1f23de764352b334bd">
  <xsd:schema xmlns:xsd="http://www.w3.org/2001/XMLSchema" xmlns:xs="http://www.w3.org/2001/XMLSchema" xmlns:p="http://schemas.microsoft.com/office/2006/metadata/properties" xmlns:ns2="2b4b6fc7-bde4-44a8-8bca-a78eb25a27e9" targetNamespace="http://schemas.microsoft.com/office/2006/metadata/properties" ma:root="true" ma:fieldsID="4877b5d9374d1717e04382829402bc6b"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76BCFA1-B550-42DD-81E3-301281D6159F}"/>
</file>

<file path=customXml/itemProps2.xml><?xml version="1.0" encoding="utf-8"?>
<ds:datastoreItem xmlns:ds="http://schemas.openxmlformats.org/officeDocument/2006/customXml" ds:itemID="{0108F9BB-3AB9-436F-8405-CB6177031A33}"/>
</file>

<file path=customXml/itemProps3.xml><?xml version="1.0" encoding="utf-8"?>
<ds:datastoreItem xmlns:ds="http://schemas.openxmlformats.org/officeDocument/2006/customXml" ds:itemID="{AEF25DF9-C1B0-447A-AC05-CC76B93223E5}"/>
</file>

<file path=customXml/itemProps4.xml><?xml version="1.0" encoding="utf-8"?>
<ds:datastoreItem xmlns:ds="http://schemas.openxmlformats.org/officeDocument/2006/customXml" ds:itemID="{0949517A-F49E-4F37-882C-2F460D0AEE38}"/>
</file>

<file path=customXml/itemProps5.xml><?xml version="1.0" encoding="utf-8"?>
<ds:datastoreItem xmlns:ds="http://schemas.openxmlformats.org/officeDocument/2006/customXml" ds:itemID="{666C4CBE-75D4-4D29-8F39-1F8D9EE4E6EA}"/>
</file>

<file path=customXml/itemProps6.xml><?xml version="1.0" encoding="utf-8"?>
<ds:datastoreItem xmlns:ds="http://schemas.openxmlformats.org/officeDocument/2006/customXml" ds:itemID="{C691205D-B71C-49D7-9CBA-77A8845E045B}"/>
</file>

<file path=docProps/app.xml><?xml version="1.0" encoding="utf-8"?>
<Properties xmlns="http://schemas.openxmlformats.org/officeDocument/2006/extended-properties" xmlns:vt="http://schemas.openxmlformats.org/officeDocument/2006/docPropsVTypes">
  <Template>Normal</Template>
  <TotalTime>2</TotalTime>
  <Pages>36</Pages>
  <Words>18763</Words>
  <Characters>103198</Characters>
  <Application>Microsoft Office Word</Application>
  <DocSecurity>0</DocSecurity>
  <Lines>859</Lines>
  <Paragraphs>243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2022 02 14_amendements art 126 et 1262_NL</vt:lpstr>
      <vt:lpstr>2022 02 14_amendements art 126 et 1262_NL</vt:lpstr>
      <vt:lpstr>08 2022 02 10_Projet de loi_ Collecte et conservation des données_Après amendement</vt:lpstr>
    </vt:vector>
  </TitlesOfParts>
  <Company/>
  <LinksUpToDate>false</LinksUpToDate>
  <CharactersWithSpaces>121718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02 14_amendements art 126 et 1262_NL</dc:title>
  <dc:subject/>
  <dc:creator>Fabienne Wauty</dc:creator>
  <cp:keywords/>
  <dc:description/>
  <cp:lastModifiedBy>Pierre-Yves Dethy</cp:lastModifiedBy>
  <cp:revision>3</cp:revision>
  <dcterms:created xsi:type="dcterms:W3CDTF">2022-02-24T16:09:00Z</dcterms:created>
  <dcterms:modified xsi:type="dcterms:W3CDTF">2022-02-25T11:06:00Z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4c66e7bb-04ad-43bf-87ca-2410e36433a1</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5;#Dutch|6a9e699e-14a6-4582-b99d-f214c5b8b963</vt:lpwstr>
  </property>
  <property fmtid="{D5CDD505-2E9C-101B-9397-08002B2CF9AE}" pid="9" name="Document Type">
    <vt:lpwstr/>
  </property>
  <property fmtid="{D5CDD505-2E9C-101B-9397-08002B2CF9AE}" pid="10" name="Answer or Initiative">
    <vt:lpwstr/>
  </property>
</Properties>
</file>