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5C8F" w14:textId="20D163A3" w:rsidR="00951738" w:rsidRPr="00C5038E" w:rsidRDefault="00951738" w:rsidP="00713331">
      <w:pPr>
        <w:pStyle w:val="Title"/>
      </w:pPr>
    </w:p>
    <w:p w14:paraId="1BE82315" w14:textId="33969F51" w:rsidR="00DF6358" w:rsidRPr="00C5038E" w:rsidRDefault="00DF6358" w:rsidP="00713331"/>
    <w:p w14:paraId="346AB33A" w14:textId="7C6A98E0" w:rsidR="00DF6358" w:rsidRPr="00C5038E" w:rsidRDefault="00DF6358" w:rsidP="00713331"/>
    <w:p w14:paraId="2077BD4B" w14:textId="2CA599B9" w:rsidR="00DF6358" w:rsidRPr="00C5038E" w:rsidRDefault="00DF6358" w:rsidP="00713331"/>
    <w:p w14:paraId="68071FE0" w14:textId="745ED420" w:rsidR="00DF6358" w:rsidRPr="00C5038E" w:rsidRDefault="00DF6358" w:rsidP="00713331"/>
    <w:p w14:paraId="74FCC436" w14:textId="20003DBC" w:rsidR="00DF6358" w:rsidRPr="00C5038E" w:rsidRDefault="00DF6358" w:rsidP="00713331"/>
    <w:p w14:paraId="444D2159" w14:textId="5E053B2E" w:rsidR="00DF6358" w:rsidRPr="00C5038E" w:rsidRDefault="00DF6358" w:rsidP="00713331"/>
    <w:p w14:paraId="09BC4A7A" w14:textId="1781D9FA" w:rsidR="00DF6358" w:rsidRPr="00C5038E" w:rsidRDefault="00DF6358" w:rsidP="00713331"/>
    <w:p w14:paraId="6B941360" w14:textId="2AB835A0" w:rsidR="00DF6358" w:rsidRPr="00C5038E" w:rsidRDefault="00DF6358" w:rsidP="00713331"/>
    <w:p w14:paraId="77EDF664" w14:textId="7F124E2A" w:rsidR="00DF6358" w:rsidRPr="00C5038E" w:rsidRDefault="00DF6358" w:rsidP="00713331"/>
    <w:p w14:paraId="7C4D9A90" w14:textId="482F8983" w:rsidR="00DF6358" w:rsidRPr="00C5038E" w:rsidRDefault="00DF6358" w:rsidP="00713331"/>
    <w:p w14:paraId="62BB4286" w14:textId="4A0B24B4" w:rsidR="00DF6358" w:rsidRPr="00C5038E" w:rsidRDefault="00DF6358" w:rsidP="00713331"/>
    <w:p w14:paraId="288BE86E" w14:textId="1A60920A" w:rsidR="00DF6358" w:rsidRPr="00C5038E" w:rsidRDefault="00DF6358" w:rsidP="00713331"/>
    <w:p w14:paraId="05CF4774" w14:textId="7BF4DAFE" w:rsidR="00DF6358" w:rsidRPr="00C5038E" w:rsidRDefault="00DF6358" w:rsidP="00713331"/>
    <w:p w14:paraId="7B8248C4" w14:textId="502E8934" w:rsidR="00DF6358" w:rsidRPr="00C5038E" w:rsidRDefault="00DF6358" w:rsidP="00713331"/>
    <w:p w14:paraId="24526F6D" w14:textId="098972C8" w:rsidR="00DF6358" w:rsidRPr="00C5038E" w:rsidRDefault="00DF6358" w:rsidP="00713331"/>
    <w:p w14:paraId="79050F63" w14:textId="522C33A9" w:rsidR="00DF6358" w:rsidRPr="00C5038E" w:rsidRDefault="00DF6358" w:rsidP="00713331"/>
    <w:p w14:paraId="04C6CD6A" w14:textId="77777777" w:rsidR="00DF6358" w:rsidRPr="00C5038E" w:rsidRDefault="00DF6358" w:rsidP="00713331"/>
    <w:p w14:paraId="48A24A99" w14:textId="77777777" w:rsidR="00951738" w:rsidRPr="00C5038E" w:rsidRDefault="00951738" w:rsidP="00713331">
      <w:pPr>
        <w:pStyle w:val="Title"/>
      </w:pPr>
    </w:p>
    <w:p w14:paraId="570D2AE0" w14:textId="77777777" w:rsidR="00951738" w:rsidRPr="00C5038E" w:rsidRDefault="00951738" w:rsidP="00713331">
      <w:pPr>
        <w:pStyle w:val="Title"/>
      </w:pPr>
    </w:p>
    <w:p w14:paraId="49426516" w14:textId="77777777" w:rsidR="00951738" w:rsidRPr="00C5038E" w:rsidRDefault="00951738" w:rsidP="00713331">
      <w:pPr>
        <w:pStyle w:val="Title"/>
      </w:pPr>
    </w:p>
    <w:p w14:paraId="49343937" w14:textId="2F32C1D2" w:rsidR="009D1190" w:rsidRPr="00713331" w:rsidRDefault="00C01A8E" w:rsidP="00713331">
      <w:pPr>
        <w:rPr>
          <w:rFonts w:eastAsiaTheme="majorEastAsia" w:cstheme="majorBidi"/>
          <w:color w:val="292A81"/>
          <w:sz w:val="28"/>
          <w:szCs w:val="28"/>
        </w:rPr>
      </w:pPr>
      <w:r w:rsidRPr="00713331">
        <w:rPr>
          <w:color w:val="292A81"/>
          <w:sz w:val="28"/>
        </w:rPr>
        <w:t>Introduction auprès de l’IBPT d’une demande d’autorisation préalable ou de régularisation concernant la sécurité de la 5G</w:t>
      </w:r>
    </w:p>
    <w:p w14:paraId="0C5DC693" w14:textId="0497BBD7" w:rsidR="00951738" w:rsidRPr="00713331" w:rsidRDefault="00951738" w:rsidP="00713331"/>
    <w:p w14:paraId="59527632" w14:textId="77777777" w:rsidR="00DF6358" w:rsidRPr="00713331" w:rsidRDefault="00DF6358" w:rsidP="00713331">
      <w:pPr>
        <w:spacing w:after="160" w:line="259" w:lineRule="auto"/>
        <w:jc w:val="left"/>
      </w:pPr>
    </w:p>
    <w:p w14:paraId="0748C8E7" w14:textId="77777777" w:rsidR="00DF6358" w:rsidRPr="00713331" w:rsidRDefault="00DF6358" w:rsidP="00713331">
      <w:pPr>
        <w:spacing w:after="160" w:line="259" w:lineRule="auto"/>
        <w:jc w:val="left"/>
      </w:pPr>
    </w:p>
    <w:p w14:paraId="2FFC6863" w14:textId="77777777" w:rsidR="00DF6358" w:rsidRPr="00713331" w:rsidRDefault="00DF6358" w:rsidP="00713331">
      <w:pPr>
        <w:spacing w:after="160" w:line="259" w:lineRule="auto"/>
        <w:jc w:val="left"/>
      </w:pPr>
    </w:p>
    <w:p w14:paraId="2BD6E648" w14:textId="77777777" w:rsidR="00DF6358" w:rsidRPr="00713331" w:rsidRDefault="00DF6358" w:rsidP="00713331">
      <w:pPr>
        <w:spacing w:after="160" w:line="259" w:lineRule="auto"/>
        <w:jc w:val="left"/>
      </w:pPr>
    </w:p>
    <w:p w14:paraId="1E0EB428" w14:textId="77777777" w:rsidR="00DF6358" w:rsidRPr="00713331" w:rsidRDefault="00DF6358" w:rsidP="00713331">
      <w:pPr>
        <w:spacing w:after="160" w:line="259" w:lineRule="auto"/>
        <w:jc w:val="left"/>
      </w:pPr>
    </w:p>
    <w:p w14:paraId="77CFDB1A" w14:textId="77777777" w:rsidR="00DF6358" w:rsidRPr="00713331" w:rsidRDefault="00DF6358" w:rsidP="00713331">
      <w:pPr>
        <w:spacing w:after="160" w:line="259" w:lineRule="auto"/>
        <w:jc w:val="left"/>
      </w:pPr>
    </w:p>
    <w:p w14:paraId="5DAA5BBE" w14:textId="77777777" w:rsidR="00DF6358" w:rsidRPr="00713331" w:rsidRDefault="00DF6358" w:rsidP="00713331">
      <w:pPr>
        <w:spacing w:after="160" w:line="259" w:lineRule="auto"/>
        <w:jc w:val="left"/>
      </w:pPr>
    </w:p>
    <w:p w14:paraId="4FB7B3AE" w14:textId="77777777" w:rsidR="00DF6358" w:rsidRPr="00713331" w:rsidRDefault="00DF6358" w:rsidP="00713331">
      <w:pPr>
        <w:spacing w:after="160" w:line="259" w:lineRule="auto"/>
        <w:jc w:val="left"/>
      </w:pPr>
    </w:p>
    <w:p w14:paraId="0616421E" w14:textId="77777777" w:rsidR="00DF6358" w:rsidRPr="00713331" w:rsidRDefault="00DF6358" w:rsidP="00713331">
      <w:pPr>
        <w:spacing w:after="160" w:line="259" w:lineRule="auto"/>
        <w:jc w:val="left"/>
      </w:pPr>
    </w:p>
    <w:p w14:paraId="7313E3DF" w14:textId="77777777" w:rsidR="00DF6358" w:rsidRPr="00713331" w:rsidRDefault="00DF6358" w:rsidP="00713331">
      <w:pPr>
        <w:spacing w:after="160" w:line="259" w:lineRule="auto"/>
        <w:jc w:val="left"/>
      </w:pPr>
    </w:p>
    <w:p w14:paraId="41EECD6C" w14:textId="77777777" w:rsidR="00DF6358" w:rsidRPr="00713331" w:rsidRDefault="00DF6358" w:rsidP="00713331">
      <w:pPr>
        <w:spacing w:after="160" w:line="259" w:lineRule="auto"/>
        <w:jc w:val="left"/>
      </w:pPr>
    </w:p>
    <w:p w14:paraId="47BE909A" w14:textId="77777777" w:rsidR="00DF6358" w:rsidRPr="00713331" w:rsidRDefault="00DF6358" w:rsidP="00713331">
      <w:pPr>
        <w:spacing w:after="160" w:line="259" w:lineRule="auto"/>
        <w:jc w:val="left"/>
      </w:pPr>
    </w:p>
    <w:p w14:paraId="41358694" w14:textId="77777777" w:rsidR="00DF6358" w:rsidRPr="00713331" w:rsidRDefault="00DF6358" w:rsidP="00713331">
      <w:pPr>
        <w:spacing w:after="160" w:line="259" w:lineRule="auto"/>
        <w:jc w:val="left"/>
      </w:pPr>
    </w:p>
    <w:p w14:paraId="5AA24F91" w14:textId="77777777" w:rsidR="00DF6358" w:rsidRPr="00713331" w:rsidRDefault="00DF6358" w:rsidP="00713331">
      <w:pPr>
        <w:spacing w:after="160" w:line="259" w:lineRule="auto"/>
        <w:jc w:val="left"/>
      </w:pPr>
    </w:p>
    <w:p w14:paraId="08349B93" w14:textId="77777777" w:rsidR="00DF6358" w:rsidRPr="00713331" w:rsidRDefault="00DF6358" w:rsidP="00713331">
      <w:pPr>
        <w:spacing w:after="160" w:line="259" w:lineRule="auto"/>
        <w:jc w:val="left"/>
      </w:pPr>
    </w:p>
    <w:p w14:paraId="0DD6AF60" w14:textId="77777777" w:rsidR="00DF6358" w:rsidRPr="00713331" w:rsidRDefault="00DF6358" w:rsidP="00713331">
      <w:pPr>
        <w:spacing w:after="160" w:line="259" w:lineRule="auto"/>
        <w:jc w:val="left"/>
      </w:pPr>
    </w:p>
    <w:p w14:paraId="682865A8" w14:textId="77777777" w:rsidR="00DF6358" w:rsidRPr="00713331" w:rsidRDefault="00DF6358" w:rsidP="00713331">
      <w:pPr>
        <w:spacing w:after="160" w:line="259" w:lineRule="auto"/>
        <w:jc w:val="left"/>
      </w:pPr>
    </w:p>
    <w:sdt>
      <w:sdtPr>
        <w:rPr>
          <w:rFonts w:ascii="Tahoma" w:eastAsiaTheme="minorHAnsi" w:hAnsi="Tahoma" w:cstheme="minorBidi"/>
          <w:color w:val="auto"/>
          <w:sz w:val="20"/>
          <w:szCs w:val="22"/>
          <w:lang w:eastAsia="en-US"/>
        </w:rPr>
        <w:id w:val="985748558"/>
        <w:docPartObj>
          <w:docPartGallery w:val="Table of Contents"/>
          <w:docPartUnique/>
        </w:docPartObj>
      </w:sdtPr>
      <w:sdtEndPr>
        <w:rPr>
          <w:b/>
          <w:bCs/>
        </w:rPr>
      </w:sdtEndPr>
      <w:sdtContent>
        <w:p w14:paraId="24D8B9A6" w14:textId="519B750B" w:rsidR="00DF6358" w:rsidRPr="00713331" w:rsidRDefault="00DF6358" w:rsidP="00713331">
          <w:pPr>
            <w:pStyle w:val="TOCHeading"/>
            <w:jc w:val="center"/>
          </w:pPr>
          <w:r w:rsidRPr="00713331">
            <w:t>Table des matières</w:t>
          </w:r>
        </w:p>
        <w:p w14:paraId="3CB861A8" w14:textId="43ABE95F" w:rsidR="00627D58" w:rsidRDefault="00DF6358">
          <w:pPr>
            <w:pStyle w:val="TOC1"/>
            <w:tabs>
              <w:tab w:val="left" w:pos="400"/>
            </w:tabs>
            <w:rPr>
              <w:rFonts w:asciiTheme="minorHAnsi" w:eastAsiaTheme="minorEastAsia" w:hAnsiTheme="minorHAnsi" w:cstheme="minorBidi"/>
              <w:noProof/>
              <w:sz w:val="22"/>
              <w:lang w:eastAsia="fr-BE"/>
            </w:rPr>
          </w:pPr>
          <w:r w:rsidRPr="00713331">
            <w:fldChar w:fldCharType="begin"/>
          </w:r>
          <w:r w:rsidRPr="00713331">
            <w:instrText xml:space="preserve"> TOC \o "1-3" \h \z \u </w:instrText>
          </w:r>
          <w:r w:rsidRPr="00713331">
            <w:fldChar w:fldCharType="separate"/>
          </w:r>
          <w:hyperlink w:anchor="_Toc135085759" w:history="1">
            <w:r w:rsidR="00627D58" w:rsidRPr="007A405C">
              <w:rPr>
                <w:rStyle w:val="Hyperlink"/>
                <w:noProof/>
                <w14:scene3d>
                  <w14:camera w14:prst="orthographicFront"/>
                  <w14:lightRig w14:rig="threePt" w14:dir="t">
                    <w14:rot w14:lat="0" w14:lon="0" w14:rev="0"/>
                  </w14:lightRig>
                </w14:scene3d>
              </w:rPr>
              <w:t>1.</w:t>
            </w:r>
            <w:r w:rsidR="00627D58">
              <w:rPr>
                <w:rFonts w:asciiTheme="minorHAnsi" w:eastAsiaTheme="minorEastAsia" w:hAnsiTheme="minorHAnsi" w:cstheme="minorBidi"/>
                <w:noProof/>
                <w:sz w:val="22"/>
                <w:lang w:eastAsia="fr-BE"/>
              </w:rPr>
              <w:tab/>
            </w:r>
            <w:r w:rsidR="00627D58" w:rsidRPr="007A405C">
              <w:rPr>
                <w:rStyle w:val="Hyperlink"/>
                <w:noProof/>
              </w:rPr>
              <w:t>Objet du présent document</w:t>
            </w:r>
            <w:r w:rsidR="00627D58">
              <w:rPr>
                <w:noProof/>
                <w:webHidden/>
              </w:rPr>
              <w:tab/>
            </w:r>
            <w:r w:rsidR="00627D58">
              <w:rPr>
                <w:noProof/>
                <w:webHidden/>
              </w:rPr>
              <w:fldChar w:fldCharType="begin"/>
            </w:r>
            <w:r w:rsidR="00627D58">
              <w:rPr>
                <w:noProof/>
                <w:webHidden/>
              </w:rPr>
              <w:instrText xml:space="preserve"> PAGEREF _Toc135085759 \h </w:instrText>
            </w:r>
            <w:r w:rsidR="00627D58">
              <w:rPr>
                <w:noProof/>
                <w:webHidden/>
              </w:rPr>
            </w:r>
            <w:r w:rsidR="00627D58">
              <w:rPr>
                <w:noProof/>
                <w:webHidden/>
              </w:rPr>
              <w:fldChar w:fldCharType="separate"/>
            </w:r>
            <w:r w:rsidR="00627D58">
              <w:rPr>
                <w:noProof/>
                <w:webHidden/>
              </w:rPr>
              <w:t>3</w:t>
            </w:r>
            <w:r w:rsidR="00627D58">
              <w:rPr>
                <w:noProof/>
                <w:webHidden/>
              </w:rPr>
              <w:fldChar w:fldCharType="end"/>
            </w:r>
          </w:hyperlink>
        </w:p>
        <w:p w14:paraId="08874FCA" w14:textId="300B13DB" w:rsidR="00627D58" w:rsidRDefault="00E35708">
          <w:pPr>
            <w:pStyle w:val="TOC1"/>
            <w:tabs>
              <w:tab w:val="left" w:pos="400"/>
            </w:tabs>
            <w:rPr>
              <w:rFonts w:asciiTheme="minorHAnsi" w:eastAsiaTheme="minorEastAsia" w:hAnsiTheme="minorHAnsi" w:cstheme="minorBidi"/>
              <w:noProof/>
              <w:sz w:val="22"/>
              <w:lang w:eastAsia="fr-BE"/>
            </w:rPr>
          </w:pPr>
          <w:hyperlink w:anchor="_Toc135085760" w:history="1">
            <w:r w:rsidR="00627D58" w:rsidRPr="007A405C">
              <w:rPr>
                <w:rStyle w:val="Hyperlink"/>
                <w:noProof/>
                <w14:scene3d>
                  <w14:camera w14:prst="orthographicFront"/>
                  <w14:lightRig w14:rig="threePt" w14:dir="t">
                    <w14:rot w14:lat="0" w14:lon="0" w14:rev="0"/>
                  </w14:lightRig>
                </w14:scene3d>
              </w:rPr>
              <w:t>2.</w:t>
            </w:r>
            <w:r w:rsidR="00627D58">
              <w:rPr>
                <w:rFonts w:asciiTheme="minorHAnsi" w:eastAsiaTheme="minorEastAsia" w:hAnsiTheme="minorHAnsi" w:cstheme="minorBidi"/>
                <w:noProof/>
                <w:sz w:val="22"/>
                <w:lang w:eastAsia="fr-BE"/>
              </w:rPr>
              <w:tab/>
            </w:r>
            <w:r w:rsidR="00627D58" w:rsidRPr="007A405C">
              <w:rPr>
                <w:rStyle w:val="Hyperlink"/>
                <w:noProof/>
              </w:rPr>
              <w:t>Éléments de réseau ne relevant pas du champ d’application de l’AR autorisations</w:t>
            </w:r>
            <w:r w:rsidR="00627D58">
              <w:rPr>
                <w:noProof/>
                <w:webHidden/>
              </w:rPr>
              <w:tab/>
            </w:r>
            <w:r w:rsidR="00627D58">
              <w:rPr>
                <w:noProof/>
                <w:webHidden/>
              </w:rPr>
              <w:fldChar w:fldCharType="begin"/>
            </w:r>
            <w:r w:rsidR="00627D58">
              <w:rPr>
                <w:noProof/>
                <w:webHidden/>
              </w:rPr>
              <w:instrText xml:space="preserve"> PAGEREF _Toc135085760 \h </w:instrText>
            </w:r>
            <w:r w:rsidR="00627D58">
              <w:rPr>
                <w:noProof/>
                <w:webHidden/>
              </w:rPr>
            </w:r>
            <w:r w:rsidR="00627D58">
              <w:rPr>
                <w:noProof/>
                <w:webHidden/>
              </w:rPr>
              <w:fldChar w:fldCharType="separate"/>
            </w:r>
            <w:r w:rsidR="00627D58">
              <w:rPr>
                <w:noProof/>
                <w:webHidden/>
              </w:rPr>
              <w:t>3</w:t>
            </w:r>
            <w:r w:rsidR="00627D58">
              <w:rPr>
                <w:noProof/>
                <w:webHidden/>
              </w:rPr>
              <w:fldChar w:fldCharType="end"/>
            </w:r>
          </w:hyperlink>
        </w:p>
        <w:p w14:paraId="4A0C9F1F" w14:textId="0975D07A" w:rsidR="00627D58" w:rsidRDefault="00E35708">
          <w:pPr>
            <w:pStyle w:val="TOC1"/>
            <w:tabs>
              <w:tab w:val="left" w:pos="400"/>
            </w:tabs>
            <w:rPr>
              <w:rFonts w:asciiTheme="minorHAnsi" w:eastAsiaTheme="minorEastAsia" w:hAnsiTheme="minorHAnsi" w:cstheme="minorBidi"/>
              <w:noProof/>
              <w:sz w:val="22"/>
              <w:lang w:eastAsia="fr-BE"/>
            </w:rPr>
          </w:pPr>
          <w:hyperlink w:anchor="_Toc135085761" w:history="1">
            <w:r w:rsidR="00627D58" w:rsidRPr="007A405C">
              <w:rPr>
                <w:rStyle w:val="Hyperlink"/>
                <w:noProof/>
                <w14:scene3d>
                  <w14:camera w14:prst="orthographicFront"/>
                  <w14:lightRig w14:rig="threePt" w14:dir="t">
                    <w14:rot w14:lat="0" w14:lon="0" w14:rev="0"/>
                  </w14:lightRig>
                </w14:scene3d>
              </w:rPr>
              <w:t>3.</w:t>
            </w:r>
            <w:r w:rsidR="00627D58">
              <w:rPr>
                <w:rFonts w:asciiTheme="minorHAnsi" w:eastAsiaTheme="minorEastAsia" w:hAnsiTheme="minorHAnsi" w:cstheme="minorBidi"/>
                <w:noProof/>
                <w:sz w:val="22"/>
                <w:lang w:eastAsia="fr-BE"/>
              </w:rPr>
              <w:tab/>
            </w:r>
            <w:r w:rsidR="00627D58" w:rsidRPr="007A405C">
              <w:rPr>
                <w:rStyle w:val="Hyperlink"/>
                <w:noProof/>
              </w:rPr>
              <w:t>Réseaux privés mobiles</w:t>
            </w:r>
            <w:r w:rsidR="00627D58">
              <w:rPr>
                <w:noProof/>
                <w:webHidden/>
              </w:rPr>
              <w:tab/>
            </w:r>
            <w:r w:rsidR="00627D58">
              <w:rPr>
                <w:noProof/>
                <w:webHidden/>
              </w:rPr>
              <w:fldChar w:fldCharType="begin"/>
            </w:r>
            <w:r w:rsidR="00627D58">
              <w:rPr>
                <w:noProof/>
                <w:webHidden/>
              </w:rPr>
              <w:instrText xml:space="preserve"> PAGEREF _Toc135085761 \h </w:instrText>
            </w:r>
            <w:r w:rsidR="00627D58">
              <w:rPr>
                <w:noProof/>
                <w:webHidden/>
              </w:rPr>
            </w:r>
            <w:r w:rsidR="00627D58">
              <w:rPr>
                <w:noProof/>
                <w:webHidden/>
              </w:rPr>
              <w:fldChar w:fldCharType="separate"/>
            </w:r>
            <w:r w:rsidR="00627D58">
              <w:rPr>
                <w:noProof/>
                <w:webHidden/>
              </w:rPr>
              <w:t>5</w:t>
            </w:r>
            <w:r w:rsidR="00627D58">
              <w:rPr>
                <w:noProof/>
                <w:webHidden/>
              </w:rPr>
              <w:fldChar w:fldCharType="end"/>
            </w:r>
          </w:hyperlink>
        </w:p>
        <w:p w14:paraId="61413E94" w14:textId="6A9AA892" w:rsidR="00627D58" w:rsidRDefault="00E35708">
          <w:pPr>
            <w:pStyle w:val="TOC1"/>
            <w:tabs>
              <w:tab w:val="left" w:pos="400"/>
            </w:tabs>
            <w:rPr>
              <w:rFonts w:asciiTheme="minorHAnsi" w:eastAsiaTheme="minorEastAsia" w:hAnsiTheme="minorHAnsi" w:cstheme="minorBidi"/>
              <w:noProof/>
              <w:sz w:val="22"/>
              <w:lang w:eastAsia="fr-BE"/>
            </w:rPr>
          </w:pPr>
          <w:hyperlink w:anchor="_Toc135085762" w:history="1">
            <w:r w:rsidR="00627D58" w:rsidRPr="007A405C">
              <w:rPr>
                <w:rStyle w:val="Hyperlink"/>
                <w:noProof/>
                <w14:scene3d>
                  <w14:camera w14:prst="orthographicFront"/>
                  <w14:lightRig w14:rig="threePt" w14:dir="t">
                    <w14:rot w14:lat="0" w14:lon="0" w14:rev="0"/>
                  </w14:lightRig>
                </w14:scene3d>
              </w:rPr>
              <w:t>4.</w:t>
            </w:r>
            <w:r w:rsidR="00627D58">
              <w:rPr>
                <w:rFonts w:asciiTheme="minorHAnsi" w:eastAsiaTheme="minorEastAsia" w:hAnsiTheme="minorHAnsi" w:cstheme="minorBidi"/>
                <w:noProof/>
                <w:sz w:val="22"/>
                <w:lang w:eastAsia="fr-BE"/>
              </w:rPr>
              <w:tab/>
            </w:r>
            <w:r w:rsidR="00627D58" w:rsidRPr="007A405C">
              <w:rPr>
                <w:rStyle w:val="Hyperlink"/>
                <w:noProof/>
              </w:rPr>
              <w:t>Consultation de la liste des zones sensibles</w:t>
            </w:r>
            <w:r w:rsidR="00627D58">
              <w:rPr>
                <w:noProof/>
                <w:webHidden/>
              </w:rPr>
              <w:tab/>
            </w:r>
            <w:r w:rsidR="00627D58">
              <w:rPr>
                <w:noProof/>
                <w:webHidden/>
              </w:rPr>
              <w:fldChar w:fldCharType="begin"/>
            </w:r>
            <w:r w:rsidR="00627D58">
              <w:rPr>
                <w:noProof/>
                <w:webHidden/>
              </w:rPr>
              <w:instrText xml:space="preserve"> PAGEREF _Toc135085762 \h </w:instrText>
            </w:r>
            <w:r w:rsidR="00627D58">
              <w:rPr>
                <w:noProof/>
                <w:webHidden/>
              </w:rPr>
            </w:r>
            <w:r w:rsidR="00627D58">
              <w:rPr>
                <w:noProof/>
                <w:webHidden/>
              </w:rPr>
              <w:fldChar w:fldCharType="separate"/>
            </w:r>
            <w:r w:rsidR="00627D58">
              <w:rPr>
                <w:noProof/>
                <w:webHidden/>
              </w:rPr>
              <w:t>6</w:t>
            </w:r>
            <w:r w:rsidR="00627D58">
              <w:rPr>
                <w:noProof/>
                <w:webHidden/>
              </w:rPr>
              <w:fldChar w:fldCharType="end"/>
            </w:r>
          </w:hyperlink>
        </w:p>
        <w:p w14:paraId="1F0A9733" w14:textId="50F5CE29" w:rsidR="00627D58" w:rsidRDefault="00E35708">
          <w:pPr>
            <w:pStyle w:val="TOC1"/>
            <w:tabs>
              <w:tab w:val="left" w:pos="400"/>
            </w:tabs>
            <w:rPr>
              <w:rFonts w:asciiTheme="minorHAnsi" w:eastAsiaTheme="minorEastAsia" w:hAnsiTheme="minorHAnsi" w:cstheme="minorBidi"/>
              <w:noProof/>
              <w:sz w:val="22"/>
              <w:lang w:eastAsia="fr-BE"/>
            </w:rPr>
          </w:pPr>
          <w:hyperlink w:anchor="_Toc135085763" w:history="1">
            <w:r w:rsidR="00627D58" w:rsidRPr="007A405C">
              <w:rPr>
                <w:rStyle w:val="Hyperlink"/>
                <w:noProof/>
                <w14:scene3d>
                  <w14:camera w14:prst="orthographicFront"/>
                  <w14:lightRig w14:rig="threePt" w14:dir="t">
                    <w14:rot w14:lat="0" w14:lon="0" w14:rev="0"/>
                  </w14:lightRig>
                </w14:scene3d>
              </w:rPr>
              <w:t>5.</w:t>
            </w:r>
            <w:r w:rsidR="00627D58">
              <w:rPr>
                <w:rFonts w:asciiTheme="minorHAnsi" w:eastAsiaTheme="minorEastAsia" w:hAnsiTheme="minorHAnsi" w:cstheme="minorBidi"/>
                <w:noProof/>
                <w:sz w:val="22"/>
                <w:lang w:eastAsia="fr-BE"/>
              </w:rPr>
              <w:tab/>
            </w:r>
            <w:r w:rsidR="00627D58" w:rsidRPr="007A405C">
              <w:rPr>
                <w:rStyle w:val="Hyperlink"/>
                <w:noProof/>
              </w:rPr>
              <w:t>Délais</w:t>
            </w:r>
            <w:r w:rsidR="00627D58">
              <w:rPr>
                <w:noProof/>
                <w:webHidden/>
              </w:rPr>
              <w:tab/>
            </w:r>
            <w:r w:rsidR="00627D58">
              <w:rPr>
                <w:noProof/>
                <w:webHidden/>
              </w:rPr>
              <w:fldChar w:fldCharType="begin"/>
            </w:r>
            <w:r w:rsidR="00627D58">
              <w:rPr>
                <w:noProof/>
                <w:webHidden/>
              </w:rPr>
              <w:instrText xml:space="preserve"> PAGEREF _Toc135085763 \h </w:instrText>
            </w:r>
            <w:r w:rsidR="00627D58">
              <w:rPr>
                <w:noProof/>
                <w:webHidden/>
              </w:rPr>
            </w:r>
            <w:r w:rsidR="00627D58">
              <w:rPr>
                <w:noProof/>
                <w:webHidden/>
              </w:rPr>
              <w:fldChar w:fldCharType="separate"/>
            </w:r>
            <w:r w:rsidR="00627D58">
              <w:rPr>
                <w:noProof/>
                <w:webHidden/>
              </w:rPr>
              <w:t>6</w:t>
            </w:r>
            <w:r w:rsidR="00627D58">
              <w:rPr>
                <w:noProof/>
                <w:webHidden/>
              </w:rPr>
              <w:fldChar w:fldCharType="end"/>
            </w:r>
          </w:hyperlink>
        </w:p>
        <w:p w14:paraId="7457346D" w14:textId="749FCB7D" w:rsidR="00627D58" w:rsidRDefault="00E35708">
          <w:pPr>
            <w:pStyle w:val="TOC1"/>
            <w:tabs>
              <w:tab w:val="left" w:pos="400"/>
            </w:tabs>
            <w:rPr>
              <w:rFonts w:asciiTheme="minorHAnsi" w:eastAsiaTheme="minorEastAsia" w:hAnsiTheme="minorHAnsi" w:cstheme="minorBidi"/>
              <w:noProof/>
              <w:sz w:val="22"/>
              <w:lang w:eastAsia="fr-BE"/>
            </w:rPr>
          </w:pPr>
          <w:hyperlink w:anchor="_Toc135085764" w:history="1">
            <w:r w:rsidR="00627D58" w:rsidRPr="007A405C">
              <w:rPr>
                <w:rStyle w:val="Hyperlink"/>
                <w:noProof/>
                <w14:scene3d>
                  <w14:camera w14:prst="orthographicFront"/>
                  <w14:lightRig w14:rig="threePt" w14:dir="t">
                    <w14:rot w14:lat="0" w14:lon="0" w14:rev="0"/>
                  </w14:lightRig>
                </w14:scene3d>
              </w:rPr>
              <w:t>6.</w:t>
            </w:r>
            <w:r w:rsidR="00627D58">
              <w:rPr>
                <w:rFonts w:asciiTheme="minorHAnsi" w:eastAsiaTheme="minorEastAsia" w:hAnsiTheme="minorHAnsi" w:cstheme="minorBidi"/>
                <w:noProof/>
                <w:sz w:val="22"/>
                <w:lang w:eastAsia="fr-BE"/>
              </w:rPr>
              <w:tab/>
            </w:r>
            <w:r w:rsidR="00627D58" w:rsidRPr="007A405C">
              <w:rPr>
                <w:rStyle w:val="Hyperlink"/>
                <w:noProof/>
              </w:rPr>
              <w:t>Introduction par le demandeur du dossier</w:t>
            </w:r>
            <w:r w:rsidR="00627D58">
              <w:rPr>
                <w:noProof/>
                <w:webHidden/>
              </w:rPr>
              <w:tab/>
            </w:r>
            <w:r w:rsidR="00627D58">
              <w:rPr>
                <w:noProof/>
                <w:webHidden/>
              </w:rPr>
              <w:fldChar w:fldCharType="begin"/>
            </w:r>
            <w:r w:rsidR="00627D58">
              <w:rPr>
                <w:noProof/>
                <w:webHidden/>
              </w:rPr>
              <w:instrText xml:space="preserve"> PAGEREF _Toc135085764 \h </w:instrText>
            </w:r>
            <w:r w:rsidR="00627D58">
              <w:rPr>
                <w:noProof/>
                <w:webHidden/>
              </w:rPr>
            </w:r>
            <w:r w:rsidR="00627D58">
              <w:rPr>
                <w:noProof/>
                <w:webHidden/>
              </w:rPr>
              <w:fldChar w:fldCharType="separate"/>
            </w:r>
            <w:r w:rsidR="00627D58">
              <w:rPr>
                <w:noProof/>
                <w:webHidden/>
              </w:rPr>
              <w:t>6</w:t>
            </w:r>
            <w:r w:rsidR="00627D58">
              <w:rPr>
                <w:noProof/>
                <w:webHidden/>
              </w:rPr>
              <w:fldChar w:fldCharType="end"/>
            </w:r>
          </w:hyperlink>
        </w:p>
        <w:p w14:paraId="50831C94" w14:textId="4EA97AD0" w:rsidR="00627D58" w:rsidRDefault="00E35708">
          <w:pPr>
            <w:pStyle w:val="TOC2"/>
            <w:tabs>
              <w:tab w:val="left" w:pos="880"/>
              <w:tab w:val="right" w:leader="dot" w:pos="9062"/>
            </w:tabs>
            <w:rPr>
              <w:rFonts w:asciiTheme="minorHAnsi" w:eastAsiaTheme="minorEastAsia" w:hAnsiTheme="minorHAnsi" w:cstheme="minorBidi"/>
              <w:noProof/>
              <w:spacing w:val="0"/>
              <w:sz w:val="22"/>
              <w:lang w:eastAsia="fr-BE"/>
            </w:rPr>
          </w:pPr>
          <w:hyperlink w:anchor="_Toc135085765" w:history="1">
            <w:r w:rsidR="00627D58" w:rsidRPr="007A405C">
              <w:rPr>
                <w:rStyle w:val="Hyperlink"/>
                <w:noProof/>
              </w:rPr>
              <w:t>6.1.</w:t>
            </w:r>
            <w:r w:rsidR="00627D58">
              <w:rPr>
                <w:rFonts w:asciiTheme="minorHAnsi" w:eastAsiaTheme="minorEastAsia" w:hAnsiTheme="minorHAnsi" w:cstheme="minorBidi"/>
                <w:noProof/>
                <w:spacing w:val="0"/>
                <w:sz w:val="22"/>
                <w:lang w:eastAsia="fr-BE"/>
              </w:rPr>
              <w:tab/>
            </w:r>
            <w:r w:rsidR="00627D58" w:rsidRPr="007A405C">
              <w:rPr>
                <w:rStyle w:val="Hyperlink"/>
                <w:noProof/>
              </w:rPr>
              <w:t>Documents mis à disposition par l’IBPT</w:t>
            </w:r>
            <w:r w:rsidR="00627D58">
              <w:rPr>
                <w:noProof/>
                <w:webHidden/>
              </w:rPr>
              <w:tab/>
            </w:r>
            <w:r w:rsidR="00627D58">
              <w:rPr>
                <w:noProof/>
                <w:webHidden/>
              </w:rPr>
              <w:fldChar w:fldCharType="begin"/>
            </w:r>
            <w:r w:rsidR="00627D58">
              <w:rPr>
                <w:noProof/>
                <w:webHidden/>
              </w:rPr>
              <w:instrText xml:space="preserve"> PAGEREF _Toc135085765 \h </w:instrText>
            </w:r>
            <w:r w:rsidR="00627D58">
              <w:rPr>
                <w:noProof/>
                <w:webHidden/>
              </w:rPr>
            </w:r>
            <w:r w:rsidR="00627D58">
              <w:rPr>
                <w:noProof/>
                <w:webHidden/>
              </w:rPr>
              <w:fldChar w:fldCharType="separate"/>
            </w:r>
            <w:r w:rsidR="00627D58">
              <w:rPr>
                <w:noProof/>
                <w:webHidden/>
              </w:rPr>
              <w:t>6</w:t>
            </w:r>
            <w:r w:rsidR="00627D58">
              <w:rPr>
                <w:noProof/>
                <w:webHidden/>
              </w:rPr>
              <w:fldChar w:fldCharType="end"/>
            </w:r>
          </w:hyperlink>
        </w:p>
        <w:p w14:paraId="50EC31A8" w14:textId="69A9A2C0" w:rsidR="00627D58" w:rsidRDefault="00E35708">
          <w:pPr>
            <w:pStyle w:val="TOC2"/>
            <w:tabs>
              <w:tab w:val="left" w:pos="880"/>
              <w:tab w:val="right" w:leader="dot" w:pos="9062"/>
            </w:tabs>
            <w:rPr>
              <w:rFonts w:asciiTheme="minorHAnsi" w:eastAsiaTheme="minorEastAsia" w:hAnsiTheme="minorHAnsi" w:cstheme="minorBidi"/>
              <w:noProof/>
              <w:spacing w:val="0"/>
              <w:sz w:val="22"/>
              <w:lang w:eastAsia="fr-BE"/>
            </w:rPr>
          </w:pPr>
          <w:hyperlink w:anchor="_Toc135085766" w:history="1">
            <w:r w:rsidR="00627D58" w:rsidRPr="007A405C">
              <w:rPr>
                <w:rStyle w:val="Hyperlink"/>
                <w:noProof/>
              </w:rPr>
              <w:t>6.2.</w:t>
            </w:r>
            <w:r w:rsidR="00627D58">
              <w:rPr>
                <w:rFonts w:asciiTheme="minorHAnsi" w:eastAsiaTheme="minorEastAsia" w:hAnsiTheme="minorHAnsi" w:cstheme="minorBidi"/>
                <w:noProof/>
                <w:spacing w:val="0"/>
                <w:sz w:val="22"/>
                <w:lang w:eastAsia="fr-BE"/>
              </w:rPr>
              <w:tab/>
            </w:r>
            <w:r w:rsidR="00627D58" w:rsidRPr="007A405C">
              <w:rPr>
                <w:rStyle w:val="Hyperlink"/>
                <w:noProof/>
              </w:rPr>
              <w:t>Objet de la demande</w:t>
            </w:r>
            <w:r w:rsidR="00627D58">
              <w:rPr>
                <w:noProof/>
                <w:webHidden/>
              </w:rPr>
              <w:tab/>
            </w:r>
            <w:r w:rsidR="00627D58">
              <w:rPr>
                <w:noProof/>
                <w:webHidden/>
              </w:rPr>
              <w:fldChar w:fldCharType="begin"/>
            </w:r>
            <w:r w:rsidR="00627D58">
              <w:rPr>
                <w:noProof/>
                <w:webHidden/>
              </w:rPr>
              <w:instrText xml:space="preserve"> PAGEREF _Toc135085766 \h </w:instrText>
            </w:r>
            <w:r w:rsidR="00627D58">
              <w:rPr>
                <w:noProof/>
                <w:webHidden/>
              </w:rPr>
            </w:r>
            <w:r w:rsidR="00627D58">
              <w:rPr>
                <w:noProof/>
                <w:webHidden/>
              </w:rPr>
              <w:fldChar w:fldCharType="separate"/>
            </w:r>
            <w:r w:rsidR="00627D58">
              <w:rPr>
                <w:noProof/>
                <w:webHidden/>
              </w:rPr>
              <w:t>7</w:t>
            </w:r>
            <w:r w:rsidR="00627D58">
              <w:rPr>
                <w:noProof/>
                <w:webHidden/>
              </w:rPr>
              <w:fldChar w:fldCharType="end"/>
            </w:r>
          </w:hyperlink>
        </w:p>
        <w:p w14:paraId="1039D659" w14:textId="2ABC1B4A" w:rsidR="00627D58" w:rsidRDefault="00E35708">
          <w:pPr>
            <w:pStyle w:val="TOC2"/>
            <w:tabs>
              <w:tab w:val="left" w:pos="880"/>
              <w:tab w:val="right" w:leader="dot" w:pos="9062"/>
            </w:tabs>
            <w:rPr>
              <w:rFonts w:asciiTheme="minorHAnsi" w:eastAsiaTheme="minorEastAsia" w:hAnsiTheme="minorHAnsi" w:cstheme="minorBidi"/>
              <w:noProof/>
              <w:spacing w:val="0"/>
              <w:sz w:val="22"/>
              <w:lang w:eastAsia="fr-BE"/>
            </w:rPr>
          </w:pPr>
          <w:hyperlink w:anchor="_Toc135085767" w:history="1">
            <w:r w:rsidR="00627D58" w:rsidRPr="007A405C">
              <w:rPr>
                <w:rStyle w:val="Hyperlink"/>
                <w:noProof/>
              </w:rPr>
              <w:t>6.3.</w:t>
            </w:r>
            <w:r w:rsidR="00627D58">
              <w:rPr>
                <w:rFonts w:asciiTheme="minorHAnsi" w:eastAsiaTheme="minorEastAsia" w:hAnsiTheme="minorHAnsi" w:cstheme="minorBidi"/>
                <w:noProof/>
                <w:spacing w:val="0"/>
                <w:sz w:val="22"/>
                <w:lang w:eastAsia="fr-BE"/>
              </w:rPr>
              <w:tab/>
            </w:r>
            <w:r w:rsidR="00627D58" w:rsidRPr="007A405C">
              <w:rPr>
                <w:rStyle w:val="Hyperlink"/>
                <w:noProof/>
              </w:rPr>
              <w:t>Granularité des éléments de réseau pour lesquels il convient d’établir une fiche individuelle</w:t>
            </w:r>
            <w:r w:rsidR="00627D58">
              <w:rPr>
                <w:noProof/>
                <w:webHidden/>
              </w:rPr>
              <w:tab/>
            </w:r>
            <w:r w:rsidR="00627D58">
              <w:rPr>
                <w:noProof/>
                <w:webHidden/>
              </w:rPr>
              <w:fldChar w:fldCharType="begin"/>
            </w:r>
            <w:r w:rsidR="00627D58">
              <w:rPr>
                <w:noProof/>
                <w:webHidden/>
              </w:rPr>
              <w:instrText xml:space="preserve"> PAGEREF _Toc135085767 \h </w:instrText>
            </w:r>
            <w:r w:rsidR="00627D58">
              <w:rPr>
                <w:noProof/>
                <w:webHidden/>
              </w:rPr>
            </w:r>
            <w:r w:rsidR="00627D58">
              <w:rPr>
                <w:noProof/>
                <w:webHidden/>
              </w:rPr>
              <w:fldChar w:fldCharType="separate"/>
            </w:r>
            <w:r w:rsidR="00627D58">
              <w:rPr>
                <w:noProof/>
                <w:webHidden/>
              </w:rPr>
              <w:t>7</w:t>
            </w:r>
            <w:r w:rsidR="00627D58">
              <w:rPr>
                <w:noProof/>
                <w:webHidden/>
              </w:rPr>
              <w:fldChar w:fldCharType="end"/>
            </w:r>
          </w:hyperlink>
        </w:p>
        <w:p w14:paraId="15E0BF6B" w14:textId="585B404A" w:rsidR="00627D58" w:rsidRDefault="00E35708">
          <w:pPr>
            <w:pStyle w:val="TOC2"/>
            <w:tabs>
              <w:tab w:val="left" w:pos="880"/>
              <w:tab w:val="right" w:leader="dot" w:pos="9062"/>
            </w:tabs>
            <w:rPr>
              <w:rFonts w:asciiTheme="minorHAnsi" w:eastAsiaTheme="minorEastAsia" w:hAnsiTheme="minorHAnsi" w:cstheme="minorBidi"/>
              <w:noProof/>
              <w:spacing w:val="0"/>
              <w:sz w:val="22"/>
              <w:lang w:eastAsia="fr-BE"/>
            </w:rPr>
          </w:pPr>
          <w:hyperlink w:anchor="_Toc135085768" w:history="1">
            <w:r w:rsidR="00627D58" w:rsidRPr="007A405C">
              <w:rPr>
                <w:rStyle w:val="Hyperlink"/>
                <w:noProof/>
              </w:rPr>
              <w:t>6.4.</w:t>
            </w:r>
            <w:r w:rsidR="00627D58">
              <w:rPr>
                <w:rFonts w:asciiTheme="minorHAnsi" w:eastAsiaTheme="minorEastAsia" w:hAnsiTheme="minorHAnsi" w:cstheme="minorBidi"/>
                <w:noProof/>
                <w:spacing w:val="0"/>
                <w:sz w:val="22"/>
                <w:lang w:eastAsia="fr-BE"/>
              </w:rPr>
              <w:tab/>
            </w:r>
            <w:r w:rsidR="00627D58" w:rsidRPr="007A405C">
              <w:rPr>
                <w:rStyle w:val="Hyperlink"/>
                <w:noProof/>
              </w:rPr>
              <w:t>Modalités d’envoi du dossier à l’IBPT</w:t>
            </w:r>
            <w:r w:rsidR="00627D58">
              <w:rPr>
                <w:noProof/>
                <w:webHidden/>
              </w:rPr>
              <w:tab/>
            </w:r>
            <w:r w:rsidR="00627D58">
              <w:rPr>
                <w:noProof/>
                <w:webHidden/>
              </w:rPr>
              <w:fldChar w:fldCharType="begin"/>
            </w:r>
            <w:r w:rsidR="00627D58">
              <w:rPr>
                <w:noProof/>
                <w:webHidden/>
              </w:rPr>
              <w:instrText xml:space="preserve"> PAGEREF _Toc135085768 \h </w:instrText>
            </w:r>
            <w:r w:rsidR="00627D58">
              <w:rPr>
                <w:noProof/>
                <w:webHidden/>
              </w:rPr>
            </w:r>
            <w:r w:rsidR="00627D58">
              <w:rPr>
                <w:noProof/>
                <w:webHidden/>
              </w:rPr>
              <w:fldChar w:fldCharType="separate"/>
            </w:r>
            <w:r w:rsidR="00627D58">
              <w:rPr>
                <w:noProof/>
                <w:webHidden/>
              </w:rPr>
              <w:t>11</w:t>
            </w:r>
            <w:r w:rsidR="00627D58">
              <w:rPr>
                <w:noProof/>
                <w:webHidden/>
              </w:rPr>
              <w:fldChar w:fldCharType="end"/>
            </w:r>
          </w:hyperlink>
        </w:p>
        <w:p w14:paraId="6A1C305A" w14:textId="27128CF4" w:rsidR="00627D58" w:rsidRDefault="00E35708">
          <w:pPr>
            <w:pStyle w:val="TOC1"/>
            <w:tabs>
              <w:tab w:val="left" w:pos="400"/>
            </w:tabs>
            <w:rPr>
              <w:rFonts w:asciiTheme="minorHAnsi" w:eastAsiaTheme="minorEastAsia" w:hAnsiTheme="minorHAnsi" w:cstheme="minorBidi"/>
              <w:noProof/>
              <w:sz w:val="22"/>
              <w:lang w:eastAsia="fr-BE"/>
            </w:rPr>
          </w:pPr>
          <w:hyperlink w:anchor="_Toc135085769" w:history="1">
            <w:r w:rsidR="00627D58" w:rsidRPr="007A405C">
              <w:rPr>
                <w:rStyle w:val="Hyperlink"/>
                <w:noProof/>
                <w14:scene3d>
                  <w14:camera w14:prst="orthographicFront"/>
                  <w14:lightRig w14:rig="threePt" w14:dir="t">
                    <w14:rot w14:lat="0" w14:lon="0" w14:rev="0"/>
                  </w14:lightRig>
                </w14:scene3d>
              </w:rPr>
              <w:t>7.</w:t>
            </w:r>
            <w:r w:rsidR="00627D58">
              <w:rPr>
                <w:rFonts w:asciiTheme="minorHAnsi" w:eastAsiaTheme="minorEastAsia" w:hAnsiTheme="minorHAnsi" w:cstheme="minorBidi"/>
                <w:noProof/>
                <w:sz w:val="22"/>
                <w:lang w:eastAsia="fr-BE"/>
              </w:rPr>
              <w:tab/>
            </w:r>
            <w:r w:rsidR="00627D58" w:rsidRPr="007A405C">
              <w:rPr>
                <w:rStyle w:val="Hyperlink"/>
                <w:noProof/>
              </w:rPr>
              <w:t>Transmission du dossier aux ministres concernés et aux services de renseignement et de sécurité</w:t>
            </w:r>
            <w:r w:rsidR="00627D58">
              <w:rPr>
                <w:noProof/>
                <w:webHidden/>
              </w:rPr>
              <w:tab/>
            </w:r>
            <w:r w:rsidR="00627D58">
              <w:rPr>
                <w:noProof/>
                <w:webHidden/>
              </w:rPr>
              <w:fldChar w:fldCharType="begin"/>
            </w:r>
            <w:r w:rsidR="00627D58">
              <w:rPr>
                <w:noProof/>
                <w:webHidden/>
              </w:rPr>
              <w:instrText xml:space="preserve"> PAGEREF _Toc135085769 \h </w:instrText>
            </w:r>
            <w:r w:rsidR="00627D58">
              <w:rPr>
                <w:noProof/>
                <w:webHidden/>
              </w:rPr>
            </w:r>
            <w:r w:rsidR="00627D58">
              <w:rPr>
                <w:noProof/>
                <w:webHidden/>
              </w:rPr>
              <w:fldChar w:fldCharType="separate"/>
            </w:r>
            <w:r w:rsidR="00627D58">
              <w:rPr>
                <w:noProof/>
                <w:webHidden/>
              </w:rPr>
              <w:t>12</w:t>
            </w:r>
            <w:r w:rsidR="00627D58">
              <w:rPr>
                <w:noProof/>
                <w:webHidden/>
              </w:rPr>
              <w:fldChar w:fldCharType="end"/>
            </w:r>
          </w:hyperlink>
        </w:p>
        <w:p w14:paraId="5677EDA5" w14:textId="32EE4A9A" w:rsidR="00627D58" w:rsidRDefault="00E35708">
          <w:pPr>
            <w:pStyle w:val="TOC1"/>
            <w:tabs>
              <w:tab w:val="left" w:pos="400"/>
            </w:tabs>
            <w:rPr>
              <w:rFonts w:asciiTheme="minorHAnsi" w:eastAsiaTheme="minorEastAsia" w:hAnsiTheme="minorHAnsi" w:cstheme="minorBidi"/>
              <w:noProof/>
              <w:sz w:val="22"/>
              <w:lang w:eastAsia="fr-BE"/>
            </w:rPr>
          </w:pPr>
          <w:hyperlink w:anchor="_Toc135085770" w:history="1">
            <w:r w:rsidR="00627D58" w:rsidRPr="007A405C">
              <w:rPr>
                <w:rStyle w:val="Hyperlink"/>
                <w:noProof/>
                <w14:scene3d>
                  <w14:camera w14:prst="orthographicFront"/>
                  <w14:lightRig w14:rig="threePt" w14:dir="t">
                    <w14:rot w14:lat="0" w14:lon="0" w14:rev="0"/>
                  </w14:lightRig>
                </w14:scene3d>
              </w:rPr>
              <w:t>8.</w:t>
            </w:r>
            <w:r w:rsidR="00627D58">
              <w:rPr>
                <w:rFonts w:asciiTheme="minorHAnsi" w:eastAsiaTheme="minorEastAsia" w:hAnsiTheme="minorHAnsi" w:cstheme="minorBidi"/>
                <w:noProof/>
                <w:sz w:val="22"/>
                <w:lang w:eastAsia="fr-BE"/>
              </w:rPr>
              <w:tab/>
            </w:r>
            <w:r w:rsidR="00627D58" w:rsidRPr="007A405C">
              <w:rPr>
                <w:rStyle w:val="Hyperlink"/>
                <w:noProof/>
              </w:rPr>
              <w:t>Informations complémentaires</w:t>
            </w:r>
            <w:r w:rsidR="00627D58">
              <w:rPr>
                <w:noProof/>
                <w:webHidden/>
              </w:rPr>
              <w:tab/>
            </w:r>
            <w:r w:rsidR="00627D58">
              <w:rPr>
                <w:noProof/>
                <w:webHidden/>
              </w:rPr>
              <w:fldChar w:fldCharType="begin"/>
            </w:r>
            <w:r w:rsidR="00627D58">
              <w:rPr>
                <w:noProof/>
                <w:webHidden/>
              </w:rPr>
              <w:instrText xml:space="preserve"> PAGEREF _Toc135085770 \h </w:instrText>
            </w:r>
            <w:r w:rsidR="00627D58">
              <w:rPr>
                <w:noProof/>
                <w:webHidden/>
              </w:rPr>
            </w:r>
            <w:r w:rsidR="00627D58">
              <w:rPr>
                <w:noProof/>
                <w:webHidden/>
              </w:rPr>
              <w:fldChar w:fldCharType="separate"/>
            </w:r>
            <w:r w:rsidR="00627D58">
              <w:rPr>
                <w:noProof/>
                <w:webHidden/>
              </w:rPr>
              <w:t>12</w:t>
            </w:r>
            <w:r w:rsidR="00627D58">
              <w:rPr>
                <w:noProof/>
                <w:webHidden/>
              </w:rPr>
              <w:fldChar w:fldCharType="end"/>
            </w:r>
          </w:hyperlink>
        </w:p>
        <w:p w14:paraId="51E4C3EF" w14:textId="12AD6427" w:rsidR="00627D58" w:rsidRDefault="00E35708">
          <w:pPr>
            <w:pStyle w:val="TOC1"/>
            <w:tabs>
              <w:tab w:val="left" w:pos="400"/>
            </w:tabs>
            <w:rPr>
              <w:rFonts w:asciiTheme="minorHAnsi" w:eastAsiaTheme="minorEastAsia" w:hAnsiTheme="minorHAnsi" w:cstheme="minorBidi"/>
              <w:noProof/>
              <w:sz w:val="22"/>
              <w:lang w:eastAsia="fr-BE"/>
            </w:rPr>
          </w:pPr>
          <w:hyperlink w:anchor="_Toc135085771" w:history="1">
            <w:r w:rsidR="00627D58" w:rsidRPr="007A405C">
              <w:rPr>
                <w:rStyle w:val="Hyperlink"/>
                <w:noProof/>
                <w14:scene3d>
                  <w14:camera w14:prst="orthographicFront"/>
                  <w14:lightRig w14:rig="threePt" w14:dir="t">
                    <w14:rot w14:lat="0" w14:lon="0" w14:rev="0"/>
                  </w14:lightRig>
                </w14:scene3d>
              </w:rPr>
              <w:t>9.</w:t>
            </w:r>
            <w:r w:rsidR="00627D58">
              <w:rPr>
                <w:rFonts w:asciiTheme="minorHAnsi" w:eastAsiaTheme="minorEastAsia" w:hAnsiTheme="minorHAnsi" w:cstheme="minorBidi"/>
                <w:noProof/>
                <w:sz w:val="22"/>
                <w:lang w:eastAsia="fr-BE"/>
              </w:rPr>
              <w:tab/>
            </w:r>
            <w:r w:rsidR="00627D58" w:rsidRPr="007A405C">
              <w:rPr>
                <w:rStyle w:val="Hyperlink"/>
                <w:noProof/>
              </w:rPr>
              <w:t>Avis de l’IBPT et des services de renseignement et de sécurité</w:t>
            </w:r>
            <w:r w:rsidR="00627D58">
              <w:rPr>
                <w:noProof/>
                <w:webHidden/>
              </w:rPr>
              <w:tab/>
            </w:r>
            <w:r w:rsidR="00627D58">
              <w:rPr>
                <w:noProof/>
                <w:webHidden/>
              </w:rPr>
              <w:fldChar w:fldCharType="begin"/>
            </w:r>
            <w:r w:rsidR="00627D58">
              <w:rPr>
                <w:noProof/>
                <w:webHidden/>
              </w:rPr>
              <w:instrText xml:space="preserve"> PAGEREF _Toc135085771 \h </w:instrText>
            </w:r>
            <w:r w:rsidR="00627D58">
              <w:rPr>
                <w:noProof/>
                <w:webHidden/>
              </w:rPr>
            </w:r>
            <w:r w:rsidR="00627D58">
              <w:rPr>
                <w:noProof/>
                <w:webHidden/>
              </w:rPr>
              <w:fldChar w:fldCharType="separate"/>
            </w:r>
            <w:r w:rsidR="00627D58">
              <w:rPr>
                <w:noProof/>
                <w:webHidden/>
              </w:rPr>
              <w:t>13</w:t>
            </w:r>
            <w:r w:rsidR="00627D58">
              <w:rPr>
                <w:noProof/>
                <w:webHidden/>
              </w:rPr>
              <w:fldChar w:fldCharType="end"/>
            </w:r>
          </w:hyperlink>
        </w:p>
        <w:p w14:paraId="503D7E5E" w14:textId="29990C74" w:rsidR="00627D58" w:rsidRDefault="00E35708">
          <w:pPr>
            <w:pStyle w:val="TOC1"/>
            <w:tabs>
              <w:tab w:val="left" w:pos="660"/>
            </w:tabs>
            <w:rPr>
              <w:rFonts w:asciiTheme="minorHAnsi" w:eastAsiaTheme="minorEastAsia" w:hAnsiTheme="minorHAnsi" w:cstheme="minorBidi"/>
              <w:noProof/>
              <w:sz w:val="22"/>
              <w:lang w:eastAsia="fr-BE"/>
            </w:rPr>
          </w:pPr>
          <w:hyperlink w:anchor="_Toc135085772" w:history="1">
            <w:r w:rsidR="00627D58" w:rsidRPr="007A405C">
              <w:rPr>
                <w:rStyle w:val="Hyperlink"/>
                <w:noProof/>
                <w14:scene3d>
                  <w14:camera w14:prst="orthographicFront"/>
                  <w14:lightRig w14:rig="threePt" w14:dir="t">
                    <w14:rot w14:lat="0" w14:lon="0" w14:rev="0"/>
                  </w14:lightRig>
                </w14:scene3d>
              </w:rPr>
              <w:t>10.</w:t>
            </w:r>
            <w:r w:rsidR="00627D58">
              <w:rPr>
                <w:rFonts w:asciiTheme="minorHAnsi" w:eastAsiaTheme="minorEastAsia" w:hAnsiTheme="minorHAnsi" w:cstheme="minorBidi"/>
                <w:noProof/>
                <w:sz w:val="22"/>
                <w:lang w:eastAsia="fr-BE"/>
              </w:rPr>
              <w:tab/>
            </w:r>
            <w:r w:rsidR="00627D58" w:rsidRPr="007A405C">
              <w:rPr>
                <w:rStyle w:val="Hyperlink"/>
                <w:noProof/>
              </w:rPr>
              <w:t>Informations complémentaires lorsque l’équipementier est considéré à haut risque (uniquement applicable lorsque le demandeur est un MNO)</w:t>
            </w:r>
            <w:r w:rsidR="00627D58">
              <w:rPr>
                <w:noProof/>
                <w:webHidden/>
              </w:rPr>
              <w:tab/>
            </w:r>
            <w:r w:rsidR="00627D58">
              <w:rPr>
                <w:noProof/>
                <w:webHidden/>
              </w:rPr>
              <w:fldChar w:fldCharType="begin"/>
            </w:r>
            <w:r w:rsidR="00627D58">
              <w:rPr>
                <w:noProof/>
                <w:webHidden/>
              </w:rPr>
              <w:instrText xml:space="preserve"> PAGEREF _Toc135085772 \h </w:instrText>
            </w:r>
            <w:r w:rsidR="00627D58">
              <w:rPr>
                <w:noProof/>
                <w:webHidden/>
              </w:rPr>
            </w:r>
            <w:r w:rsidR="00627D58">
              <w:rPr>
                <w:noProof/>
                <w:webHidden/>
              </w:rPr>
              <w:fldChar w:fldCharType="separate"/>
            </w:r>
            <w:r w:rsidR="00627D58">
              <w:rPr>
                <w:noProof/>
                <w:webHidden/>
              </w:rPr>
              <w:t>13</w:t>
            </w:r>
            <w:r w:rsidR="00627D58">
              <w:rPr>
                <w:noProof/>
                <w:webHidden/>
              </w:rPr>
              <w:fldChar w:fldCharType="end"/>
            </w:r>
          </w:hyperlink>
        </w:p>
        <w:p w14:paraId="6225AE1E" w14:textId="6B61FCE8" w:rsidR="00627D58" w:rsidRDefault="00E35708">
          <w:pPr>
            <w:pStyle w:val="TOC1"/>
            <w:tabs>
              <w:tab w:val="left" w:pos="660"/>
            </w:tabs>
            <w:rPr>
              <w:rFonts w:asciiTheme="minorHAnsi" w:eastAsiaTheme="minorEastAsia" w:hAnsiTheme="minorHAnsi" w:cstheme="minorBidi"/>
              <w:noProof/>
              <w:sz w:val="22"/>
              <w:lang w:eastAsia="fr-BE"/>
            </w:rPr>
          </w:pPr>
          <w:hyperlink w:anchor="_Toc135085773" w:history="1">
            <w:r w:rsidR="00627D58" w:rsidRPr="007A405C">
              <w:rPr>
                <w:rStyle w:val="Hyperlink"/>
                <w:noProof/>
                <w14:scene3d>
                  <w14:camera w14:prst="orthographicFront"/>
                  <w14:lightRig w14:rig="threePt" w14:dir="t">
                    <w14:rot w14:lat="0" w14:lon="0" w14:rev="0"/>
                  </w14:lightRig>
                </w14:scene3d>
              </w:rPr>
              <w:t>11.</w:t>
            </w:r>
            <w:r w:rsidR="00627D58">
              <w:rPr>
                <w:rFonts w:asciiTheme="minorHAnsi" w:eastAsiaTheme="minorEastAsia" w:hAnsiTheme="minorHAnsi" w:cstheme="minorBidi"/>
                <w:noProof/>
                <w:sz w:val="22"/>
                <w:lang w:eastAsia="fr-BE"/>
              </w:rPr>
              <w:tab/>
            </w:r>
            <w:r w:rsidR="00627D58" w:rsidRPr="007A405C">
              <w:rPr>
                <w:rStyle w:val="Hyperlink"/>
                <w:noProof/>
              </w:rPr>
              <w:t>Audition du demandeur et fourniture de ses observations écrites</w:t>
            </w:r>
            <w:r w:rsidR="00627D58">
              <w:rPr>
                <w:noProof/>
                <w:webHidden/>
              </w:rPr>
              <w:tab/>
            </w:r>
            <w:r w:rsidR="00627D58">
              <w:rPr>
                <w:noProof/>
                <w:webHidden/>
              </w:rPr>
              <w:fldChar w:fldCharType="begin"/>
            </w:r>
            <w:r w:rsidR="00627D58">
              <w:rPr>
                <w:noProof/>
                <w:webHidden/>
              </w:rPr>
              <w:instrText xml:space="preserve"> PAGEREF _Toc135085773 \h </w:instrText>
            </w:r>
            <w:r w:rsidR="00627D58">
              <w:rPr>
                <w:noProof/>
                <w:webHidden/>
              </w:rPr>
            </w:r>
            <w:r w:rsidR="00627D58">
              <w:rPr>
                <w:noProof/>
                <w:webHidden/>
              </w:rPr>
              <w:fldChar w:fldCharType="separate"/>
            </w:r>
            <w:r w:rsidR="00627D58">
              <w:rPr>
                <w:noProof/>
                <w:webHidden/>
              </w:rPr>
              <w:t>13</w:t>
            </w:r>
            <w:r w:rsidR="00627D58">
              <w:rPr>
                <w:noProof/>
                <w:webHidden/>
              </w:rPr>
              <w:fldChar w:fldCharType="end"/>
            </w:r>
          </w:hyperlink>
        </w:p>
        <w:p w14:paraId="5A95AA29" w14:textId="66BCDCA3" w:rsidR="00627D58" w:rsidRDefault="00E35708">
          <w:pPr>
            <w:pStyle w:val="TOC1"/>
            <w:tabs>
              <w:tab w:val="left" w:pos="660"/>
            </w:tabs>
            <w:rPr>
              <w:rFonts w:asciiTheme="minorHAnsi" w:eastAsiaTheme="minorEastAsia" w:hAnsiTheme="minorHAnsi" w:cstheme="minorBidi"/>
              <w:noProof/>
              <w:sz w:val="22"/>
              <w:lang w:eastAsia="fr-BE"/>
            </w:rPr>
          </w:pPr>
          <w:hyperlink w:anchor="_Toc135085774" w:history="1">
            <w:r w:rsidR="00627D58" w:rsidRPr="007A405C">
              <w:rPr>
                <w:rStyle w:val="Hyperlink"/>
                <w:noProof/>
                <w14:scene3d>
                  <w14:camera w14:prst="orthographicFront"/>
                  <w14:lightRig w14:rig="threePt" w14:dir="t">
                    <w14:rot w14:lat="0" w14:lon="0" w14:rev="0"/>
                  </w14:lightRig>
                </w14:scene3d>
              </w:rPr>
              <w:t>12.</w:t>
            </w:r>
            <w:r w:rsidR="00627D58">
              <w:rPr>
                <w:rFonts w:asciiTheme="minorHAnsi" w:eastAsiaTheme="minorEastAsia" w:hAnsiTheme="minorHAnsi" w:cstheme="minorBidi"/>
                <w:noProof/>
                <w:sz w:val="22"/>
                <w:lang w:eastAsia="fr-BE"/>
              </w:rPr>
              <w:tab/>
            </w:r>
            <w:r w:rsidR="00627D58" w:rsidRPr="007A405C">
              <w:rPr>
                <w:rStyle w:val="Hyperlink"/>
                <w:noProof/>
              </w:rPr>
              <w:t>Décision finale</w:t>
            </w:r>
            <w:r w:rsidR="00627D58">
              <w:rPr>
                <w:noProof/>
                <w:webHidden/>
              </w:rPr>
              <w:tab/>
            </w:r>
            <w:r w:rsidR="00627D58">
              <w:rPr>
                <w:noProof/>
                <w:webHidden/>
              </w:rPr>
              <w:fldChar w:fldCharType="begin"/>
            </w:r>
            <w:r w:rsidR="00627D58">
              <w:rPr>
                <w:noProof/>
                <w:webHidden/>
              </w:rPr>
              <w:instrText xml:space="preserve"> PAGEREF _Toc135085774 \h </w:instrText>
            </w:r>
            <w:r w:rsidR="00627D58">
              <w:rPr>
                <w:noProof/>
                <w:webHidden/>
              </w:rPr>
            </w:r>
            <w:r w:rsidR="00627D58">
              <w:rPr>
                <w:noProof/>
                <w:webHidden/>
              </w:rPr>
              <w:fldChar w:fldCharType="separate"/>
            </w:r>
            <w:r w:rsidR="00627D58">
              <w:rPr>
                <w:noProof/>
                <w:webHidden/>
              </w:rPr>
              <w:t>13</w:t>
            </w:r>
            <w:r w:rsidR="00627D58">
              <w:rPr>
                <w:noProof/>
                <w:webHidden/>
              </w:rPr>
              <w:fldChar w:fldCharType="end"/>
            </w:r>
          </w:hyperlink>
        </w:p>
        <w:p w14:paraId="3AADCB00" w14:textId="443BD139" w:rsidR="00627D58" w:rsidRDefault="00E35708">
          <w:pPr>
            <w:pStyle w:val="TOC1"/>
            <w:tabs>
              <w:tab w:val="left" w:pos="660"/>
            </w:tabs>
            <w:rPr>
              <w:rFonts w:asciiTheme="minorHAnsi" w:eastAsiaTheme="minorEastAsia" w:hAnsiTheme="minorHAnsi" w:cstheme="minorBidi"/>
              <w:noProof/>
              <w:sz w:val="22"/>
              <w:lang w:eastAsia="fr-BE"/>
            </w:rPr>
          </w:pPr>
          <w:hyperlink w:anchor="_Toc135085775" w:history="1">
            <w:r w:rsidR="00627D58" w:rsidRPr="007A405C">
              <w:rPr>
                <w:rStyle w:val="Hyperlink"/>
                <w:noProof/>
                <w14:scene3d>
                  <w14:camera w14:prst="orthographicFront"/>
                  <w14:lightRig w14:rig="threePt" w14:dir="t">
                    <w14:rot w14:lat="0" w14:lon="0" w14:rev="0"/>
                  </w14:lightRig>
                </w14:scene3d>
              </w:rPr>
              <w:t>13.</w:t>
            </w:r>
            <w:r w:rsidR="00627D58">
              <w:rPr>
                <w:rFonts w:asciiTheme="minorHAnsi" w:eastAsiaTheme="minorEastAsia" w:hAnsiTheme="minorHAnsi" w:cstheme="minorBidi"/>
                <w:noProof/>
                <w:sz w:val="22"/>
                <w:lang w:eastAsia="fr-BE"/>
              </w:rPr>
              <w:tab/>
            </w:r>
            <w:r w:rsidR="00627D58" w:rsidRPr="007A405C">
              <w:rPr>
                <w:rStyle w:val="Hyperlink"/>
                <w:noProof/>
              </w:rPr>
              <w:t>Modification d’un dossier déjà introduit</w:t>
            </w:r>
            <w:r w:rsidR="00627D58">
              <w:rPr>
                <w:noProof/>
                <w:webHidden/>
              </w:rPr>
              <w:tab/>
            </w:r>
            <w:r w:rsidR="00627D58">
              <w:rPr>
                <w:noProof/>
                <w:webHidden/>
              </w:rPr>
              <w:fldChar w:fldCharType="begin"/>
            </w:r>
            <w:r w:rsidR="00627D58">
              <w:rPr>
                <w:noProof/>
                <w:webHidden/>
              </w:rPr>
              <w:instrText xml:space="preserve"> PAGEREF _Toc135085775 \h </w:instrText>
            </w:r>
            <w:r w:rsidR="00627D58">
              <w:rPr>
                <w:noProof/>
                <w:webHidden/>
              </w:rPr>
            </w:r>
            <w:r w:rsidR="00627D58">
              <w:rPr>
                <w:noProof/>
                <w:webHidden/>
              </w:rPr>
              <w:fldChar w:fldCharType="separate"/>
            </w:r>
            <w:r w:rsidR="00627D58">
              <w:rPr>
                <w:noProof/>
                <w:webHidden/>
              </w:rPr>
              <w:t>14</w:t>
            </w:r>
            <w:r w:rsidR="00627D58">
              <w:rPr>
                <w:noProof/>
                <w:webHidden/>
              </w:rPr>
              <w:fldChar w:fldCharType="end"/>
            </w:r>
          </w:hyperlink>
        </w:p>
        <w:p w14:paraId="2956D49F" w14:textId="38518C40" w:rsidR="00DF6358" w:rsidRPr="00713331" w:rsidRDefault="00DF6358" w:rsidP="00713331">
          <w:r w:rsidRPr="00713331">
            <w:rPr>
              <w:b/>
            </w:rPr>
            <w:fldChar w:fldCharType="end"/>
          </w:r>
        </w:p>
      </w:sdtContent>
    </w:sdt>
    <w:p w14:paraId="15A01D7E" w14:textId="77777777" w:rsidR="00DF6358" w:rsidRPr="00713331" w:rsidRDefault="00DF6358" w:rsidP="00713331">
      <w:pPr>
        <w:spacing w:after="160" w:line="259" w:lineRule="auto"/>
        <w:jc w:val="left"/>
      </w:pPr>
    </w:p>
    <w:p w14:paraId="4C0DD0B1" w14:textId="70D0CEF2" w:rsidR="00B91697" w:rsidRPr="00713331" w:rsidRDefault="00B91697" w:rsidP="00713331">
      <w:pPr>
        <w:spacing w:after="160" w:line="259" w:lineRule="auto"/>
        <w:jc w:val="left"/>
      </w:pPr>
      <w:r w:rsidRPr="00713331">
        <w:br w:type="page"/>
      </w:r>
    </w:p>
    <w:p w14:paraId="2D1FABE2" w14:textId="6773CE9A" w:rsidR="002C3C99" w:rsidRPr="00713331" w:rsidRDefault="002C3C99" w:rsidP="00713331">
      <w:pPr>
        <w:pStyle w:val="Heading1"/>
      </w:pPr>
      <w:bookmarkStart w:id="0" w:name="_Toc135085759"/>
      <w:r w:rsidRPr="00713331">
        <w:lastRenderedPageBreak/>
        <w:t>Objet du présent document</w:t>
      </w:r>
      <w:bookmarkEnd w:id="0"/>
      <w:r w:rsidRPr="00713331">
        <w:t xml:space="preserve"> </w:t>
      </w:r>
    </w:p>
    <w:p w14:paraId="3FE3ED6A" w14:textId="77777777" w:rsidR="00216AD6" w:rsidRPr="00713331" w:rsidRDefault="002C3C99" w:rsidP="00713331">
      <w:pPr>
        <w:pStyle w:val="Numberednormal"/>
      </w:pPr>
      <w:r w:rsidRPr="00713331">
        <w:t xml:space="preserve">Le présent document est à destination des demandeurs d’une autorisation préalable ou de régularisation concernant la sécurité de la 5G. </w:t>
      </w:r>
    </w:p>
    <w:p w14:paraId="7A04B8A6" w14:textId="77777777" w:rsidR="00216AD6" w:rsidRPr="00713331" w:rsidRDefault="00216AD6" w:rsidP="00713331">
      <w:pPr>
        <w:pStyle w:val="Numberednormal"/>
        <w:numPr>
          <w:ilvl w:val="0"/>
          <w:numId w:val="0"/>
        </w:numPr>
        <w:ind w:left="360"/>
      </w:pPr>
    </w:p>
    <w:p w14:paraId="1D4FE401" w14:textId="2617CC48" w:rsidR="002C3C99" w:rsidRPr="00713331" w:rsidRDefault="00216AD6" w:rsidP="00713331">
      <w:pPr>
        <w:pStyle w:val="Numberednormal"/>
      </w:pPr>
      <w:r w:rsidRPr="00713331">
        <w:t xml:space="preserve">Il reprend des informations concernant les différentes étapes qui seront suivies dans le cadre de cette demande d’autorisation. </w:t>
      </w:r>
    </w:p>
    <w:p w14:paraId="693B3E67" w14:textId="3E5BD473" w:rsidR="00C379C1" w:rsidRPr="00713331" w:rsidRDefault="00C379C1" w:rsidP="00713331">
      <w:pPr>
        <w:pStyle w:val="Numberednormal"/>
        <w:numPr>
          <w:ilvl w:val="0"/>
          <w:numId w:val="0"/>
        </w:numPr>
        <w:ind w:left="360"/>
      </w:pPr>
    </w:p>
    <w:p w14:paraId="59719835" w14:textId="77A1A481" w:rsidR="009D034D" w:rsidRPr="00713331" w:rsidRDefault="009D034D" w:rsidP="00713331">
      <w:pPr>
        <w:pStyle w:val="Numberednormal"/>
        <w:numPr>
          <w:ilvl w:val="0"/>
          <w:numId w:val="6"/>
        </w:numPr>
      </w:pPr>
      <w:r w:rsidRPr="00713331">
        <w:t>Il apporte également une réponse à une série de questions soulevées dans le cadre de la consultation portant sur ce document et s</w:t>
      </w:r>
      <w:r w:rsidR="00AF3B50">
        <w:t>es</w:t>
      </w:r>
      <w:r w:rsidRPr="00713331">
        <w:t xml:space="preserve"> annexe</w:t>
      </w:r>
      <w:r w:rsidR="00AF3B50">
        <w:t>s</w:t>
      </w:r>
      <w:r w:rsidRPr="00713331">
        <w:t xml:space="preserve">. </w:t>
      </w:r>
    </w:p>
    <w:p w14:paraId="63F21737" w14:textId="77777777" w:rsidR="009D034D" w:rsidRPr="00713331" w:rsidRDefault="009D034D" w:rsidP="00713331">
      <w:pPr>
        <w:pStyle w:val="Numberednormal"/>
        <w:numPr>
          <w:ilvl w:val="0"/>
          <w:numId w:val="0"/>
        </w:numPr>
        <w:ind w:left="360"/>
      </w:pPr>
    </w:p>
    <w:p w14:paraId="38D661CB" w14:textId="324B584B" w:rsidR="009D034D" w:rsidRPr="00713331" w:rsidRDefault="00C379C1" w:rsidP="00713331">
      <w:pPr>
        <w:pStyle w:val="Numberednormal"/>
      </w:pPr>
      <w:r w:rsidRPr="00713331">
        <w:t>Cette autorisation doit être demandée conformément à l’article 105, § 1</w:t>
      </w:r>
      <w:r w:rsidRPr="00713331">
        <w:rPr>
          <w:vertAlign w:val="superscript"/>
        </w:rPr>
        <w:t>er</w:t>
      </w:r>
      <w:r w:rsidRPr="00713331">
        <w:t xml:space="preserve">, de la loi du 13 juin 2005 relative aux communications électroniques (ci-après la loi relative aux communications électroniques) et à l’arrêté royal du </w:t>
      </w:r>
      <w:r w:rsidR="00AF3B50">
        <w:t>16/04/2023</w:t>
      </w:r>
      <w:r w:rsidRPr="00713331">
        <w:t xml:space="preserve"> concernant l’autorisation ministérielle dans le cadre du déploiement d’un réseau 5G (ci-après l’AR autorisations).</w:t>
      </w:r>
    </w:p>
    <w:p w14:paraId="2CF85ADF" w14:textId="61C9260D" w:rsidR="009D034D" w:rsidRPr="00713331" w:rsidRDefault="009D034D" w:rsidP="00713331">
      <w:pPr>
        <w:pStyle w:val="Heading1"/>
      </w:pPr>
      <w:bookmarkStart w:id="1" w:name="_Toc132804586"/>
      <w:bookmarkStart w:id="2" w:name="_Toc135085760"/>
      <w:r w:rsidRPr="00713331">
        <w:t>Éléments de réseau ne relevant pas du champ d’application de l’AR autorisations</w:t>
      </w:r>
      <w:bookmarkEnd w:id="1"/>
      <w:bookmarkEnd w:id="2"/>
      <w:r w:rsidRPr="00713331">
        <w:t xml:space="preserve"> </w:t>
      </w:r>
    </w:p>
    <w:p w14:paraId="4EC2E910" w14:textId="77777777" w:rsidR="009D034D" w:rsidRPr="00713331" w:rsidRDefault="009D034D" w:rsidP="00713331">
      <w:pPr>
        <w:rPr>
          <w:lang w:eastAsia="fr-FR"/>
        </w:rPr>
      </w:pPr>
    </w:p>
    <w:p w14:paraId="2673F2AA" w14:textId="77777777" w:rsidR="009D034D" w:rsidRPr="00713331" w:rsidRDefault="009D034D" w:rsidP="00713331">
      <w:pPr>
        <w:pStyle w:val="Numberednormal"/>
        <w:numPr>
          <w:ilvl w:val="0"/>
          <w:numId w:val="6"/>
        </w:numPr>
      </w:pPr>
      <w:r w:rsidRPr="00713331">
        <w:t xml:space="preserve">Question d’un opérateur : </w:t>
      </w:r>
    </w:p>
    <w:p w14:paraId="49313428" w14:textId="77777777" w:rsidR="009D034D" w:rsidRPr="00713331" w:rsidRDefault="009D034D" w:rsidP="00713331">
      <w:pPr>
        <w:ind w:left="360"/>
      </w:pPr>
      <w:r w:rsidRPr="00713331">
        <w:t xml:space="preserve">« Nous supposons que cet arrêté royal ne s'applique pas à un certain nombre d’éléments de réseau qui ne sont pas explicitement mentionnés dans l'arrêté royal étant donné qu’ils n’acheminent pas de trafic 5G. </w:t>
      </w:r>
    </w:p>
    <w:p w14:paraId="7FAAB88C" w14:textId="10E45BE3" w:rsidR="009D034D" w:rsidRPr="00713331" w:rsidRDefault="009D034D" w:rsidP="00713331">
      <w:pPr>
        <w:ind w:left="360"/>
      </w:pPr>
      <w:r w:rsidRPr="00713331">
        <w:t>Il s’agit plus précisément (1) du serveur PKI (serveur de distribution de clés pour le cryptage) et (2) du réseau de synchronisation avec les horloges de référence. L’IBPT peut-il confirmer que ces éléments de réseau ne relèvent pas du champ d’application des AR concernés ?</w:t>
      </w:r>
      <w:r w:rsidR="00713331">
        <w:t> »</w:t>
      </w:r>
    </w:p>
    <w:p w14:paraId="5376C0C7" w14:textId="77777777" w:rsidR="009D034D" w:rsidRPr="00713331" w:rsidRDefault="009D034D" w:rsidP="00713331">
      <w:pPr>
        <w:ind w:left="360"/>
        <w:rPr>
          <w:lang w:eastAsia="fr-FR"/>
        </w:rPr>
      </w:pPr>
    </w:p>
    <w:p w14:paraId="0DCE7E1E" w14:textId="0EB07449" w:rsidR="009D034D" w:rsidRPr="00713331" w:rsidRDefault="009D034D" w:rsidP="00713331">
      <w:pPr>
        <w:pStyle w:val="Numberednormal"/>
        <w:numPr>
          <w:ilvl w:val="0"/>
          <w:numId w:val="6"/>
        </w:numPr>
      </w:pPr>
      <w:r w:rsidRPr="00713331">
        <w:t>La réponse de l’IBPT est la suivante</w:t>
      </w:r>
      <w:r w:rsidR="00AF3B50">
        <w:t>.</w:t>
      </w:r>
      <w:r w:rsidRPr="00713331">
        <w:t xml:space="preserve"> </w:t>
      </w:r>
    </w:p>
    <w:p w14:paraId="45C906FC" w14:textId="77777777" w:rsidR="009D034D" w:rsidRPr="00713331" w:rsidRDefault="009D034D" w:rsidP="00713331">
      <w:pPr>
        <w:pStyle w:val="Numberednormal"/>
        <w:numPr>
          <w:ilvl w:val="0"/>
          <w:numId w:val="0"/>
        </w:numPr>
        <w:ind w:left="360"/>
      </w:pPr>
    </w:p>
    <w:p w14:paraId="4C1DD354" w14:textId="77777777" w:rsidR="009D034D" w:rsidRPr="00713331" w:rsidRDefault="009D034D" w:rsidP="00713331">
      <w:pPr>
        <w:pStyle w:val="Numberednormal"/>
        <w:numPr>
          <w:ilvl w:val="0"/>
          <w:numId w:val="6"/>
        </w:numPr>
      </w:pPr>
      <w:r w:rsidRPr="00713331">
        <w:t>L’article 1</w:t>
      </w:r>
      <w:r w:rsidRPr="00713331">
        <w:rPr>
          <w:vertAlign w:val="superscript"/>
        </w:rPr>
        <w:t>er</w:t>
      </w:r>
      <w:r w:rsidRPr="00713331">
        <w:t xml:space="preserve">, 3°, de l’AR autorisations définit les « parties d’un réseau 5G » comme suit : « le réseau d’accès radioélectrique, le réseau de transport et la partie centrale du réseau ; ces 3 parties comprennent l’ensemble des éléments d’un réseau 5G et chaque élément d’un réseau 5G n’appartient qu’à une seule de ces parties ». </w:t>
      </w:r>
    </w:p>
    <w:p w14:paraId="2F4118EE" w14:textId="77777777" w:rsidR="009D034D" w:rsidRPr="00713331" w:rsidRDefault="009D034D" w:rsidP="00713331">
      <w:pPr>
        <w:pStyle w:val="Numberednormal"/>
        <w:numPr>
          <w:ilvl w:val="0"/>
          <w:numId w:val="0"/>
        </w:numPr>
        <w:ind w:left="360"/>
      </w:pPr>
    </w:p>
    <w:p w14:paraId="6F662D03" w14:textId="77777777" w:rsidR="009D034D" w:rsidRPr="00713331" w:rsidRDefault="009D034D" w:rsidP="00713331">
      <w:pPr>
        <w:pStyle w:val="Numberednormal"/>
        <w:numPr>
          <w:ilvl w:val="0"/>
          <w:numId w:val="6"/>
        </w:numPr>
      </w:pPr>
      <w:r w:rsidRPr="00713331">
        <w:t xml:space="preserve">Il en ressort que la volonté de l’AR était que ces 3 parties comprennent l’ensemble des éléments d’un réseau 5G, soit l’ensemble des éléments qui sont nécessaires au fonctionnement de ce réseau. </w:t>
      </w:r>
    </w:p>
    <w:p w14:paraId="3DD9C207" w14:textId="77777777" w:rsidR="009D034D" w:rsidRPr="00713331" w:rsidRDefault="009D034D" w:rsidP="00713331">
      <w:pPr>
        <w:pStyle w:val="Numberednormal"/>
        <w:numPr>
          <w:ilvl w:val="0"/>
          <w:numId w:val="0"/>
        </w:numPr>
        <w:ind w:left="360"/>
      </w:pPr>
    </w:p>
    <w:p w14:paraId="65F55CC9" w14:textId="3CBA0D92" w:rsidR="009D034D" w:rsidRPr="00713331" w:rsidRDefault="009D034D" w:rsidP="00713331">
      <w:pPr>
        <w:pStyle w:val="Numberednormal"/>
        <w:numPr>
          <w:ilvl w:val="0"/>
          <w:numId w:val="6"/>
        </w:numPr>
      </w:pPr>
      <w:r w:rsidRPr="00713331">
        <w:t>Le serveur PKI (serveur de distribution de clés pour le cryptage) répond aux critères visés à l’article 1</w:t>
      </w:r>
      <w:r w:rsidRPr="00713331">
        <w:rPr>
          <w:vertAlign w:val="superscript"/>
        </w:rPr>
        <w:t>er</w:t>
      </w:r>
      <w:r w:rsidRPr="00713331">
        <w:t>, 11°, g), i) et k) </w:t>
      </w:r>
      <w:r w:rsidR="00AF3B50">
        <w:t xml:space="preserve">de l’AR autorisations </w:t>
      </w:r>
      <w:r w:rsidRPr="00713331">
        <w:t xml:space="preserve">: </w:t>
      </w:r>
    </w:p>
    <w:tbl>
      <w:tblPr>
        <w:tblStyle w:val="TableGrid"/>
        <w:tblW w:w="0" w:type="auto"/>
        <w:tblLayout w:type="fixed"/>
        <w:tblLook w:val="04A0" w:firstRow="1" w:lastRow="0" w:firstColumn="1" w:lastColumn="0" w:noHBand="0" w:noVBand="1"/>
      </w:tblPr>
      <w:tblGrid>
        <w:gridCol w:w="4508"/>
        <w:gridCol w:w="4508"/>
      </w:tblGrid>
      <w:tr w:rsidR="009D034D" w:rsidRPr="00713331" w14:paraId="71BBA3C7" w14:textId="77777777" w:rsidTr="00DA32B7">
        <w:tc>
          <w:tcPr>
            <w:tcW w:w="4508" w:type="dxa"/>
          </w:tcPr>
          <w:p w14:paraId="10F5677C" w14:textId="77777777" w:rsidR="009D034D" w:rsidRPr="00713331" w:rsidRDefault="009D034D" w:rsidP="00713331">
            <w:pPr>
              <w:numPr>
                <w:ilvl w:val="0"/>
                <w:numId w:val="40"/>
              </w:numPr>
              <w:rPr>
                <w:rFonts w:cs="Tahoma"/>
                <w:bCs/>
                <w:noProof/>
                <w:szCs w:val="20"/>
                <w:lang w:val="nl-BE"/>
              </w:rPr>
            </w:pPr>
            <w:proofErr w:type="gramStart"/>
            <w:r w:rsidRPr="00713331">
              <w:rPr>
                <w:lang w:val="nl-BE" w:eastAsia="fr-BE"/>
              </w:rPr>
              <w:t>de</w:t>
            </w:r>
            <w:proofErr w:type="gramEnd"/>
            <w:r w:rsidRPr="00713331">
              <w:rPr>
                <w:lang w:val="nl-BE" w:eastAsia="fr-BE"/>
              </w:rPr>
              <w:t xml:space="preserve"> veiligheidssystemen, met inbegrip van de bijbehorende systemen voor automatisering en ondersteuning, met name de firewalls, de systemen voor inbraakpreventie (IPS) en de systemen voor inbraakdetectie (IDS); </w:t>
            </w:r>
          </w:p>
        </w:tc>
        <w:tc>
          <w:tcPr>
            <w:tcW w:w="4508" w:type="dxa"/>
          </w:tcPr>
          <w:p w14:paraId="318FB912" w14:textId="77777777" w:rsidR="009D034D" w:rsidRPr="00713331" w:rsidRDefault="009D034D" w:rsidP="00713331">
            <w:pPr>
              <w:numPr>
                <w:ilvl w:val="0"/>
                <w:numId w:val="35"/>
              </w:numPr>
              <w:rPr>
                <w:rFonts w:cs="Tahoma"/>
                <w:bCs/>
                <w:noProof/>
                <w:szCs w:val="20"/>
              </w:rPr>
            </w:pPr>
            <w:proofErr w:type="gramStart"/>
            <w:r w:rsidRPr="00713331">
              <w:rPr>
                <w:lang w:eastAsia="fr-BE"/>
              </w:rPr>
              <w:t>les</w:t>
            </w:r>
            <w:proofErr w:type="gramEnd"/>
            <w:r w:rsidRPr="00713331">
              <w:rPr>
                <w:lang w:eastAsia="fr-BE"/>
              </w:rPr>
              <w:t xml:space="preserve"> systèmes de sécurité</w:t>
            </w:r>
            <w:r w:rsidRPr="00713331">
              <w:t xml:space="preserve"> </w:t>
            </w:r>
            <w:r w:rsidRPr="00713331">
              <w:rPr>
                <w:lang w:eastAsia="fr-BE"/>
              </w:rPr>
              <w:t>en ce compris les systèmes d’automatisation et de support y afférant, notamment les pare-feu, les systèmes de prévention d’intrusion (IPS), et les systèmes de détection d'intrusion (IDS) ;</w:t>
            </w:r>
          </w:p>
        </w:tc>
      </w:tr>
      <w:tr w:rsidR="009D034D" w:rsidRPr="00713331" w14:paraId="1621EA47" w14:textId="77777777" w:rsidTr="00DA32B7">
        <w:tc>
          <w:tcPr>
            <w:tcW w:w="4508" w:type="dxa"/>
          </w:tcPr>
          <w:p w14:paraId="46870AFE" w14:textId="77777777" w:rsidR="009D034D" w:rsidRPr="00713331" w:rsidRDefault="009D034D" w:rsidP="00713331">
            <w:pPr>
              <w:ind w:left="720"/>
              <w:contextualSpacing/>
              <w:rPr>
                <w:rFonts w:cs="Tahoma"/>
                <w:sz w:val="24"/>
                <w:szCs w:val="20"/>
              </w:rPr>
            </w:pPr>
          </w:p>
        </w:tc>
        <w:tc>
          <w:tcPr>
            <w:tcW w:w="4508" w:type="dxa"/>
          </w:tcPr>
          <w:p w14:paraId="45BD9C4C" w14:textId="77777777" w:rsidR="009D034D" w:rsidRPr="00713331" w:rsidRDefault="009D034D" w:rsidP="00713331">
            <w:pPr>
              <w:ind w:left="720"/>
              <w:contextualSpacing/>
              <w:rPr>
                <w:rFonts w:cs="Tahoma"/>
                <w:sz w:val="24"/>
                <w:szCs w:val="20"/>
              </w:rPr>
            </w:pPr>
          </w:p>
        </w:tc>
      </w:tr>
      <w:tr w:rsidR="009D034D" w:rsidRPr="00713331" w14:paraId="35491514" w14:textId="77777777" w:rsidTr="00DA32B7">
        <w:tc>
          <w:tcPr>
            <w:tcW w:w="4508" w:type="dxa"/>
          </w:tcPr>
          <w:p w14:paraId="2E255107" w14:textId="77777777" w:rsidR="009D034D" w:rsidRPr="00713331" w:rsidRDefault="009D034D" w:rsidP="00713331">
            <w:pPr>
              <w:numPr>
                <w:ilvl w:val="0"/>
                <w:numId w:val="35"/>
              </w:numPr>
              <w:rPr>
                <w:rFonts w:cs="Tahoma"/>
                <w:bCs/>
                <w:noProof/>
                <w:szCs w:val="20"/>
                <w:lang w:val="nl-BE"/>
              </w:rPr>
            </w:pPr>
            <w:proofErr w:type="gramStart"/>
            <w:r w:rsidRPr="00713331">
              <w:rPr>
                <w:lang w:val="nl-BE" w:eastAsia="fr-BE"/>
              </w:rPr>
              <w:t>de</w:t>
            </w:r>
            <w:proofErr w:type="gramEnd"/>
            <w:r w:rsidRPr="00713331">
              <w:rPr>
                <w:lang w:val="nl-BE" w:eastAsia="fr-BE"/>
              </w:rPr>
              <w:t xml:space="preserve"> netwerkapparatuur (schakelaars en routers) die de apparatuur van het centrale deel van het netwerk </w:t>
            </w:r>
            <w:proofErr w:type="spellStart"/>
            <w:r w:rsidRPr="00713331">
              <w:rPr>
                <w:lang w:val="nl-BE" w:eastAsia="fr-BE"/>
              </w:rPr>
              <w:t>interconnecteren</w:t>
            </w:r>
            <w:proofErr w:type="spellEnd"/>
            <w:r w:rsidRPr="00713331">
              <w:rPr>
                <w:lang w:val="nl-BE" w:eastAsia="fr-BE"/>
              </w:rPr>
              <w:t xml:space="preserve">; </w:t>
            </w:r>
          </w:p>
        </w:tc>
        <w:tc>
          <w:tcPr>
            <w:tcW w:w="4508" w:type="dxa"/>
          </w:tcPr>
          <w:p w14:paraId="68A24BF6" w14:textId="77777777" w:rsidR="009D034D" w:rsidRPr="00713331" w:rsidRDefault="009D034D" w:rsidP="00713331">
            <w:pPr>
              <w:numPr>
                <w:ilvl w:val="0"/>
                <w:numId w:val="36"/>
              </w:numPr>
              <w:rPr>
                <w:rFonts w:cs="Tahoma"/>
                <w:bCs/>
                <w:noProof/>
                <w:szCs w:val="20"/>
              </w:rPr>
            </w:pPr>
            <w:proofErr w:type="gramStart"/>
            <w:r w:rsidRPr="00713331">
              <w:rPr>
                <w:lang w:eastAsia="fr-BE"/>
              </w:rPr>
              <w:t>les</w:t>
            </w:r>
            <w:proofErr w:type="gramEnd"/>
            <w:r w:rsidRPr="00713331">
              <w:rPr>
                <w:lang w:eastAsia="fr-BE"/>
              </w:rPr>
              <w:t xml:space="preserve"> équipements réseaux (commutateurs et routeurs) interconnectant les équipements de la partie centrale du réseau ;</w:t>
            </w:r>
          </w:p>
        </w:tc>
      </w:tr>
      <w:tr w:rsidR="009D034D" w:rsidRPr="00713331" w14:paraId="1973862E" w14:textId="77777777" w:rsidTr="00DA32B7">
        <w:tc>
          <w:tcPr>
            <w:tcW w:w="4508" w:type="dxa"/>
          </w:tcPr>
          <w:p w14:paraId="4FBA6BA5" w14:textId="77777777" w:rsidR="009D034D" w:rsidRPr="00713331" w:rsidRDefault="009D034D" w:rsidP="00713331">
            <w:pPr>
              <w:ind w:left="720"/>
              <w:contextualSpacing/>
              <w:rPr>
                <w:rFonts w:cs="Tahoma"/>
                <w:sz w:val="24"/>
                <w:szCs w:val="20"/>
              </w:rPr>
            </w:pPr>
          </w:p>
        </w:tc>
        <w:tc>
          <w:tcPr>
            <w:tcW w:w="4508" w:type="dxa"/>
          </w:tcPr>
          <w:p w14:paraId="3DC06871" w14:textId="77777777" w:rsidR="009D034D" w:rsidRPr="00713331" w:rsidRDefault="009D034D" w:rsidP="00713331">
            <w:pPr>
              <w:ind w:left="720"/>
              <w:contextualSpacing/>
              <w:rPr>
                <w:rFonts w:cs="Tahoma"/>
                <w:sz w:val="24"/>
                <w:szCs w:val="20"/>
              </w:rPr>
            </w:pPr>
          </w:p>
        </w:tc>
      </w:tr>
      <w:tr w:rsidR="009D034D" w:rsidRPr="00713331" w14:paraId="62EC6335" w14:textId="77777777" w:rsidTr="00DA32B7">
        <w:tc>
          <w:tcPr>
            <w:tcW w:w="4508" w:type="dxa"/>
          </w:tcPr>
          <w:p w14:paraId="7FEF3EFD" w14:textId="77777777" w:rsidR="009D034D" w:rsidRPr="00713331" w:rsidRDefault="009D034D" w:rsidP="00713331">
            <w:pPr>
              <w:numPr>
                <w:ilvl w:val="0"/>
                <w:numId w:val="36"/>
              </w:numPr>
              <w:rPr>
                <w:rFonts w:cs="Tahoma"/>
                <w:bCs/>
                <w:noProof/>
                <w:szCs w:val="20"/>
                <w:lang w:val="nl-BE"/>
              </w:rPr>
            </w:pPr>
            <w:proofErr w:type="gramStart"/>
            <w:r w:rsidRPr="00713331">
              <w:rPr>
                <w:lang w:val="nl-BE" w:eastAsia="fr-BE"/>
              </w:rPr>
              <w:t>de</w:t>
            </w:r>
            <w:proofErr w:type="gramEnd"/>
            <w:r w:rsidRPr="00713331">
              <w:rPr>
                <w:lang w:val="nl-BE" w:eastAsia="fr-BE"/>
              </w:rPr>
              <w:t xml:space="preserve"> elementen gebruikt voor het beheer, de configuratie of de monitoring van de elementen van het centrale deel van het netwerk; </w:t>
            </w:r>
          </w:p>
        </w:tc>
        <w:tc>
          <w:tcPr>
            <w:tcW w:w="4508" w:type="dxa"/>
          </w:tcPr>
          <w:p w14:paraId="18507D87" w14:textId="77777777" w:rsidR="009D034D" w:rsidRPr="00713331" w:rsidRDefault="009D034D" w:rsidP="00713331">
            <w:pPr>
              <w:numPr>
                <w:ilvl w:val="0"/>
                <w:numId w:val="37"/>
              </w:numPr>
              <w:rPr>
                <w:rFonts w:cs="Tahoma"/>
                <w:bCs/>
                <w:noProof/>
                <w:szCs w:val="20"/>
              </w:rPr>
            </w:pPr>
            <w:proofErr w:type="gramStart"/>
            <w:r w:rsidRPr="00713331">
              <w:rPr>
                <w:lang w:eastAsia="fr-BE"/>
              </w:rPr>
              <w:t>les</w:t>
            </w:r>
            <w:proofErr w:type="gramEnd"/>
            <w:r w:rsidRPr="00713331">
              <w:rPr>
                <w:lang w:eastAsia="fr-BE"/>
              </w:rPr>
              <w:t xml:space="preserve"> éléments utilisés pour la gestion, la configuration ou la surveillance des éléments de la partie centrale du réseau ;</w:t>
            </w:r>
          </w:p>
        </w:tc>
      </w:tr>
      <w:tr w:rsidR="009D034D" w:rsidRPr="00713331" w14:paraId="4A4AB8D4" w14:textId="77777777" w:rsidTr="00DA32B7">
        <w:tc>
          <w:tcPr>
            <w:tcW w:w="4508" w:type="dxa"/>
          </w:tcPr>
          <w:p w14:paraId="21A6C6D1" w14:textId="77777777" w:rsidR="009D034D" w:rsidRPr="00713331" w:rsidRDefault="009D034D" w:rsidP="00713331">
            <w:pPr>
              <w:ind w:left="720"/>
              <w:contextualSpacing/>
              <w:rPr>
                <w:rFonts w:cs="Tahoma"/>
                <w:sz w:val="24"/>
                <w:szCs w:val="20"/>
              </w:rPr>
            </w:pPr>
          </w:p>
        </w:tc>
        <w:tc>
          <w:tcPr>
            <w:tcW w:w="4508" w:type="dxa"/>
          </w:tcPr>
          <w:p w14:paraId="1625FC3F" w14:textId="77777777" w:rsidR="009D034D" w:rsidRPr="00713331" w:rsidRDefault="009D034D" w:rsidP="00713331">
            <w:pPr>
              <w:ind w:left="720"/>
              <w:contextualSpacing/>
              <w:rPr>
                <w:rFonts w:cs="Tahoma"/>
                <w:sz w:val="24"/>
                <w:szCs w:val="20"/>
              </w:rPr>
            </w:pPr>
          </w:p>
        </w:tc>
      </w:tr>
      <w:tr w:rsidR="009D034D" w:rsidRPr="00713331" w14:paraId="50C1BC54" w14:textId="77777777" w:rsidTr="00DA32B7">
        <w:tc>
          <w:tcPr>
            <w:tcW w:w="4508" w:type="dxa"/>
          </w:tcPr>
          <w:p w14:paraId="2FA182D8" w14:textId="77777777" w:rsidR="009D034D" w:rsidRPr="00713331" w:rsidRDefault="009D034D" w:rsidP="00713331">
            <w:pPr>
              <w:pStyle w:val="ListParagraph"/>
              <w:numPr>
                <w:ilvl w:val="0"/>
                <w:numId w:val="37"/>
              </w:numPr>
              <w:rPr>
                <w:rFonts w:cs="Tahoma"/>
                <w:lang w:val="nl-BE"/>
              </w:rPr>
            </w:pPr>
            <w:r w:rsidRPr="00713331">
              <w:rPr>
                <w:lang w:val="nl-BE"/>
              </w:rPr>
              <w:t>alle elementen gebruikt voor de onderschepping van inhoud van communicatie, teneinde een verzoek vanwege een gerechtelijke autoriteit of inlichtingen- of veiligheidsdiensten te vervullen;</w:t>
            </w:r>
          </w:p>
        </w:tc>
        <w:tc>
          <w:tcPr>
            <w:tcW w:w="4508" w:type="dxa"/>
          </w:tcPr>
          <w:p w14:paraId="62256C89" w14:textId="77777777" w:rsidR="009D034D" w:rsidRPr="00713331" w:rsidRDefault="009D034D" w:rsidP="00713331">
            <w:pPr>
              <w:pStyle w:val="ListParagraph"/>
              <w:numPr>
                <w:ilvl w:val="0"/>
                <w:numId w:val="39"/>
              </w:numPr>
              <w:rPr>
                <w:rFonts w:cs="Tahoma"/>
              </w:rPr>
            </w:pPr>
            <w:r w:rsidRPr="00713331">
              <w:t>tous les éléments utilisés pour réaliser une interception du contenu des communications, afin de se conformer à une demande des autorités judiciaires ou des services de renseignement ou de sécurité ;</w:t>
            </w:r>
          </w:p>
        </w:tc>
      </w:tr>
      <w:tr w:rsidR="009D034D" w:rsidRPr="00713331" w14:paraId="2CE3A2C8" w14:textId="77777777" w:rsidTr="00DA32B7">
        <w:tc>
          <w:tcPr>
            <w:tcW w:w="4508" w:type="dxa"/>
          </w:tcPr>
          <w:p w14:paraId="3362C652" w14:textId="77777777" w:rsidR="009D034D" w:rsidRPr="00713331" w:rsidRDefault="009D034D" w:rsidP="00713331">
            <w:pPr>
              <w:ind w:left="720"/>
              <w:contextualSpacing/>
              <w:rPr>
                <w:rFonts w:cs="Tahoma"/>
                <w:sz w:val="24"/>
                <w:szCs w:val="20"/>
              </w:rPr>
            </w:pPr>
          </w:p>
        </w:tc>
        <w:tc>
          <w:tcPr>
            <w:tcW w:w="4508" w:type="dxa"/>
          </w:tcPr>
          <w:p w14:paraId="6F5F0F87" w14:textId="77777777" w:rsidR="009D034D" w:rsidRPr="00713331" w:rsidRDefault="009D034D" w:rsidP="00713331">
            <w:pPr>
              <w:ind w:left="720"/>
              <w:contextualSpacing/>
              <w:rPr>
                <w:rFonts w:cs="Tahoma"/>
                <w:sz w:val="24"/>
                <w:szCs w:val="20"/>
              </w:rPr>
            </w:pPr>
          </w:p>
        </w:tc>
      </w:tr>
      <w:tr w:rsidR="009D034D" w:rsidRPr="00713331" w14:paraId="0C9EBF98" w14:textId="77777777" w:rsidTr="00DA32B7">
        <w:tc>
          <w:tcPr>
            <w:tcW w:w="4508" w:type="dxa"/>
          </w:tcPr>
          <w:p w14:paraId="33E8AC7F" w14:textId="77777777" w:rsidR="009D034D" w:rsidRPr="00713331" w:rsidRDefault="009D034D" w:rsidP="00713331">
            <w:pPr>
              <w:numPr>
                <w:ilvl w:val="0"/>
                <w:numId w:val="39"/>
              </w:numPr>
              <w:rPr>
                <w:rFonts w:cs="Tahoma"/>
                <w:bCs/>
                <w:noProof/>
                <w:szCs w:val="20"/>
                <w:lang w:val="nl-BE"/>
              </w:rPr>
            </w:pPr>
            <w:proofErr w:type="gramStart"/>
            <w:r w:rsidRPr="00713331">
              <w:rPr>
                <w:lang w:val="nl-BE" w:eastAsia="fr-BE"/>
              </w:rPr>
              <w:t>elk</w:t>
            </w:r>
            <w:proofErr w:type="gramEnd"/>
            <w:r w:rsidRPr="00713331">
              <w:rPr>
                <w:lang w:val="nl-BE" w:eastAsia="fr-BE"/>
              </w:rPr>
              <w:t xml:space="preserve"> ander systeem dat gebruikmaakt van signalisatie-, configuratie- of beheerdata op voorwaarde dat het de configuratie van andere elementen van het centrale deel van het netwerk kan wijzigen;</w:t>
            </w:r>
          </w:p>
        </w:tc>
        <w:tc>
          <w:tcPr>
            <w:tcW w:w="4508" w:type="dxa"/>
          </w:tcPr>
          <w:p w14:paraId="002E55D0" w14:textId="77777777" w:rsidR="009D034D" w:rsidRPr="00713331" w:rsidRDefault="009D034D" w:rsidP="00713331">
            <w:pPr>
              <w:numPr>
                <w:ilvl w:val="0"/>
                <w:numId w:val="38"/>
              </w:numPr>
              <w:rPr>
                <w:rFonts w:cs="Tahoma"/>
                <w:bCs/>
                <w:noProof/>
                <w:szCs w:val="20"/>
              </w:rPr>
            </w:pPr>
            <w:proofErr w:type="gramStart"/>
            <w:r w:rsidRPr="00713331">
              <w:rPr>
                <w:lang w:eastAsia="fr-BE"/>
              </w:rPr>
              <w:t>tout</w:t>
            </w:r>
            <w:proofErr w:type="gramEnd"/>
            <w:r w:rsidRPr="00713331">
              <w:rPr>
                <w:lang w:eastAsia="fr-BE"/>
              </w:rPr>
              <w:t xml:space="preserve"> autre système utilisant des données de signalisation, de configuration ou de gestion  pour autant qu’il puisse modifier la configuration d’autres éléments de la partie centrale du réseau ;</w:t>
            </w:r>
          </w:p>
        </w:tc>
      </w:tr>
    </w:tbl>
    <w:p w14:paraId="4128D215" w14:textId="336101E3" w:rsidR="009D034D" w:rsidRPr="00713331" w:rsidRDefault="009D034D" w:rsidP="00713331">
      <w:pPr>
        <w:pStyle w:val="Numberednormal"/>
        <w:numPr>
          <w:ilvl w:val="0"/>
          <w:numId w:val="6"/>
        </w:numPr>
        <w:rPr>
          <w:rStyle w:val="cf01"/>
          <w:rFonts w:ascii="Tahoma" w:hAnsi="Tahoma" w:cs="Tahoma"/>
          <w:sz w:val="20"/>
          <w:szCs w:val="20"/>
        </w:rPr>
      </w:pPr>
      <w:r w:rsidRPr="00713331">
        <w:rPr>
          <w:rStyle w:val="cf01"/>
          <w:rFonts w:ascii="Tahoma" w:hAnsi="Tahoma"/>
          <w:sz w:val="20"/>
        </w:rPr>
        <w:t>Le réseau de synchronisation peut tomber sous l’article 1</w:t>
      </w:r>
      <w:r w:rsidRPr="00713331">
        <w:rPr>
          <w:rStyle w:val="cf01"/>
          <w:rFonts w:ascii="Tahoma" w:hAnsi="Tahoma"/>
          <w:sz w:val="20"/>
          <w:vertAlign w:val="superscript"/>
        </w:rPr>
        <w:t>er</w:t>
      </w:r>
      <w:r w:rsidRPr="00713331">
        <w:rPr>
          <w:rStyle w:val="cf01"/>
          <w:rFonts w:ascii="Tahoma" w:hAnsi="Tahoma"/>
          <w:sz w:val="20"/>
        </w:rPr>
        <w:t xml:space="preserve">, 4°, b) et 7°, b) de l’AR autorisations :  </w:t>
      </w:r>
    </w:p>
    <w:tbl>
      <w:tblPr>
        <w:tblStyle w:val="TableGrid"/>
        <w:tblW w:w="0" w:type="auto"/>
        <w:tblLayout w:type="fixed"/>
        <w:tblLook w:val="04A0" w:firstRow="1" w:lastRow="0" w:firstColumn="1" w:lastColumn="0" w:noHBand="0" w:noVBand="1"/>
      </w:tblPr>
      <w:tblGrid>
        <w:gridCol w:w="4508"/>
        <w:gridCol w:w="4508"/>
      </w:tblGrid>
      <w:tr w:rsidR="009D034D" w:rsidRPr="00713331" w14:paraId="42B39A78" w14:textId="77777777" w:rsidTr="00DA32B7">
        <w:tc>
          <w:tcPr>
            <w:tcW w:w="4508" w:type="dxa"/>
          </w:tcPr>
          <w:p w14:paraId="561049C2" w14:textId="77777777" w:rsidR="009D034D" w:rsidRPr="00713331" w:rsidRDefault="009D034D" w:rsidP="00713331">
            <w:pPr>
              <w:rPr>
                <w:rFonts w:cs="Tahoma"/>
                <w:szCs w:val="20"/>
                <w:lang w:val="nl-BE"/>
              </w:rPr>
            </w:pPr>
            <w:r w:rsidRPr="00713331">
              <w:rPr>
                <w:lang w:val="nl-BE"/>
              </w:rPr>
              <w:t xml:space="preserve">4° “radiotoegangsnetwerk”: het deel van een 5G-netwerk dat de elementen omvat die beantwoorden aan minstens één van de volgende criteria: </w:t>
            </w:r>
          </w:p>
        </w:tc>
        <w:tc>
          <w:tcPr>
            <w:tcW w:w="4508" w:type="dxa"/>
          </w:tcPr>
          <w:p w14:paraId="49EA75BC" w14:textId="77777777" w:rsidR="009D034D" w:rsidRPr="00713331" w:rsidRDefault="009D034D" w:rsidP="00713331">
            <w:pPr>
              <w:rPr>
                <w:rFonts w:cs="Tahoma"/>
                <w:szCs w:val="20"/>
              </w:rPr>
            </w:pPr>
            <w:r w:rsidRPr="00713331">
              <w:t>4° « réseau d’accès </w:t>
            </w:r>
            <w:proofErr w:type="gramStart"/>
            <w:r w:rsidRPr="00713331">
              <w:t>radioélectrique»</w:t>
            </w:r>
            <w:proofErr w:type="gramEnd"/>
            <w:r w:rsidRPr="00713331">
              <w:t> : la partie d’un réseau 5G qui comprend les éléments qui répondent à au moins un des critères suivants :</w:t>
            </w:r>
          </w:p>
        </w:tc>
      </w:tr>
      <w:tr w:rsidR="009D034D" w:rsidRPr="00713331" w14:paraId="3E040BAC" w14:textId="77777777" w:rsidTr="00DA32B7">
        <w:tc>
          <w:tcPr>
            <w:tcW w:w="4508" w:type="dxa"/>
          </w:tcPr>
          <w:p w14:paraId="7F39BA04" w14:textId="77777777" w:rsidR="009D034D" w:rsidRPr="00713331" w:rsidRDefault="009D034D" w:rsidP="00713331">
            <w:pPr>
              <w:rPr>
                <w:rFonts w:cs="Tahoma"/>
                <w:szCs w:val="20"/>
              </w:rPr>
            </w:pPr>
          </w:p>
        </w:tc>
        <w:tc>
          <w:tcPr>
            <w:tcW w:w="4508" w:type="dxa"/>
          </w:tcPr>
          <w:p w14:paraId="64A23625" w14:textId="77777777" w:rsidR="009D034D" w:rsidRPr="00713331" w:rsidRDefault="009D034D" w:rsidP="00713331">
            <w:pPr>
              <w:rPr>
                <w:rFonts w:cs="Tahoma"/>
                <w:szCs w:val="20"/>
              </w:rPr>
            </w:pPr>
          </w:p>
        </w:tc>
      </w:tr>
      <w:tr w:rsidR="009D034D" w:rsidRPr="00713331" w14:paraId="348CA2B8" w14:textId="77777777" w:rsidTr="00DA32B7">
        <w:tc>
          <w:tcPr>
            <w:tcW w:w="4508" w:type="dxa"/>
          </w:tcPr>
          <w:p w14:paraId="3C40A458" w14:textId="77777777" w:rsidR="009D034D" w:rsidRPr="00713331" w:rsidRDefault="009D034D" w:rsidP="00713331">
            <w:pPr>
              <w:numPr>
                <w:ilvl w:val="0"/>
                <w:numId w:val="44"/>
              </w:numPr>
              <w:rPr>
                <w:rFonts w:cs="Tahoma"/>
                <w:szCs w:val="20"/>
                <w:lang w:val="nl-BE"/>
              </w:rPr>
            </w:pPr>
            <w:proofErr w:type="gramStart"/>
            <w:r w:rsidRPr="00713331">
              <w:rPr>
                <w:lang w:val="nl-BE"/>
              </w:rPr>
              <w:t>het</w:t>
            </w:r>
            <w:proofErr w:type="gramEnd"/>
            <w:r w:rsidRPr="00713331">
              <w:rPr>
                <w:lang w:val="nl-BE"/>
              </w:rPr>
              <w:t xml:space="preserve"> geheel van de elementen van een basisstation;</w:t>
            </w:r>
          </w:p>
        </w:tc>
        <w:tc>
          <w:tcPr>
            <w:tcW w:w="4508" w:type="dxa"/>
          </w:tcPr>
          <w:p w14:paraId="16ED9C2A" w14:textId="77777777" w:rsidR="009D034D" w:rsidRPr="00713331" w:rsidRDefault="009D034D" w:rsidP="00713331">
            <w:pPr>
              <w:numPr>
                <w:ilvl w:val="0"/>
                <w:numId w:val="45"/>
              </w:numPr>
              <w:contextualSpacing/>
              <w:jc w:val="left"/>
              <w:rPr>
                <w:rFonts w:cs="Tahoma"/>
                <w:szCs w:val="20"/>
              </w:rPr>
            </w:pPr>
            <w:bookmarkStart w:id="3" w:name="_Hlk48309319"/>
            <w:proofErr w:type="gramStart"/>
            <w:r w:rsidRPr="00713331">
              <w:t>l’ensemble</w:t>
            </w:r>
            <w:proofErr w:type="gramEnd"/>
            <w:r w:rsidRPr="00713331">
              <w:t xml:space="preserve"> des éléments d’une station de base ;</w:t>
            </w:r>
            <w:bookmarkEnd w:id="3"/>
          </w:p>
        </w:tc>
      </w:tr>
      <w:tr w:rsidR="009D034D" w:rsidRPr="00713331" w14:paraId="6A5DEB93" w14:textId="77777777" w:rsidTr="00DA32B7">
        <w:tc>
          <w:tcPr>
            <w:tcW w:w="4508" w:type="dxa"/>
          </w:tcPr>
          <w:p w14:paraId="124B2DCF" w14:textId="77777777" w:rsidR="009D034D" w:rsidRPr="00713331" w:rsidRDefault="009D034D" w:rsidP="00713331">
            <w:pPr>
              <w:rPr>
                <w:rFonts w:cs="Tahoma"/>
                <w:szCs w:val="20"/>
              </w:rPr>
            </w:pPr>
          </w:p>
        </w:tc>
        <w:tc>
          <w:tcPr>
            <w:tcW w:w="4508" w:type="dxa"/>
          </w:tcPr>
          <w:p w14:paraId="6929242E" w14:textId="77777777" w:rsidR="009D034D" w:rsidRPr="00713331" w:rsidRDefault="009D034D" w:rsidP="00713331">
            <w:pPr>
              <w:rPr>
                <w:rFonts w:cs="Tahoma"/>
                <w:szCs w:val="20"/>
              </w:rPr>
            </w:pPr>
          </w:p>
        </w:tc>
      </w:tr>
      <w:tr w:rsidR="009D034D" w:rsidRPr="00713331" w14:paraId="2A482414" w14:textId="77777777" w:rsidTr="00DA32B7">
        <w:tc>
          <w:tcPr>
            <w:tcW w:w="4508" w:type="dxa"/>
          </w:tcPr>
          <w:p w14:paraId="302351B3" w14:textId="77777777" w:rsidR="009D034D" w:rsidRPr="00713331" w:rsidRDefault="009D034D" w:rsidP="00713331">
            <w:pPr>
              <w:numPr>
                <w:ilvl w:val="0"/>
                <w:numId w:val="45"/>
              </w:numPr>
              <w:rPr>
                <w:rFonts w:cs="Tahoma"/>
                <w:szCs w:val="20"/>
                <w:lang w:val="nl-BE"/>
              </w:rPr>
            </w:pPr>
            <w:proofErr w:type="gramStart"/>
            <w:r w:rsidRPr="00713331">
              <w:rPr>
                <w:lang w:val="nl-BE"/>
              </w:rPr>
              <w:t>de</w:t>
            </w:r>
            <w:proofErr w:type="gramEnd"/>
            <w:r w:rsidRPr="00713331">
              <w:rPr>
                <w:lang w:val="nl-BE"/>
              </w:rPr>
              <w:t xml:space="preserve"> elementen gebruikt voor de indienststelling, het beheer, de configuratie of de monitoring van een basisstation;</w:t>
            </w:r>
          </w:p>
        </w:tc>
        <w:tc>
          <w:tcPr>
            <w:tcW w:w="4508" w:type="dxa"/>
          </w:tcPr>
          <w:p w14:paraId="56021E10" w14:textId="77777777" w:rsidR="009D034D" w:rsidRPr="00713331" w:rsidRDefault="009D034D" w:rsidP="00713331">
            <w:pPr>
              <w:numPr>
                <w:ilvl w:val="0"/>
                <w:numId w:val="46"/>
              </w:numPr>
              <w:contextualSpacing/>
              <w:rPr>
                <w:rFonts w:cs="Tahoma"/>
                <w:szCs w:val="20"/>
              </w:rPr>
            </w:pPr>
            <w:proofErr w:type="gramStart"/>
            <w:r w:rsidRPr="00713331">
              <w:t>les</w:t>
            </w:r>
            <w:proofErr w:type="gramEnd"/>
            <w:r w:rsidRPr="00713331">
              <w:t xml:space="preserve"> éléments utilisés pour la mise en œuvre, la gestion, la configuration ou la supervision d’une station de base ;</w:t>
            </w:r>
          </w:p>
        </w:tc>
      </w:tr>
    </w:tbl>
    <w:p w14:paraId="2C9CEC0F" w14:textId="77777777" w:rsidR="009D034D" w:rsidRPr="00713331" w:rsidRDefault="009D034D" w:rsidP="00713331">
      <w:pPr>
        <w:pStyle w:val="Numberednormal"/>
        <w:numPr>
          <w:ilvl w:val="0"/>
          <w:numId w:val="0"/>
        </w:numPr>
        <w:ind w:left="360" w:hanging="360"/>
        <w:rPr>
          <w:rStyle w:val="cf01"/>
          <w:rFonts w:ascii="Tahoma" w:hAnsi="Tahoma" w:cs="Tahoma"/>
          <w:sz w:val="20"/>
          <w:szCs w:val="20"/>
        </w:rPr>
      </w:pPr>
    </w:p>
    <w:tbl>
      <w:tblPr>
        <w:tblStyle w:val="TableGrid"/>
        <w:tblW w:w="0" w:type="auto"/>
        <w:tblLayout w:type="fixed"/>
        <w:tblLook w:val="04A0" w:firstRow="1" w:lastRow="0" w:firstColumn="1" w:lastColumn="0" w:noHBand="0" w:noVBand="1"/>
      </w:tblPr>
      <w:tblGrid>
        <w:gridCol w:w="4508"/>
        <w:gridCol w:w="4508"/>
      </w:tblGrid>
      <w:tr w:rsidR="009D034D" w:rsidRPr="00713331" w14:paraId="518F924A" w14:textId="77777777" w:rsidTr="00DA32B7">
        <w:tc>
          <w:tcPr>
            <w:tcW w:w="4508" w:type="dxa"/>
          </w:tcPr>
          <w:p w14:paraId="1B18B84B" w14:textId="77777777" w:rsidR="009D034D" w:rsidRPr="00713331" w:rsidRDefault="009D034D" w:rsidP="00713331">
            <w:pPr>
              <w:rPr>
                <w:rFonts w:eastAsia="Calibri" w:cs="Tahoma"/>
                <w:szCs w:val="20"/>
                <w:lang w:val="nl-BE"/>
              </w:rPr>
            </w:pPr>
            <w:r w:rsidRPr="00713331">
              <w:rPr>
                <w:lang w:val="nl-BE"/>
              </w:rPr>
              <w:t>7° “transportnetwerk”: het deel van een 5G-netwerk dat bestaat uit de backbone en het aggregatienetwerk (“</w:t>
            </w:r>
            <w:proofErr w:type="spellStart"/>
            <w:r w:rsidRPr="00713331">
              <w:rPr>
                <w:lang w:val="nl-BE"/>
              </w:rPr>
              <w:t>backhaul</w:t>
            </w:r>
            <w:proofErr w:type="spellEnd"/>
            <w:r w:rsidRPr="00713331">
              <w:rPr>
                <w:lang w:val="nl-BE"/>
              </w:rPr>
              <w:t>”) en dat de elementen omvat die beantwoorden aan minstens één van de volgende criteria:</w:t>
            </w:r>
          </w:p>
        </w:tc>
        <w:tc>
          <w:tcPr>
            <w:tcW w:w="4508" w:type="dxa"/>
          </w:tcPr>
          <w:p w14:paraId="1E62DB9B" w14:textId="77777777" w:rsidR="009D034D" w:rsidRPr="00713331" w:rsidRDefault="009D034D" w:rsidP="00713331">
            <w:pPr>
              <w:rPr>
                <w:rFonts w:eastAsia="Calibri" w:cs="Tahoma"/>
                <w:szCs w:val="20"/>
              </w:rPr>
            </w:pPr>
            <w:r w:rsidRPr="00713331">
              <w:t>7° « réseau de transport » : la partie d’un réseau 5G qui se compose de la dorsale (« backbone ») et du réseau d’agrégation (« </w:t>
            </w:r>
            <w:proofErr w:type="spellStart"/>
            <w:r w:rsidRPr="00713331">
              <w:t>backhaul</w:t>
            </w:r>
            <w:proofErr w:type="spellEnd"/>
            <w:r w:rsidRPr="00713331">
              <w:t> ») et qui comprend les éléments qui répondent à au moins un des critères suivants :</w:t>
            </w:r>
          </w:p>
        </w:tc>
      </w:tr>
      <w:tr w:rsidR="009D034D" w:rsidRPr="00713331" w14:paraId="7FB09DB7" w14:textId="77777777" w:rsidTr="00DA32B7">
        <w:tc>
          <w:tcPr>
            <w:tcW w:w="4508" w:type="dxa"/>
          </w:tcPr>
          <w:p w14:paraId="0BEBF794" w14:textId="77777777" w:rsidR="009D034D" w:rsidRPr="00713331" w:rsidRDefault="009D034D" w:rsidP="00713331">
            <w:pPr>
              <w:rPr>
                <w:rFonts w:cs="Tahoma"/>
                <w:szCs w:val="20"/>
              </w:rPr>
            </w:pPr>
          </w:p>
        </w:tc>
        <w:tc>
          <w:tcPr>
            <w:tcW w:w="4508" w:type="dxa"/>
          </w:tcPr>
          <w:p w14:paraId="7685A24F" w14:textId="77777777" w:rsidR="009D034D" w:rsidRPr="00713331" w:rsidRDefault="009D034D" w:rsidP="00713331">
            <w:pPr>
              <w:rPr>
                <w:rFonts w:cs="Tahoma"/>
                <w:szCs w:val="20"/>
              </w:rPr>
            </w:pPr>
          </w:p>
        </w:tc>
      </w:tr>
      <w:tr w:rsidR="009D034D" w:rsidRPr="00713331" w14:paraId="23333DF8" w14:textId="77777777" w:rsidTr="00DA32B7">
        <w:tc>
          <w:tcPr>
            <w:tcW w:w="4508" w:type="dxa"/>
          </w:tcPr>
          <w:p w14:paraId="359F80C6" w14:textId="77777777" w:rsidR="009D034D" w:rsidRPr="00713331" w:rsidRDefault="009D034D" w:rsidP="00713331">
            <w:pPr>
              <w:numPr>
                <w:ilvl w:val="0"/>
                <w:numId w:val="41"/>
              </w:numPr>
              <w:tabs>
                <w:tab w:val="left" w:pos="708"/>
              </w:tabs>
              <w:rPr>
                <w:rFonts w:cs="Tahoma"/>
                <w:bCs/>
                <w:noProof/>
                <w:szCs w:val="20"/>
                <w:lang w:val="nl-BE"/>
              </w:rPr>
            </w:pPr>
            <w:proofErr w:type="gramStart"/>
            <w:r w:rsidRPr="00713331">
              <w:rPr>
                <w:lang w:val="nl-BE" w:eastAsia="fr-BE"/>
              </w:rPr>
              <w:t>de</w:t>
            </w:r>
            <w:proofErr w:type="gramEnd"/>
            <w:r w:rsidRPr="00713331">
              <w:rPr>
                <w:lang w:val="nl-BE" w:eastAsia="fr-BE"/>
              </w:rPr>
              <w:t xml:space="preserve"> elementen die zorgen voor de transmissie van signalen tussen sites van het radiotoegangsnetwerk en elementen van het centrale deel van het netwerk, tussen verschillende sites van het radiotoegangsnetwerk of tussen verschillende elementen van het centrale deel van het netwerk;</w:t>
            </w:r>
          </w:p>
        </w:tc>
        <w:tc>
          <w:tcPr>
            <w:tcW w:w="4508" w:type="dxa"/>
          </w:tcPr>
          <w:p w14:paraId="431BF92E" w14:textId="77777777" w:rsidR="009D034D" w:rsidRPr="00713331" w:rsidRDefault="009D034D" w:rsidP="00713331">
            <w:pPr>
              <w:numPr>
                <w:ilvl w:val="0"/>
                <w:numId w:val="42"/>
              </w:numPr>
              <w:rPr>
                <w:rFonts w:cs="Tahoma"/>
                <w:bCs/>
                <w:noProof/>
                <w:szCs w:val="20"/>
              </w:rPr>
            </w:pPr>
            <w:proofErr w:type="gramStart"/>
            <w:r w:rsidRPr="00713331">
              <w:rPr>
                <w:lang w:eastAsia="fr-BE"/>
              </w:rPr>
              <w:t>les</w:t>
            </w:r>
            <w:proofErr w:type="gramEnd"/>
            <w:r w:rsidRPr="00713331">
              <w:rPr>
                <w:lang w:eastAsia="fr-BE"/>
              </w:rPr>
              <w:t xml:space="preserve"> éléments qui assurent la transmission des signaux entre des sites du réseau d’accès radioélectrique et des éléments de la partie centrale du réseau, entre différents sites du réseau d’accès radioélectrique ou entre différents éléments de la partie centrale du réseau ; </w:t>
            </w:r>
          </w:p>
        </w:tc>
      </w:tr>
      <w:tr w:rsidR="009D034D" w:rsidRPr="00713331" w14:paraId="6A19F189" w14:textId="77777777" w:rsidTr="00DA32B7">
        <w:tc>
          <w:tcPr>
            <w:tcW w:w="4508" w:type="dxa"/>
          </w:tcPr>
          <w:p w14:paraId="7FDD07EA" w14:textId="77777777" w:rsidR="009D034D" w:rsidRPr="00713331" w:rsidRDefault="009D034D" w:rsidP="00713331">
            <w:pPr>
              <w:ind w:left="720"/>
              <w:contextualSpacing/>
              <w:rPr>
                <w:rFonts w:cs="Tahoma"/>
                <w:sz w:val="24"/>
                <w:szCs w:val="20"/>
              </w:rPr>
            </w:pPr>
          </w:p>
        </w:tc>
        <w:tc>
          <w:tcPr>
            <w:tcW w:w="4508" w:type="dxa"/>
          </w:tcPr>
          <w:p w14:paraId="5D859E62" w14:textId="77777777" w:rsidR="009D034D" w:rsidRPr="00713331" w:rsidRDefault="009D034D" w:rsidP="00713331">
            <w:pPr>
              <w:ind w:left="720"/>
              <w:contextualSpacing/>
              <w:rPr>
                <w:rFonts w:cs="Tahoma"/>
                <w:sz w:val="24"/>
                <w:szCs w:val="20"/>
              </w:rPr>
            </w:pPr>
          </w:p>
        </w:tc>
      </w:tr>
      <w:tr w:rsidR="009D034D" w:rsidRPr="00713331" w14:paraId="2E3AF67D" w14:textId="77777777" w:rsidTr="00DA32B7">
        <w:tc>
          <w:tcPr>
            <w:tcW w:w="4508" w:type="dxa"/>
          </w:tcPr>
          <w:p w14:paraId="0054101B" w14:textId="77777777" w:rsidR="009D034D" w:rsidRPr="00713331" w:rsidRDefault="009D034D" w:rsidP="00713331">
            <w:pPr>
              <w:numPr>
                <w:ilvl w:val="0"/>
                <w:numId w:val="42"/>
              </w:numPr>
              <w:tabs>
                <w:tab w:val="left" w:pos="708"/>
              </w:tabs>
              <w:rPr>
                <w:rFonts w:cs="Tahoma"/>
                <w:bCs/>
                <w:noProof/>
                <w:szCs w:val="20"/>
                <w:lang w:val="nl-BE"/>
              </w:rPr>
            </w:pPr>
            <w:proofErr w:type="gramStart"/>
            <w:r w:rsidRPr="00713331">
              <w:rPr>
                <w:lang w:val="nl-BE" w:eastAsia="fr-BE"/>
              </w:rPr>
              <w:t>de</w:t>
            </w:r>
            <w:proofErr w:type="gramEnd"/>
            <w:r w:rsidRPr="00713331">
              <w:rPr>
                <w:lang w:val="nl-BE" w:eastAsia="fr-BE"/>
              </w:rPr>
              <w:t xml:space="preserve"> elementen gebruikt voor de indienststelling, het beheer, de configuratie of de monitoring van de elementen van het </w:t>
            </w:r>
            <w:proofErr w:type="spellStart"/>
            <w:r w:rsidRPr="00713331">
              <w:rPr>
                <w:lang w:val="nl-BE" w:eastAsia="fr-BE"/>
              </w:rPr>
              <w:t>transportsnetwerk</w:t>
            </w:r>
            <w:proofErr w:type="spellEnd"/>
            <w:r w:rsidRPr="00713331">
              <w:rPr>
                <w:lang w:val="nl-BE" w:eastAsia="fr-BE"/>
              </w:rPr>
              <w:t>;</w:t>
            </w:r>
          </w:p>
        </w:tc>
        <w:tc>
          <w:tcPr>
            <w:tcW w:w="4508" w:type="dxa"/>
          </w:tcPr>
          <w:p w14:paraId="33FA8E89" w14:textId="77777777" w:rsidR="009D034D" w:rsidRPr="00713331" w:rsidRDefault="009D034D" w:rsidP="00713331">
            <w:pPr>
              <w:numPr>
                <w:ilvl w:val="0"/>
                <w:numId w:val="43"/>
              </w:numPr>
              <w:rPr>
                <w:rFonts w:cs="Tahoma"/>
                <w:bCs/>
                <w:noProof/>
                <w:szCs w:val="20"/>
              </w:rPr>
            </w:pPr>
            <w:proofErr w:type="gramStart"/>
            <w:r w:rsidRPr="00713331">
              <w:rPr>
                <w:lang w:eastAsia="fr-BE"/>
              </w:rPr>
              <w:t>les</w:t>
            </w:r>
            <w:proofErr w:type="gramEnd"/>
            <w:r w:rsidRPr="00713331">
              <w:rPr>
                <w:lang w:eastAsia="fr-BE"/>
              </w:rPr>
              <w:t xml:space="preserve"> éléments utilisés pour la mise en œuvre, la gestion, la configuration ou la supervision des éléments du réseau transport ;</w:t>
            </w:r>
          </w:p>
        </w:tc>
      </w:tr>
    </w:tbl>
    <w:p w14:paraId="270EDDAC" w14:textId="77777777" w:rsidR="009D034D" w:rsidRPr="00713331" w:rsidRDefault="009D034D" w:rsidP="00713331">
      <w:pPr>
        <w:pStyle w:val="Numberednormal"/>
        <w:numPr>
          <w:ilvl w:val="0"/>
          <w:numId w:val="0"/>
        </w:numPr>
        <w:ind w:left="360" w:hanging="360"/>
        <w:rPr>
          <w:rFonts w:cs="Tahoma"/>
          <w:szCs w:val="20"/>
        </w:rPr>
      </w:pPr>
    </w:p>
    <w:p w14:paraId="005AD52C" w14:textId="3F874D70" w:rsidR="009D034D" w:rsidRPr="00713331" w:rsidRDefault="009D034D" w:rsidP="00713331">
      <w:pPr>
        <w:pStyle w:val="Numberednormal"/>
        <w:numPr>
          <w:ilvl w:val="0"/>
          <w:numId w:val="6"/>
        </w:numPr>
        <w:rPr>
          <w:rStyle w:val="cf01"/>
          <w:rFonts w:ascii="Tahoma" w:hAnsi="Tahoma" w:cs="Tahoma"/>
          <w:sz w:val="20"/>
          <w:szCs w:val="20"/>
        </w:rPr>
      </w:pPr>
      <w:r w:rsidRPr="00713331">
        <w:rPr>
          <w:rStyle w:val="cf01"/>
          <w:rFonts w:ascii="Tahoma" w:hAnsi="Tahoma"/>
          <w:sz w:val="20"/>
        </w:rPr>
        <w:t>Il appara</w:t>
      </w:r>
      <w:r w:rsidR="00255803" w:rsidRPr="00713331">
        <w:rPr>
          <w:rStyle w:val="cf01"/>
          <w:rFonts w:ascii="Tahoma" w:hAnsi="Tahoma"/>
          <w:sz w:val="20"/>
        </w:rPr>
        <w:t>î</w:t>
      </w:r>
      <w:r w:rsidRPr="00713331">
        <w:rPr>
          <w:rStyle w:val="cf01"/>
          <w:rFonts w:ascii="Tahoma" w:hAnsi="Tahoma"/>
          <w:sz w:val="20"/>
        </w:rPr>
        <w:t>t que la synchronisation joue un rôle croissant au niveau des radios d’un réseau 5G</w:t>
      </w:r>
      <w:r w:rsidRPr="00713331">
        <w:rPr>
          <w:rStyle w:val="FootnoteReference"/>
          <w:rFonts w:cs="Tahoma"/>
          <w:szCs w:val="20"/>
        </w:rPr>
        <w:footnoteReference w:id="1"/>
      </w:r>
      <w:r w:rsidRPr="00713331">
        <w:rPr>
          <w:rStyle w:val="cf01"/>
          <w:rFonts w:ascii="Tahoma" w:hAnsi="Tahoma"/>
          <w:sz w:val="20"/>
        </w:rPr>
        <w:t>.</w:t>
      </w:r>
    </w:p>
    <w:p w14:paraId="37B0A99D" w14:textId="77777777" w:rsidR="009D034D" w:rsidRPr="00713331" w:rsidRDefault="009D034D" w:rsidP="00713331">
      <w:pPr>
        <w:pStyle w:val="Heading1"/>
        <w:numPr>
          <w:ilvl w:val="0"/>
          <w:numId w:val="7"/>
        </w:numPr>
      </w:pPr>
      <w:bookmarkStart w:id="4" w:name="_Toc132804587"/>
      <w:bookmarkStart w:id="5" w:name="_Toc135085761"/>
      <w:r w:rsidRPr="00713331">
        <w:lastRenderedPageBreak/>
        <w:t>Réseaux privés mobiles</w:t>
      </w:r>
      <w:bookmarkEnd w:id="4"/>
      <w:bookmarkEnd w:id="5"/>
    </w:p>
    <w:p w14:paraId="0F67C175" w14:textId="77777777" w:rsidR="009D034D" w:rsidRPr="00713331" w:rsidRDefault="009D034D" w:rsidP="00713331"/>
    <w:tbl>
      <w:tblPr>
        <w:tblStyle w:val="TableGrid"/>
        <w:tblW w:w="0" w:type="auto"/>
        <w:tblLook w:val="04A0" w:firstRow="1" w:lastRow="0" w:firstColumn="1" w:lastColumn="0" w:noHBand="0" w:noVBand="1"/>
      </w:tblPr>
      <w:tblGrid>
        <w:gridCol w:w="4308"/>
        <w:gridCol w:w="4754"/>
      </w:tblGrid>
      <w:tr w:rsidR="009D034D" w:rsidRPr="00713331" w14:paraId="3FA40805" w14:textId="77777777" w:rsidTr="00DA32B7">
        <w:tc>
          <w:tcPr>
            <w:tcW w:w="4308" w:type="dxa"/>
          </w:tcPr>
          <w:p w14:paraId="1A756A11" w14:textId="77777777" w:rsidR="009D034D" w:rsidRPr="00713331" w:rsidRDefault="009D034D" w:rsidP="00713331">
            <w:pPr>
              <w:spacing w:after="160" w:line="256" w:lineRule="auto"/>
              <w:rPr>
                <w:rFonts w:cs="Tahoma"/>
                <w:b/>
                <w:bCs/>
                <w:szCs w:val="20"/>
                <w:u w:val="single"/>
              </w:rPr>
            </w:pPr>
            <w:r w:rsidRPr="00713331">
              <w:rPr>
                <w:b/>
                <w:u w:val="single"/>
              </w:rPr>
              <w:t>Question de l’opérateur X </w:t>
            </w:r>
          </w:p>
        </w:tc>
        <w:tc>
          <w:tcPr>
            <w:tcW w:w="4754" w:type="dxa"/>
          </w:tcPr>
          <w:p w14:paraId="2572C95F" w14:textId="77777777" w:rsidR="009D034D" w:rsidRPr="00713331" w:rsidRDefault="009D034D" w:rsidP="00713331">
            <w:pPr>
              <w:rPr>
                <w:rFonts w:cs="Tahoma"/>
                <w:b/>
                <w:bCs/>
                <w:szCs w:val="20"/>
                <w:u w:val="single"/>
              </w:rPr>
            </w:pPr>
            <w:r w:rsidRPr="00713331">
              <w:t xml:space="preserve"> </w:t>
            </w:r>
            <w:r w:rsidRPr="00713331">
              <w:rPr>
                <w:b/>
                <w:u w:val="single"/>
              </w:rPr>
              <w:t xml:space="preserve">Réponse de l’IBPT </w:t>
            </w:r>
          </w:p>
        </w:tc>
      </w:tr>
      <w:tr w:rsidR="009D034D" w:rsidRPr="00713331" w14:paraId="7676CC1F" w14:textId="77777777" w:rsidTr="00DA32B7">
        <w:tc>
          <w:tcPr>
            <w:tcW w:w="4308" w:type="dxa"/>
          </w:tcPr>
          <w:p w14:paraId="12D47EBC" w14:textId="77777777" w:rsidR="009D034D" w:rsidRPr="00713331" w:rsidRDefault="009D034D" w:rsidP="00713331">
            <w:pPr>
              <w:spacing w:after="160" w:line="256" w:lineRule="auto"/>
              <w:rPr>
                <w:rFonts w:cs="Tahoma"/>
                <w:szCs w:val="20"/>
              </w:rPr>
            </w:pPr>
            <w:r w:rsidRPr="00713331">
              <w:t xml:space="preserve">L'opérateur X est un fournisseur de réseaux privés mobiles et devrait, selon la loi, demander une approbation. </w:t>
            </w:r>
          </w:p>
          <w:p w14:paraId="7D0EC0BE" w14:textId="77777777" w:rsidR="009D034D" w:rsidRPr="00713331" w:rsidRDefault="009D034D" w:rsidP="00713331">
            <w:pPr>
              <w:spacing w:after="160" w:line="256" w:lineRule="auto"/>
              <w:rPr>
                <w:rFonts w:cs="Tahoma"/>
                <w:b/>
                <w:bCs/>
                <w:szCs w:val="20"/>
                <w:u w:val="single"/>
              </w:rPr>
            </w:pPr>
            <w:r w:rsidRPr="00713331">
              <w:t>La consultation ne fait aucune référence spécifique à l'approbation des réseaux privés mobiles (« MPN ») ni au cas où les composants du MPN sont installés et/ou gérés par différentes parties (par exemple, le MNO conjointement avec une entreprise ou une institution).</w:t>
            </w:r>
          </w:p>
        </w:tc>
        <w:tc>
          <w:tcPr>
            <w:tcW w:w="4754" w:type="dxa"/>
          </w:tcPr>
          <w:p w14:paraId="3A05400B" w14:textId="5B582B6C" w:rsidR="009D034D" w:rsidRPr="00713331" w:rsidRDefault="009D034D" w:rsidP="00713331">
            <w:pPr>
              <w:rPr>
                <w:rFonts w:cs="Tahoma"/>
                <w:szCs w:val="20"/>
              </w:rPr>
            </w:pPr>
          </w:p>
        </w:tc>
      </w:tr>
      <w:tr w:rsidR="009D034D" w:rsidRPr="00713331" w14:paraId="2EA94BC7" w14:textId="77777777" w:rsidTr="00DA32B7">
        <w:tc>
          <w:tcPr>
            <w:tcW w:w="4308" w:type="dxa"/>
          </w:tcPr>
          <w:p w14:paraId="4681B134" w14:textId="77777777" w:rsidR="009D034D" w:rsidRPr="00713331" w:rsidRDefault="009D034D" w:rsidP="00713331">
            <w:pPr>
              <w:rPr>
                <w:rFonts w:cs="Tahoma"/>
                <w:b/>
                <w:bCs/>
                <w:szCs w:val="20"/>
                <w:u w:val="single"/>
              </w:rPr>
            </w:pPr>
            <w:r w:rsidRPr="00713331">
              <w:t>5.1. L’IBPT peut-il préciser si des informations spécifiques sont requises pour la régularisation en tant que fournisseur MPN ?</w:t>
            </w:r>
          </w:p>
        </w:tc>
        <w:tc>
          <w:tcPr>
            <w:tcW w:w="4754" w:type="dxa"/>
          </w:tcPr>
          <w:p w14:paraId="7878001D" w14:textId="77777777" w:rsidR="009D034D" w:rsidRPr="00713331" w:rsidRDefault="009D034D" w:rsidP="00713331">
            <w:pPr>
              <w:rPr>
                <w:rFonts w:cs="Tahoma"/>
                <w:szCs w:val="20"/>
              </w:rPr>
            </w:pPr>
            <w:r w:rsidRPr="00713331">
              <w:t xml:space="preserve">Des informations spécifiques ne doivent pas être ajoutées dans le dossier soumis à l’IBPT. </w:t>
            </w:r>
          </w:p>
        </w:tc>
      </w:tr>
      <w:tr w:rsidR="009D034D" w:rsidRPr="00713331" w14:paraId="4B60AC12" w14:textId="77777777" w:rsidTr="00DA32B7">
        <w:tc>
          <w:tcPr>
            <w:tcW w:w="4308" w:type="dxa"/>
          </w:tcPr>
          <w:p w14:paraId="2FCCD2DB" w14:textId="77777777" w:rsidR="009D034D" w:rsidRPr="00713331" w:rsidRDefault="009D034D" w:rsidP="00713331">
            <w:pPr>
              <w:spacing w:line="256" w:lineRule="auto"/>
              <w:rPr>
                <w:rFonts w:cs="Tahoma"/>
                <w:szCs w:val="20"/>
              </w:rPr>
            </w:pPr>
            <w:r w:rsidRPr="00713331">
              <w:t>5.2. L’opérateur X ne sait pas lesquels de ses clients MPN sont soumis à la régulation NIS. En principe, l’opérateur X demandera une approbation générale en tant que fournisseur MPN indépendamment des clients utilisant ses services MPN. Comment déterminer alors si l'opérateur X devra demander une autorisation ou une régularisation pour un réseau privé mobile qu'il exploite pour un client soumis à la régulation NIS ?</w:t>
            </w:r>
          </w:p>
          <w:p w14:paraId="5FC1F2EC" w14:textId="77777777" w:rsidR="009D034D" w:rsidRPr="00713331" w:rsidRDefault="009D034D" w:rsidP="00713331">
            <w:pPr>
              <w:spacing w:line="256" w:lineRule="auto"/>
              <w:rPr>
                <w:rFonts w:cs="Tahoma"/>
                <w:szCs w:val="20"/>
              </w:rPr>
            </w:pPr>
          </w:p>
          <w:p w14:paraId="2E913FFF" w14:textId="77777777" w:rsidR="009D034D" w:rsidRPr="00713331" w:rsidRDefault="009D034D" w:rsidP="00713331">
            <w:pPr>
              <w:spacing w:line="256" w:lineRule="auto"/>
              <w:rPr>
                <w:rFonts w:cs="Tahoma"/>
                <w:b/>
                <w:bCs/>
                <w:szCs w:val="20"/>
                <w:u w:val="single"/>
              </w:rPr>
            </w:pPr>
          </w:p>
        </w:tc>
        <w:tc>
          <w:tcPr>
            <w:tcW w:w="4754" w:type="dxa"/>
          </w:tcPr>
          <w:p w14:paraId="5AEA5FE6" w14:textId="7A764D12" w:rsidR="009D034D" w:rsidRPr="00713331" w:rsidRDefault="00E24CA4" w:rsidP="00713331">
            <w:r w:rsidRPr="00713331">
              <w:t>En tant que MNO, l’opérateur X doit en effet demander une approbation générale en tant que fournisseur MPN</w:t>
            </w:r>
            <w:r w:rsidR="00B43055">
              <w:t>,</w:t>
            </w:r>
            <w:r w:rsidRPr="00713331">
              <w:t xml:space="preserve"> indépendamment du client utilisant les services MPN.</w:t>
            </w:r>
          </w:p>
          <w:p w14:paraId="5FE0509F" w14:textId="77777777" w:rsidR="00E24CA4" w:rsidRPr="00713331" w:rsidRDefault="00E24CA4" w:rsidP="00713331">
            <w:pPr>
              <w:rPr>
                <w:rFonts w:cs="Tahoma"/>
                <w:szCs w:val="20"/>
              </w:rPr>
            </w:pPr>
          </w:p>
          <w:p w14:paraId="6C6DEDCB" w14:textId="0D948C97" w:rsidR="009D034D" w:rsidRPr="00713331" w:rsidRDefault="009D034D" w:rsidP="00713331">
            <w:pPr>
              <w:rPr>
                <w:rFonts w:cs="Tahoma"/>
                <w:szCs w:val="20"/>
              </w:rPr>
            </w:pPr>
            <w:r w:rsidRPr="00713331">
              <w:t xml:space="preserve">Si une entreprise autre qu’un opérateur offre ce MPN d’un point de vue juridique, cette entreprise devra demander une autorisation ministérielle si : </w:t>
            </w:r>
          </w:p>
          <w:p w14:paraId="50486C85" w14:textId="77777777" w:rsidR="009D034D" w:rsidRPr="00713331" w:rsidRDefault="009D034D" w:rsidP="00713331">
            <w:pPr>
              <w:pStyle w:val="ListParagraph"/>
              <w:keepLines w:val="0"/>
              <w:numPr>
                <w:ilvl w:val="0"/>
                <w:numId w:val="34"/>
              </w:numPr>
              <w:jc w:val="left"/>
              <w:rPr>
                <w:rFonts w:cs="Tahoma"/>
              </w:rPr>
            </w:pPr>
            <w:r w:rsidRPr="00713331">
              <w:t>elle a été désignée comme exploitant d’infrastructures critiques au sens de la loi du 1</w:t>
            </w:r>
            <w:r w:rsidRPr="00713331">
              <w:rPr>
                <w:vertAlign w:val="superscript"/>
              </w:rPr>
              <w:t>er</w:t>
            </w:r>
            <w:r w:rsidRPr="00713331">
              <w:t xml:space="preserve"> juillet 2011 relative à la sécurité et la protection des infrastructures critiques pour autant que des éléments du réseau 5G privé soient utilisés dans une de ces infrastructures critiques ; ou, </w:t>
            </w:r>
          </w:p>
          <w:p w14:paraId="05781A30" w14:textId="77777777" w:rsidR="009D034D" w:rsidRPr="00713331" w:rsidRDefault="009D034D" w:rsidP="00713331">
            <w:pPr>
              <w:pStyle w:val="ListParagraph"/>
              <w:keepLines w:val="0"/>
              <w:numPr>
                <w:ilvl w:val="0"/>
                <w:numId w:val="34"/>
              </w:numPr>
              <w:jc w:val="left"/>
              <w:rPr>
                <w:rFonts w:cs="Tahoma"/>
              </w:rPr>
            </w:pPr>
            <w:r w:rsidRPr="00713331">
              <w:t xml:space="preserve">elle été désignée comme opérateur de service essentiel au sens de la loi du 7 avril 2019 établissant un cadre pour la sécurité des réseaux et des systèmes d'information d'intérêt général pour la sécurité publique pour autant que la fourniture d’un service essentiel fasse usage du réseau 5G privé (voir article 1, 15°, b) et c) de l’AR autorisation).  </w:t>
            </w:r>
          </w:p>
          <w:p w14:paraId="6B915E2E" w14:textId="77777777" w:rsidR="009D034D" w:rsidRPr="00713331" w:rsidRDefault="009D034D" w:rsidP="00713331">
            <w:pPr>
              <w:pStyle w:val="ListParagraph"/>
              <w:numPr>
                <w:ilvl w:val="0"/>
                <w:numId w:val="0"/>
              </w:numPr>
              <w:ind w:left="717"/>
              <w:rPr>
                <w:rFonts w:cs="Tahoma"/>
              </w:rPr>
            </w:pPr>
          </w:p>
          <w:p w14:paraId="42D6F423" w14:textId="4C42B6E0" w:rsidR="009D034D" w:rsidRPr="00713331" w:rsidRDefault="009D034D" w:rsidP="00713331">
            <w:pPr>
              <w:rPr>
                <w:rFonts w:cs="Tahoma"/>
                <w:szCs w:val="20"/>
              </w:rPr>
            </w:pPr>
            <w:r w:rsidRPr="00713331">
              <w:t>L’IBPT identifiera ces entreprises en collaborant avec les autorités sectorielles visé</w:t>
            </w:r>
            <w:r w:rsidR="00BE1F96">
              <w:t>e</w:t>
            </w:r>
            <w:r w:rsidRPr="00713331">
              <w:t>s dans les lois précitées. Il ne peut cependant pas être exclu qu’à un moment donné, l’IBPT demande des informations aux opérateurs.</w:t>
            </w:r>
          </w:p>
        </w:tc>
      </w:tr>
      <w:tr w:rsidR="009D034D" w:rsidRPr="00713331" w14:paraId="0CB24B74" w14:textId="77777777" w:rsidTr="00DA32B7">
        <w:tc>
          <w:tcPr>
            <w:tcW w:w="4308" w:type="dxa"/>
          </w:tcPr>
          <w:p w14:paraId="56B601B5" w14:textId="77777777" w:rsidR="009D034D" w:rsidRPr="00713331" w:rsidRDefault="009D034D" w:rsidP="00713331">
            <w:pPr>
              <w:spacing w:line="256" w:lineRule="auto"/>
              <w:rPr>
                <w:rFonts w:cs="Tahoma"/>
                <w:szCs w:val="20"/>
              </w:rPr>
            </w:pPr>
            <w:r w:rsidRPr="00713331">
              <w:t xml:space="preserve">5.3 Nous tenons à attirer l’attention de l’IBPT sur le fait qu’il existe également des formes hybrides de réseaux privés mobiles. (= des </w:t>
            </w:r>
            <w:r w:rsidRPr="00713331">
              <w:lastRenderedPageBreak/>
              <w:t>réseaux privés mobiles qui comprennent des composantes installées et/ou gérées par différentes parties (par ex. le MNO conjointement avec une entreprise ou une institution)). Qui est alors considéré par l’IBPT comme étant le fournisseur du réseau privé mobile ?</w:t>
            </w:r>
          </w:p>
        </w:tc>
        <w:tc>
          <w:tcPr>
            <w:tcW w:w="4754" w:type="dxa"/>
          </w:tcPr>
          <w:p w14:paraId="1F6C6E6C" w14:textId="6E7463A3" w:rsidR="009D034D" w:rsidRPr="00713331" w:rsidRDefault="009D034D" w:rsidP="00713331">
            <w:pPr>
              <w:rPr>
                <w:rFonts w:cs="Tahoma"/>
                <w:szCs w:val="20"/>
              </w:rPr>
            </w:pPr>
            <w:r w:rsidRPr="00713331">
              <w:lastRenderedPageBreak/>
              <w:t xml:space="preserve">L’entreprise qui devra demander l’autorisation pour un MPN particulier est celle qui fournit le MPN (Mobile </w:t>
            </w:r>
            <w:proofErr w:type="spellStart"/>
            <w:r w:rsidRPr="00713331">
              <w:t>Private</w:t>
            </w:r>
            <w:proofErr w:type="spellEnd"/>
            <w:r w:rsidRPr="00713331">
              <w:t xml:space="preserve"> Netw</w:t>
            </w:r>
            <w:r w:rsidR="00C57425" w:rsidRPr="00713331">
              <w:t>o</w:t>
            </w:r>
            <w:r w:rsidRPr="00713331">
              <w:t xml:space="preserve">rk) d’un point de vue </w:t>
            </w:r>
            <w:r w:rsidRPr="00713331">
              <w:lastRenderedPageBreak/>
              <w:t xml:space="preserve">juridique. </w:t>
            </w:r>
            <w:r w:rsidR="00C57425" w:rsidRPr="00713331">
              <w:t xml:space="preserve">À </w:t>
            </w:r>
            <w:r w:rsidRPr="00713331">
              <w:t>savoir l’entreprise qui est juridiquement responsable pour la fourniture du réseau ou du service.</w:t>
            </w:r>
          </w:p>
          <w:p w14:paraId="1DD4EDC4" w14:textId="77777777" w:rsidR="009D034D" w:rsidRPr="00713331" w:rsidRDefault="009D034D" w:rsidP="00713331">
            <w:pPr>
              <w:rPr>
                <w:rFonts w:cs="Tahoma"/>
                <w:szCs w:val="20"/>
              </w:rPr>
            </w:pPr>
          </w:p>
        </w:tc>
      </w:tr>
    </w:tbl>
    <w:p w14:paraId="718A5185" w14:textId="0FEB9A84" w:rsidR="002C3C99" w:rsidRPr="00713331" w:rsidRDefault="002C3C99" w:rsidP="00713331">
      <w:pPr>
        <w:pStyle w:val="Heading1"/>
      </w:pPr>
      <w:bookmarkStart w:id="6" w:name="_Toc135085762"/>
      <w:r w:rsidRPr="00713331">
        <w:lastRenderedPageBreak/>
        <w:t>Consultation de la liste des zones sensibles</w:t>
      </w:r>
      <w:bookmarkEnd w:id="6"/>
      <w:r w:rsidRPr="00713331">
        <w:t xml:space="preserve"> </w:t>
      </w:r>
    </w:p>
    <w:p w14:paraId="78345357" w14:textId="532BA1A4" w:rsidR="008D71F3" w:rsidRPr="00713331" w:rsidRDefault="00DF6358" w:rsidP="00713331">
      <w:pPr>
        <w:pStyle w:val="Numberednormal"/>
        <w:rPr>
          <w:rFonts w:cs="Tahoma"/>
          <w:szCs w:val="20"/>
        </w:rPr>
      </w:pPr>
      <w:r w:rsidRPr="00713331">
        <w:t xml:space="preserve">Il est question d’une liste des zones sensibles dans : </w:t>
      </w:r>
    </w:p>
    <w:p w14:paraId="01B3005A" w14:textId="19929491" w:rsidR="008D71F3" w:rsidRPr="00713331" w:rsidRDefault="008D71F3" w:rsidP="00713331">
      <w:pPr>
        <w:pStyle w:val="Numberednormal"/>
        <w:numPr>
          <w:ilvl w:val="1"/>
          <w:numId w:val="15"/>
        </w:numPr>
        <w:rPr>
          <w:rFonts w:cs="Tahoma"/>
          <w:szCs w:val="20"/>
        </w:rPr>
      </w:pPr>
      <w:proofErr w:type="gramStart"/>
      <w:r w:rsidRPr="00713331">
        <w:t>l’article</w:t>
      </w:r>
      <w:proofErr w:type="gramEnd"/>
      <w:r w:rsidRPr="00713331">
        <w:t xml:space="preserve"> 105, §§ 4 et 7 de la loi relative aux communications électroniques, et ; </w:t>
      </w:r>
    </w:p>
    <w:p w14:paraId="07DF0061" w14:textId="646BEF69" w:rsidR="002C3C99" w:rsidRPr="00713331" w:rsidRDefault="00C379C1" w:rsidP="00713331">
      <w:pPr>
        <w:pStyle w:val="Numberednormal"/>
        <w:numPr>
          <w:ilvl w:val="1"/>
          <w:numId w:val="15"/>
        </w:numPr>
        <w:rPr>
          <w:rFonts w:cs="Tahoma"/>
          <w:szCs w:val="20"/>
        </w:rPr>
      </w:pPr>
      <w:proofErr w:type="gramStart"/>
      <w:r w:rsidRPr="00713331">
        <w:t>les</w:t>
      </w:r>
      <w:proofErr w:type="gramEnd"/>
      <w:r w:rsidRPr="00713331">
        <w:t xml:space="preserve"> articles 6, § 2 et 7, § 1</w:t>
      </w:r>
      <w:r w:rsidRPr="00713331">
        <w:rPr>
          <w:vertAlign w:val="superscript"/>
        </w:rPr>
        <w:t>er</w:t>
      </w:r>
      <w:r w:rsidRPr="00713331">
        <w:t xml:space="preserve">, de </w:t>
      </w:r>
      <w:r w:rsidRPr="00713331">
        <w:rPr>
          <w:color w:val="000000"/>
        </w:rPr>
        <w:t>l’</w:t>
      </w:r>
      <w:r w:rsidRPr="00713331">
        <w:t xml:space="preserve">AR autorisations. </w:t>
      </w:r>
    </w:p>
    <w:p w14:paraId="61FF3517" w14:textId="77777777" w:rsidR="00297F17" w:rsidRPr="00713331" w:rsidRDefault="00297F17" w:rsidP="00713331">
      <w:pPr>
        <w:pStyle w:val="Numberednormal"/>
        <w:numPr>
          <w:ilvl w:val="0"/>
          <w:numId w:val="0"/>
        </w:numPr>
        <w:ind w:left="1080"/>
        <w:rPr>
          <w:rFonts w:cs="Tahoma"/>
          <w:szCs w:val="20"/>
        </w:rPr>
      </w:pPr>
    </w:p>
    <w:p w14:paraId="666E20B5" w14:textId="7710E502" w:rsidR="008D71F3" w:rsidRPr="00713331" w:rsidRDefault="008D71F3" w:rsidP="00713331">
      <w:pPr>
        <w:pStyle w:val="Numberednormal"/>
        <w:rPr>
          <w:rFonts w:cs="Tahoma"/>
          <w:szCs w:val="20"/>
        </w:rPr>
      </w:pPr>
      <w:r w:rsidRPr="00713331">
        <w:t xml:space="preserve">Cette liste se trouve en annexe de </w:t>
      </w:r>
      <w:hyperlink r:id="rId13" w:history="1">
        <w:r w:rsidRPr="00713331">
          <w:rPr>
            <w:rStyle w:val="Hyperlink"/>
          </w:rPr>
          <w:t>l’arrêté royal du 23 octobre 2022 relatif aux zones sensibles dans le cadre de la loi du 17 février 2022 introduisant des mesures de sécurité supplémentaires pour la fourniture de services mobiles 5G</w:t>
        </w:r>
      </w:hyperlink>
      <w:r w:rsidRPr="00713331">
        <w:t>. Cette annexe est confidentielle.</w:t>
      </w:r>
    </w:p>
    <w:p w14:paraId="5E2E881E" w14:textId="77777777" w:rsidR="00297F17" w:rsidRPr="00713331" w:rsidRDefault="00297F17" w:rsidP="00713331">
      <w:pPr>
        <w:pStyle w:val="Numberednormal"/>
        <w:numPr>
          <w:ilvl w:val="0"/>
          <w:numId w:val="0"/>
        </w:numPr>
        <w:ind w:left="360"/>
        <w:rPr>
          <w:rFonts w:cs="Tahoma"/>
          <w:szCs w:val="20"/>
        </w:rPr>
      </w:pPr>
    </w:p>
    <w:p w14:paraId="10AC5079" w14:textId="3AB25F5C" w:rsidR="00A953E4" w:rsidRPr="00713331" w:rsidRDefault="006E29A5" w:rsidP="00713331">
      <w:pPr>
        <w:pStyle w:val="Numberednormal"/>
        <w:rPr>
          <w:rFonts w:cs="Tahoma"/>
          <w:szCs w:val="20"/>
        </w:rPr>
      </w:pPr>
      <w:r>
        <w:t>U</w:t>
      </w:r>
      <w:r w:rsidR="00DF6358" w:rsidRPr="00713331">
        <w:t xml:space="preserve">n MNO ayant un réseau </w:t>
      </w:r>
      <w:r>
        <w:t xml:space="preserve">5G </w:t>
      </w:r>
      <w:r w:rsidR="00DF6358" w:rsidRPr="00713331">
        <w:t xml:space="preserve">en Belgique </w:t>
      </w:r>
      <w:r>
        <w:t xml:space="preserve">ou qui a planifié d’en avoir un </w:t>
      </w:r>
      <w:r w:rsidR="00DF6358" w:rsidRPr="00713331">
        <w:t xml:space="preserve">peut demander à l’IBPT de consulter la liste des zones sensibles, en adressant un </w:t>
      </w:r>
      <w:proofErr w:type="gramStart"/>
      <w:r w:rsidR="00DF6358" w:rsidRPr="00713331">
        <w:t>e</w:t>
      </w:r>
      <w:r w:rsidR="007D7477" w:rsidRPr="00713331">
        <w:t>-</w:t>
      </w:r>
      <w:r w:rsidR="00DF6358" w:rsidRPr="00713331">
        <w:t>mail</w:t>
      </w:r>
      <w:proofErr w:type="gramEnd"/>
      <w:r w:rsidR="00DF6358" w:rsidRPr="00713331">
        <w:t xml:space="preserve"> à </w:t>
      </w:r>
      <w:hyperlink r:id="rId14" w:history="1">
        <w:r w:rsidR="00DF6358" w:rsidRPr="00713331">
          <w:rPr>
            <w:rStyle w:val="Hyperlink"/>
          </w:rPr>
          <w:t>net.sec@ibpt.be</w:t>
        </w:r>
      </w:hyperlink>
      <w:r w:rsidR="00DF6358" w:rsidRPr="00713331">
        <w:t>. L’IBPT vérifiera si la demande est justifiée (demande par un MNO qui doit introduire une demande d’autorisation</w:t>
      </w:r>
      <w:r>
        <w:t xml:space="preserve"> ou qui en a déjà introduit une</w:t>
      </w:r>
      <w:r w:rsidR="00DF6358" w:rsidRPr="00713331">
        <w:t xml:space="preserve">). </w:t>
      </w:r>
    </w:p>
    <w:p w14:paraId="1A26A339" w14:textId="77777777" w:rsidR="005975D9" w:rsidRPr="00713331" w:rsidRDefault="005975D9" w:rsidP="00713331">
      <w:pPr>
        <w:pStyle w:val="Heading1"/>
      </w:pPr>
      <w:bookmarkStart w:id="7" w:name="_Toc135085763"/>
      <w:r w:rsidRPr="00713331">
        <w:t>Délais</w:t>
      </w:r>
      <w:bookmarkEnd w:id="7"/>
      <w:r w:rsidRPr="00713331">
        <w:t xml:space="preserve"> </w:t>
      </w:r>
    </w:p>
    <w:p w14:paraId="575090FB" w14:textId="77777777" w:rsidR="005975D9" w:rsidRPr="00713331" w:rsidRDefault="005975D9" w:rsidP="00713331">
      <w:pPr>
        <w:pStyle w:val="Numberednormal"/>
      </w:pPr>
      <w:r w:rsidRPr="00713331">
        <w:t xml:space="preserve">Il résulte de l’article 105, § 6, de la loi relative aux communications électroniques et de l’article 12 de l’arrêté royal relatif </w:t>
      </w:r>
      <w:r w:rsidRPr="00713331">
        <w:rPr>
          <w:color w:val="000000"/>
        </w:rPr>
        <w:t>à l’autorisation ministérielle</w:t>
      </w:r>
      <w:r w:rsidRPr="00713331">
        <w:t xml:space="preserve"> ce qui suit : </w:t>
      </w:r>
    </w:p>
    <w:p w14:paraId="48D6CDC4" w14:textId="77777777" w:rsidR="005975D9" w:rsidRPr="00713331" w:rsidRDefault="005975D9" w:rsidP="00713331">
      <w:pPr>
        <w:pStyle w:val="ListParagraph"/>
        <w:numPr>
          <w:ilvl w:val="0"/>
          <w:numId w:val="28"/>
        </w:numPr>
      </w:pPr>
      <w:r w:rsidRPr="00713331">
        <w:rPr>
          <w:color w:val="000000"/>
        </w:rPr>
        <w:t>Dans un délai de 3 mois, « </w:t>
      </w:r>
      <w:r w:rsidRPr="00713331">
        <w:rPr>
          <w:i/>
          <w:color w:val="000000"/>
        </w:rPr>
        <w:t>qui commence à partir de l'introduction de la demande, le demandeur reçoit la décision des ministres qui octroie l'autorisation ou le projet de décision dans lequel ils refusent l'autorisation ou l'assortissent de conditions</w:t>
      </w:r>
      <w:r w:rsidRPr="00713331">
        <w:rPr>
          <w:color w:val="000000"/>
        </w:rPr>
        <w:t xml:space="preserve"> » ; </w:t>
      </w:r>
    </w:p>
    <w:p w14:paraId="73A0B736" w14:textId="77777777" w:rsidR="005975D9" w:rsidRPr="00713331" w:rsidRDefault="005975D9" w:rsidP="00713331">
      <w:pPr>
        <w:pStyle w:val="ListParagraph"/>
        <w:numPr>
          <w:ilvl w:val="0"/>
          <w:numId w:val="28"/>
        </w:numPr>
      </w:pPr>
      <w:r w:rsidRPr="00713331">
        <w:rPr>
          <w:color w:val="000000"/>
        </w:rPr>
        <w:t>« </w:t>
      </w:r>
      <w:r w:rsidRPr="00713331">
        <w:rPr>
          <w:i/>
          <w:color w:val="000000"/>
        </w:rPr>
        <w:t>En cas d'audition ou d'observations écrites du demandeur […], les ministres prennent leur décision au plus tard dans [un délai de 2 mois], qui commence à partir de la réception des observations écrites ou de la date de l'audition, la date la plus tardive étant retenue</w:t>
      </w:r>
      <w:r w:rsidRPr="00713331">
        <w:rPr>
          <w:color w:val="000000"/>
        </w:rPr>
        <w:t> » ;  </w:t>
      </w:r>
    </w:p>
    <w:p w14:paraId="77A178BE" w14:textId="61F158FF" w:rsidR="005975D9" w:rsidRPr="00713331" w:rsidRDefault="005975D9" w:rsidP="00713331">
      <w:pPr>
        <w:pStyle w:val="ListParagraph"/>
        <w:numPr>
          <w:ilvl w:val="0"/>
          <w:numId w:val="28"/>
        </w:numPr>
      </w:pPr>
      <w:r w:rsidRPr="00713331">
        <w:rPr>
          <w:color w:val="000000"/>
        </w:rPr>
        <w:t>« </w:t>
      </w:r>
      <w:r w:rsidRPr="00713331">
        <w:rPr>
          <w:i/>
          <w:color w:val="000000"/>
        </w:rPr>
        <w:t>La demande d'informations ou de documents […] suspend les délais fixés [ci-dessus], jusqu'au jour où les informations ou documents demandés sont fournis</w:t>
      </w:r>
      <w:r w:rsidRPr="00713331">
        <w:rPr>
          <w:color w:val="000000"/>
        </w:rPr>
        <w:t> » ;</w:t>
      </w:r>
    </w:p>
    <w:p w14:paraId="08A2010C" w14:textId="77777777" w:rsidR="005975D9" w:rsidRPr="00713331" w:rsidRDefault="005975D9" w:rsidP="00713331">
      <w:pPr>
        <w:pStyle w:val="ListParagraph"/>
        <w:numPr>
          <w:ilvl w:val="0"/>
          <w:numId w:val="28"/>
        </w:numPr>
      </w:pPr>
      <w:r w:rsidRPr="00713331">
        <w:rPr>
          <w:color w:val="000000"/>
        </w:rPr>
        <w:t>« </w:t>
      </w:r>
      <w:r w:rsidRPr="00713331">
        <w:rPr>
          <w:i/>
          <w:color w:val="000000"/>
        </w:rPr>
        <w:t>Le défaut de décision ou de projet de décision […] dans le délai visé dans le [premier ou le deuxième tiret] équivaut à un refus.</w:t>
      </w:r>
      <w:r w:rsidRPr="00713331">
        <w:rPr>
          <w:color w:val="000000"/>
        </w:rPr>
        <w:t> »</w:t>
      </w:r>
    </w:p>
    <w:p w14:paraId="6B0DAE38" w14:textId="625CC3FA" w:rsidR="002E5BD2" w:rsidRPr="00713331" w:rsidRDefault="00F4337D" w:rsidP="00713331">
      <w:pPr>
        <w:pStyle w:val="Heading1"/>
      </w:pPr>
      <w:bookmarkStart w:id="8" w:name="_Toc135085764"/>
      <w:r w:rsidRPr="00713331">
        <w:t>Introduction par le demandeur du dossier</w:t>
      </w:r>
      <w:bookmarkEnd w:id="8"/>
    </w:p>
    <w:p w14:paraId="27237DC7" w14:textId="364DD5F5" w:rsidR="00614144" w:rsidRPr="00713331" w:rsidRDefault="00614144" w:rsidP="00713331">
      <w:pPr>
        <w:pStyle w:val="Heading2"/>
      </w:pPr>
      <w:bookmarkStart w:id="9" w:name="_Toc127173118"/>
      <w:bookmarkStart w:id="10" w:name="_Toc135085765"/>
      <w:r w:rsidRPr="00713331">
        <w:t>Documents mis à disposition par l’IBPT</w:t>
      </w:r>
      <w:bookmarkEnd w:id="9"/>
      <w:bookmarkEnd w:id="10"/>
      <w:r w:rsidRPr="00713331">
        <w:t xml:space="preserve"> </w:t>
      </w:r>
    </w:p>
    <w:p w14:paraId="26216F80" w14:textId="4BF7806A" w:rsidR="00D83926" w:rsidRPr="00713331" w:rsidRDefault="00EE12F1" w:rsidP="00713331">
      <w:pPr>
        <w:pStyle w:val="Numberednormal"/>
      </w:pPr>
      <w:r w:rsidRPr="00713331">
        <w:t xml:space="preserve">L’IBPT met à disposition les documents suivants pour faciliter l’introduction auprès de l’IBPT d’une demande d’autorisation : </w:t>
      </w:r>
    </w:p>
    <w:p w14:paraId="71040773" w14:textId="3C191242" w:rsidR="00E91815" w:rsidRPr="00713331" w:rsidRDefault="00E91815" w:rsidP="00713331">
      <w:pPr>
        <w:pStyle w:val="Numberednormal"/>
        <w:numPr>
          <w:ilvl w:val="0"/>
          <w:numId w:val="0"/>
        </w:numPr>
        <w:ind w:left="360" w:hanging="360"/>
      </w:pPr>
    </w:p>
    <w:tbl>
      <w:tblPr>
        <w:tblStyle w:val="TableGrid"/>
        <w:tblW w:w="0" w:type="auto"/>
        <w:tblInd w:w="360" w:type="dxa"/>
        <w:tblLook w:val="04A0" w:firstRow="1" w:lastRow="0" w:firstColumn="1" w:lastColumn="0" w:noHBand="0" w:noVBand="1"/>
      </w:tblPr>
      <w:tblGrid>
        <w:gridCol w:w="1116"/>
        <w:gridCol w:w="3622"/>
        <w:gridCol w:w="1982"/>
        <w:gridCol w:w="1982"/>
      </w:tblGrid>
      <w:tr w:rsidR="00C96F62" w:rsidRPr="00713331" w14:paraId="2D39F278" w14:textId="77777777" w:rsidTr="00945B3F">
        <w:trPr>
          <w:trHeight w:val="695"/>
        </w:trPr>
        <w:tc>
          <w:tcPr>
            <w:tcW w:w="1116" w:type="dxa"/>
            <w:shd w:val="clear" w:color="auto" w:fill="D9D9D9" w:themeFill="background1" w:themeFillShade="D9"/>
          </w:tcPr>
          <w:p w14:paraId="4A6A2F92" w14:textId="2A1486F3" w:rsidR="00C96F62" w:rsidRPr="00713331" w:rsidRDefault="00E2459E" w:rsidP="00713331">
            <w:pPr>
              <w:pStyle w:val="Numberednormal"/>
              <w:numPr>
                <w:ilvl w:val="0"/>
                <w:numId w:val="0"/>
              </w:numPr>
            </w:pPr>
            <w:r>
              <w:t xml:space="preserve">Partie </w:t>
            </w:r>
          </w:p>
        </w:tc>
        <w:tc>
          <w:tcPr>
            <w:tcW w:w="3622" w:type="dxa"/>
            <w:shd w:val="clear" w:color="auto" w:fill="D9D9D9" w:themeFill="background1" w:themeFillShade="D9"/>
          </w:tcPr>
          <w:p w14:paraId="03FB3832" w14:textId="3C73545D" w:rsidR="00C96F62" w:rsidRPr="00713331" w:rsidRDefault="00C96F62" w:rsidP="00713331">
            <w:pPr>
              <w:pStyle w:val="Numberednormal"/>
              <w:numPr>
                <w:ilvl w:val="0"/>
                <w:numId w:val="0"/>
              </w:numPr>
            </w:pPr>
            <w:r w:rsidRPr="00713331">
              <w:t xml:space="preserve">Objet </w:t>
            </w:r>
          </w:p>
        </w:tc>
        <w:tc>
          <w:tcPr>
            <w:tcW w:w="1982" w:type="dxa"/>
            <w:shd w:val="clear" w:color="auto" w:fill="D9D9D9" w:themeFill="background1" w:themeFillShade="D9"/>
          </w:tcPr>
          <w:p w14:paraId="66AFC662" w14:textId="78CDA336" w:rsidR="00C96F62" w:rsidRPr="00713331" w:rsidRDefault="00C96F62" w:rsidP="00713331">
            <w:pPr>
              <w:pStyle w:val="Numberednormal"/>
              <w:numPr>
                <w:ilvl w:val="0"/>
                <w:numId w:val="0"/>
              </w:numPr>
            </w:pPr>
            <w:r w:rsidRPr="00713331">
              <w:t xml:space="preserve">Modèle de document </w:t>
            </w:r>
          </w:p>
        </w:tc>
        <w:tc>
          <w:tcPr>
            <w:tcW w:w="1982" w:type="dxa"/>
            <w:shd w:val="clear" w:color="auto" w:fill="D9D9D9" w:themeFill="background1" w:themeFillShade="D9"/>
          </w:tcPr>
          <w:p w14:paraId="005A8F59" w14:textId="762A3F67" w:rsidR="00C96F62" w:rsidRPr="00713331" w:rsidRDefault="00C96F62" w:rsidP="00713331">
            <w:pPr>
              <w:pStyle w:val="Numberednormal"/>
              <w:numPr>
                <w:ilvl w:val="0"/>
                <w:numId w:val="0"/>
              </w:numPr>
            </w:pPr>
            <w:r w:rsidRPr="00713331">
              <w:t xml:space="preserve">Document reprenant des explications </w:t>
            </w:r>
          </w:p>
        </w:tc>
      </w:tr>
      <w:tr w:rsidR="00C96F62" w:rsidRPr="00713331" w14:paraId="6CDE4EC7" w14:textId="77777777" w:rsidTr="00336219">
        <w:trPr>
          <w:trHeight w:val="439"/>
        </w:trPr>
        <w:tc>
          <w:tcPr>
            <w:tcW w:w="1116" w:type="dxa"/>
          </w:tcPr>
          <w:p w14:paraId="2317B4B9" w14:textId="23404669" w:rsidR="00C96F62" w:rsidRPr="00713331" w:rsidRDefault="00C96F62" w:rsidP="00713331">
            <w:pPr>
              <w:pStyle w:val="Numberednormal"/>
              <w:numPr>
                <w:ilvl w:val="0"/>
                <w:numId w:val="0"/>
              </w:numPr>
            </w:pPr>
            <w:r w:rsidRPr="00713331">
              <w:t>1</w:t>
            </w:r>
          </w:p>
        </w:tc>
        <w:tc>
          <w:tcPr>
            <w:tcW w:w="3622" w:type="dxa"/>
          </w:tcPr>
          <w:p w14:paraId="50F66EA5" w14:textId="4E738D97" w:rsidR="00C96F62" w:rsidRPr="00713331" w:rsidRDefault="00C96F62" w:rsidP="00713331">
            <w:pPr>
              <w:pStyle w:val="Numberednormal"/>
              <w:numPr>
                <w:ilvl w:val="0"/>
                <w:numId w:val="0"/>
              </w:numPr>
            </w:pPr>
            <w:r w:rsidRPr="00713331">
              <w:t xml:space="preserve">Lettre à adresser à l’IBPT par laquelle l’autorisation est demandée </w:t>
            </w:r>
          </w:p>
        </w:tc>
        <w:tc>
          <w:tcPr>
            <w:tcW w:w="1982" w:type="dxa"/>
          </w:tcPr>
          <w:p w14:paraId="5F7CD7E0" w14:textId="0CBA769F" w:rsidR="00C96F62" w:rsidRPr="00713331" w:rsidRDefault="00C96F62" w:rsidP="00713331">
            <w:pPr>
              <w:pStyle w:val="Numberednormal"/>
              <w:numPr>
                <w:ilvl w:val="0"/>
                <w:numId w:val="0"/>
              </w:numPr>
            </w:pPr>
            <w:r w:rsidRPr="00713331">
              <w:t>Non</w:t>
            </w:r>
          </w:p>
        </w:tc>
        <w:tc>
          <w:tcPr>
            <w:tcW w:w="1982" w:type="dxa"/>
          </w:tcPr>
          <w:p w14:paraId="53728ED4" w14:textId="3B762EFF" w:rsidR="00C96F62" w:rsidRPr="00713331" w:rsidRDefault="00C96F62" w:rsidP="00713331">
            <w:pPr>
              <w:pStyle w:val="Numberednormal"/>
              <w:numPr>
                <w:ilvl w:val="0"/>
                <w:numId w:val="0"/>
              </w:numPr>
            </w:pPr>
            <w:r w:rsidRPr="00713331">
              <w:t xml:space="preserve">Oui  </w:t>
            </w:r>
          </w:p>
        </w:tc>
      </w:tr>
      <w:tr w:rsidR="00C96F62" w:rsidRPr="00713331" w14:paraId="6F44A829" w14:textId="77777777" w:rsidTr="00171915">
        <w:trPr>
          <w:trHeight w:val="141"/>
        </w:trPr>
        <w:tc>
          <w:tcPr>
            <w:tcW w:w="1116" w:type="dxa"/>
          </w:tcPr>
          <w:p w14:paraId="27811A7C" w14:textId="4DEDEAC8" w:rsidR="00C96F62" w:rsidRPr="00713331" w:rsidRDefault="00C96F62" w:rsidP="00713331">
            <w:pPr>
              <w:pStyle w:val="Numberednormal"/>
              <w:numPr>
                <w:ilvl w:val="0"/>
                <w:numId w:val="0"/>
              </w:numPr>
            </w:pPr>
            <w:r w:rsidRPr="00713331">
              <w:t>2</w:t>
            </w:r>
          </w:p>
        </w:tc>
        <w:tc>
          <w:tcPr>
            <w:tcW w:w="3622" w:type="dxa"/>
          </w:tcPr>
          <w:p w14:paraId="220464E9" w14:textId="4685827E" w:rsidR="00C96F62" w:rsidRPr="00713331" w:rsidRDefault="00C96F62" w:rsidP="00713331">
            <w:pPr>
              <w:pStyle w:val="Numberednormal"/>
              <w:numPr>
                <w:ilvl w:val="0"/>
                <w:numId w:val="0"/>
              </w:numPr>
            </w:pPr>
            <w:r w:rsidRPr="00713331">
              <w:t>Inventaire des annexes à cette lettre</w:t>
            </w:r>
          </w:p>
        </w:tc>
        <w:tc>
          <w:tcPr>
            <w:tcW w:w="1982" w:type="dxa"/>
          </w:tcPr>
          <w:p w14:paraId="1EE1D9FF" w14:textId="68ED5493" w:rsidR="00C96F62" w:rsidRPr="00713331" w:rsidRDefault="00C96F62" w:rsidP="00713331">
            <w:pPr>
              <w:pStyle w:val="Numberednormal"/>
              <w:numPr>
                <w:ilvl w:val="0"/>
                <w:numId w:val="0"/>
              </w:numPr>
            </w:pPr>
            <w:r w:rsidRPr="00713331">
              <w:t>Oui</w:t>
            </w:r>
          </w:p>
        </w:tc>
        <w:tc>
          <w:tcPr>
            <w:tcW w:w="1982" w:type="dxa"/>
          </w:tcPr>
          <w:p w14:paraId="5974C209" w14:textId="73D27067" w:rsidR="00C96F62" w:rsidRPr="00713331" w:rsidRDefault="00C96F62" w:rsidP="00713331">
            <w:pPr>
              <w:pStyle w:val="Numberednormal"/>
              <w:numPr>
                <w:ilvl w:val="0"/>
                <w:numId w:val="0"/>
              </w:numPr>
            </w:pPr>
            <w:r w:rsidRPr="00713331">
              <w:t>Oui</w:t>
            </w:r>
          </w:p>
        </w:tc>
      </w:tr>
      <w:tr w:rsidR="00C96F62" w:rsidRPr="00713331" w14:paraId="35146034" w14:textId="77777777" w:rsidTr="00945B3F">
        <w:tc>
          <w:tcPr>
            <w:tcW w:w="1116" w:type="dxa"/>
          </w:tcPr>
          <w:p w14:paraId="37F42561" w14:textId="0A0958F9" w:rsidR="00C96F62" w:rsidRPr="00713331" w:rsidRDefault="00C96F62" w:rsidP="00713331">
            <w:pPr>
              <w:pStyle w:val="Numberednormal"/>
              <w:numPr>
                <w:ilvl w:val="0"/>
                <w:numId w:val="0"/>
              </w:numPr>
            </w:pPr>
            <w:r w:rsidRPr="00713331">
              <w:t>3</w:t>
            </w:r>
          </w:p>
        </w:tc>
        <w:tc>
          <w:tcPr>
            <w:tcW w:w="3622" w:type="dxa"/>
          </w:tcPr>
          <w:p w14:paraId="206DEF04" w14:textId="289B05CE" w:rsidR="00C96F62" w:rsidRPr="00713331" w:rsidRDefault="00C96F62" w:rsidP="00713331">
            <w:pPr>
              <w:pStyle w:val="Numberednormal"/>
              <w:numPr>
                <w:ilvl w:val="0"/>
                <w:numId w:val="0"/>
              </w:numPr>
            </w:pPr>
            <w:r w:rsidRPr="00713331">
              <w:t xml:space="preserve">Coordonnées des points de contact auprès du demandeur </w:t>
            </w:r>
          </w:p>
        </w:tc>
        <w:tc>
          <w:tcPr>
            <w:tcW w:w="1982" w:type="dxa"/>
          </w:tcPr>
          <w:p w14:paraId="2C4AD713" w14:textId="749A23BE" w:rsidR="00C96F62" w:rsidRPr="00713331" w:rsidRDefault="00C96F62" w:rsidP="00713331">
            <w:pPr>
              <w:pStyle w:val="Numberednormal"/>
              <w:numPr>
                <w:ilvl w:val="0"/>
                <w:numId w:val="0"/>
              </w:numPr>
            </w:pPr>
            <w:r w:rsidRPr="00713331">
              <w:t xml:space="preserve">Oui </w:t>
            </w:r>
          </w:p>
        </w:tc>
        <w:tc>
          <w:tcPr>
            <w:tcW w:w="1982" w:type="dxa"/>
          </w:tcPr>
          <w:p w14:paraId="4E29CFC4" w14:textId="03A794EE" w:rsidR="00C96F62" w:rsidRPr="00713331" w:rsidRDefault="00C96F62" w:rsidP="00713331">
            <w:pPr>
              <w:pStyle w:val="Numberednormal"/>
              <w:numPr>
                <w:ilvl w:val="0"/>
                <w:numId w:val="0"/>
              </w:numPr>
            </w:pPr>
            <w:r w:rsidRPr="00713331">
              <w:t xml:space="preserve">Non </w:t>
            </w:r>
          </w:p>
        </w:tc>
      </w:tr>
      <w:tr w:rsidR="00C96F62" w:rsidRPr="00713331" w14:paraId="1B5850E1" w14:textId="77777777" w:rsidTr="00945B3F">
        <w:tc>
          <w:tcPr>
            <w:tcW w:w="1116" w:type="dxa"/>
          </w:tcPr>
          <w:p w14:paraId="6C681FA9" w14:textId="4046188A" w:rsidR="00C96F62" w:rsidRPr="00713331" w:rsidRDefault="00C96F62" w:rsidP="00713331">
            <w:pPr>
              <w:pStyle w:val="Numberednormal"/>
              <w:numPr>
                <w:ilvl w:val="0"/>
                <w:numId w:val="0"/>
              </w:numPr>
            </w:pPr>
            <w:r w:rsidRPr="00713331">
              <w:t>4</w:t>
            </w:r>
          </w:p>
        </w:tc>
        <w:tc>
          <w:tcPr>
            <w:tcW w:w="3622" w:type="dxa"/>
          </w:tcPr>
          <w:p w14:paraId="5C131C79" w14:textId="346EEBC1" w:rsidR="00C96F62" w:rsidRPr="00713331" w:rsidRDefault="00C96F62" w:rsidP="00713331">
            <w:pPr>
              <w:pStyle w:val="Numberednormal"/>
              <w:numPr>
                <w:ilvl w:val="0"/>
                <w:numId w:val="0"/>
              </w:numPr>
            </w:pPr>
            <w:r w:rsidRPr="00713331">
              <w:t>Caractéristiques des éléments de réseau faisant l’objet de la demande </w:t>
            </w:r>
          </w:p>
        </w:tc>
        <w:tc>
          <w:tcPr>
            <w:tcW w:w="1982" w:type="dxa"/>
          </w:tcPr>
          <w:p w14:paraId="71938583" w14:textId="054234B9" w:rsidR="00C96F62" w:rsidRPr="00713331" w:rsidRDefault="00C96F62" w:rsidP="00713331">
            <w:pPr>
              <w:pStyle w:val="Numberednormal"/>
              <w:numPr>
                <w:ilvl w:val="0"/>
                <w:numId w:val="0"/>
              </w:numPr>
            </w:pPr>
            <w:r w:rsidRPr="00713331">
              <w:t xml:space="preserve">Oui (fiche élément de réseau) </w:t>
            </w:r>
          </w:p>
        </w:tc>
        <w:tc>
          <w:tcPr>
            <w:tcW w:w="1982" w:type="dxa"/>
          </w:tcPr>
          <w:p w14:paraId="4375DAD1" w14:textId="3B7D5972" w:rsidR="00C96F62" w:rsidRPr="00713331" w:rsidRDefault="00C96F62" w:rsidP="00713331">
            <w:pPr>
              <w:pStyle w:val="Numberednormal"/>
              <w:numPr>
                <w:ilvl w:val="0"/>
                <w:numId w:val="0"/>
              </w:numPr>
            </w:pPr>
            <w:r w:rsidRPr="00713331">
              <w:t xml:space="preserve">Oui </w:t>
            </w:r>
          </w:p>
        </w:tc>
      </w:tr>
      <w:tr w:rsidR="00614144" w:rsidRPr="00713331" w14:paraId="6491BCD5" w14:textId="77777777" w:rsidTr="00945B3F">
        <w:tc>
          <w:tcPr>
            <w:tcW w:w="1116" w:type="dxa"/>
          </w:tcPr>
          <w:p w14:paraId="66591AB8" w14:textId="4606235A" w:rsidR="00614144" w:rsidRPr="00713331" w:rsidRDefault="00614144" w:rsidP="00713331">
            <w:pPr>
              <w:pStyle w:val="Numberednormal"/>
              <w:numPr>
                <w:ilvl w:val="0"/>
                <w:numId w:val="0"/>
              </w:numPr>
            </w:pPr>
            <w:r w:rsidRPr="00713331">
              <w:lastRenderedPageBreak/>
              <w:t>5</w:t>
            </w:r>
          </w:p>
        </w:tc>
        <w:tc>
          <w:tcPr>
            <w:tcW w:w="3622" w:type="dxa"/>
          </w:tcPr>
          <w:p w14:paraId="0362E488" w14:textId="6650C77D" w:rsidR="00614144" w:rsidRPr="00713331" w:rsidRDefault="00614144" w:rsidP="00713331">
            <w:pPr>
              <w:pStyle w:val="Numberednormal"/>
              <w:numPr>
                <w:ilvl w:val="0"/>
                <w:numId w:val="0"/>
              </w:numPr>
            </w:pPr>
            <w:r w:rsidRPr="00713331">
              <w:t xml:space="preserve">Informations sur les fournisseurs </w:t>
            </w:r>
          </w:p>
        </w:tc>
        <w:tc>
          <w:tcPr>
            <w:tcW w:w="1982" w:type="dxa"/>
          </w:tcPr>
          <w:p w14:paraId="03E5E72A" w14:textId="7D7C89AD" w:rsidR="00614144" w:rsidRPr="00713331" w:rsidRDefault="00614144" w:rsidP="00713331">
            <w:pPr>
              <w:pStyle w:val="Numberednormal"/>
              <w:numPr>
                <w:ilvl w:val="0"/>
                <w:numId w:val="0"/>
              </w:numPr>
            </w:pPr>
            <w:r w:rsidRPr="00713331">
              <w:t>Oui (fiche fournisseur)</w:t>
            </w:r>
          </w:p>
        </w:tc>
        <w:tc>
          <w:tcPr>
            <w:tcW w:w="1982" w:type="dxa"/>
          </w:tcPr>
          <w:p w14:paraId="25E1DAC0" w14:textId="2C4AC699" w:rsidR="00614144" w:rsidRPr="00713331" w:rsidRDefault="00614144" w:rsidP="00713331">
            <w:pPr>
              <w:pStyle w:val="Numberednormal"/>
              <w:numPr>
                <w:ilvl w:val="0"/>
                <w:numId w:val="0"/>
              </w:numPr>
            </w:pPr>
            <w:r w:rsidRPr="00713331">
              <w:t xml:space="preserve">Oui </w:t>
            </w:r>
          </w:p>
        </w:tc>
      </w:tr>
    </w:tbl>
    <w:p w14:paraId="57BC1060" w14:textId="50BF4B42" w:rsidR="002624FF" w:rsidRPr="00713331" w:rsidRDefault="002624FF" w:rsidP="00713331">
      <w:pPr>
        <w:pStyle w:val="Numberednormal"/>
      </w:pPr>
      <w:r w:rsidRPr="00713331">
        <w:t xml:space="preserve">Le dossier à fournir à l’IBPT : </w:t>
      </w:r>
    </w:p>
    <w:p w14:paraId="0848AB22" w14:textId="44C4B052" w:rsidR="004B3C39" w:rsidRPr="00713331" w:rsidRDefault="004B3C39" w:rsidP="00713331">
      <w:pPr>
        <w:pStyle w:val="Numberednormal"/>
        <w:numPr>
          <w:ilvl w:val="1"/>
          <w:numId w:val="15"/>
        </w:numPr>
      </w:pPr>
      <w:proofErr w:type="gramStart"/>
      <w:r w:rsidRPr="00713331">
        <w:t>comprendra</w:t>
      </w:r>
      <w:proofErr w:type="gramEnd"/>
      <w:r w:rsidRPr="00713331">
        <w:t xml:space="preserve"> au moins les </w:t>
      </w:r>
      <w:r w:rsidR="00E2459E">
        <w:t xml:space="preserve">parties </w:t>
      </w:r>
      <w:r w:rsidRPr="00713331">
        <w:t xml:space="preserve">1 à 5 dûment complétés ; vu le caractère formel de la demande, le demandeur est invité à remplir les </w:t>
      </w:r>
      <w:r w:rsidR="00E2459E">
        <w:t xml:space="preserve">parties </w:t>
      </w:r>
      <w:r w:rsidRPr="00713331">
        <w:t>1 et 2 en français</w:t>
      </w:r>
      <w:r w:rsidR="00E35708">
        <w:t xml:space="preserve">, </w:t>
      </w:r>
      <w:r w:rsidRPr="00713331">
        <w:t>néerlandais </w:t>
      </w:r>
      <w:r w:rsidR="00E35708">
        <w:t xml:space="preserve">ou allemand </w:t>
      </w:r>
      <w:r w:rsidRPr="00713331">
        <w:t xml:space="preserve">;  </w:t>
      </w:r>
    </w:p>
    <w:p w14:paraId="128CD84F" w14:textId="4ACC446B" w:rsidR="002624FF" w:rsidRPr="00713331" w:rsidRDefault="004B3C39" w:rsidP="00713331">
      <w:pPr>
        <w:pStyle w:val="Numberednormal"/>
        <w:numPr>
          <w:ilvl w:val="1"/>
          <w:numId w:val="15"/>
        </w:numPr>
      </w:pPr>
      <w:proofErr w:type="gramStart"/>
      <w:r w:rsidRPr="00713331">
        <w:t>peut</w:t>
      </w:r>
      <w:proofErr w:type="gramEnd"/>
      <w:r w:rsidRPr="00713331">
        <w:t xml:space="preserve"> comprendre des documents complémentaires, des explications techniques pouvant être rédigées en anglais ; </w:t>
      </w:r>
    </w:p>
    <w:p w14:paraId="07DB0C28" w14:textId="723A00B9" w:rsidR="002624FF" w:rsidRPr="00713331" w:rsidRDefault="004B3C39" w:rsidP="00713331">
      <w:pPr>
        <w:pStyle w:val="Numberednormal"/>
        <w:numPr>
          <w:ilvl w:val="1"/>
          <w:numId w:val="15"/>
        </w:numPr>
      </w:pPr>
      <w:proofErr w:type="gramStart"/>
      <w:r w:rsidRPr="00713331">
        <w:t>ne</w:t>
      </w:r>
      <w:proofErr w:type="gramEnd"/>
      <w:r w:rsidRPr="00713331">
        <w:t xml:space="preserve"> reprendra pas les documents d'explications</w:t>
      </w:r>
      <w:r w:rsidR="00B43055">
        <w:t xml:space="preserve">, </w:t>
      </w:r>
      <w:r w:rsidR="00B43055" w:rsidRPr="006E29A5">
        <w:t xml:space="preserve">sauf si ces explications sont incorporées </w:t>
      </w:r>
      <w:r w:rsidRPr="006E29A5">
        <w:t xml:space="preserve"> </w:t>
      </w:r>
      <w:r w:rsidR="00B43055" w:rsidRPr="006E29A5">
        <w:t xml:space="preserve">dans le modèle de document </w:t>
      </w:r>
      <w:r w:rsidRPr="006E29A5">
        <w:t>(dernière colonne du tableau).</w:t>
      </w:r>
    </w:p>
    <w:p w14:paraId="46A340BA" w14:textId="33F6F8FC" w:rsidR="00614144" w:rsidRPr="00713331" w:rsidRDefault="00614144" w:rsidP="00713331">
      <w:pPr>
        <w:pStyle w:val="Heading2"/>
      </w:pPr>
      <w:bookmarkStart w:id="11" w:name="_Toc127173119"/>
      <w:bookmarkStart w:id="12" w:name="_Toc135085766"/>
      <w:r w:rsidRPr="00713331">
        <w:t>Objet de la demande</w:t>
      </w:r>
      <w:bookmarkEnd w:id="11"/>
      <w:bookmarkEnd w:id="12"/>
      <w:r w:rsidRPr="00713331">
        <w:t xml:space="preserve"> </w:t>
      </w:r>
    </w:p>
    <w:p w14:paraId="4209FB39" w14:textId="33D02EE2" w:rsidR="00614144" w:rsidRPr="00713331" w:rsidRDefault="00614144" w:rsidP="00713331">
      <w:pPr>
        <w:pStyle w:val="Numberednormal"/>
      </w:pPr>
      <w:r w:rsidRPr="00713331">
        <w:t>Il résulte de l’article 105, § 1</w:t>
      </w:r>
      <w:r w:rsidRPr="00713331">
        <w:rPr>
          <w:vertAlign w:val="superscript"/>
        </w:rPr>
        <w:t>er</w:t>
      </w:r>
      <w:r w:rsidRPr="00713331">
        <w:t xml:space="preserve">, de la loi relative aux communications électroniques et de l’article 8 de </w:t>
      </w:r>
      <w:r w:rsidRPr="00713331">
        <w:rPr>
          <w:color w:val="000000"/>
        </w:rPr>
        <w:t>l’arrêté royal autorisation</w:t>
      </w:r>
      <w:r w:rsidR="00B43055">
        <w:rPr>
          <w:color w:val="000000"/>
        </w:rPr>
        <w:t>s</w:t>
      </w:r>
      <w:r w:rsidRPr="00713331">
        <w:t xml:space="preserve">, qu’une entreprise visée par cette même loi doit demander une autorisation ministérielle (préalable ou de régularisation) : </w:t>
      </w:r>
    </w:p>
    <w:p w14:paraId="13F79ABE" w14:textId="57B9063D" w:rsidR="00614144" w:rsidRPr="00713331" w:rsidRDefault="00614144" w:rsidP="00713331">
      <w:pPr>
        <w:pStyle w:val="ListParagraph"/>
        <w:numPr>
          <w:ilvl w:val="0"/>
          <w:numId w:val="31"/>
        </w:numPr>
      </w:pPr>
      <w:r w:rsidRPr="00713331">
        <w:rPr>
          <w:color w:val="000000"/>
        </w:rPr>
        <w:t>Pour utiliser un élément de son réseau 5G, et ;   </w:t>
      </w:r>
    </w:p>
    <w:p w14:paraId="1CF8271E" w14:textId="41A7FE2A" w:rsidR="00614144" w:rsidRPr="00713331" w:rsidRDefault="00614144" w:rsidP="00713331">
      <w:pPr>
        <w:pStyle w:val="ListParagraph"/>
        <w:numPr>
          <w:ilvl w:val="0"/>
          <w:numId w:val="31"/>
        </w:numPr>
      </w:pPr>
      <w:r w:rsidRPr="00713331">
        <w:rPr>
          <w:color w:val="000000"/>
        </w:rPr>
        <w:t xml:space="preserve">Pour le </w:t>
      </w:r>
      <w:r w:rsidRPr="00713331">
        <w:t>recours à un fournisseur de services pour la gestion et la supervision de ses éléments de réseau 5G, à l’exception du recours aux équipementiers offrant un service de support, lors ce service est prévu dans le contrat de fourniture d’éléments du réseau (ci-après les fournisseurs de service).</w:t>
      </w:r>
    </w:p>
    <w:p w14:paraId="7701774C" w14:textId="5F98E2F5" w:rsidR="00614144" w:rsidRPr="00713331" w:rsidRDefault="00614144" w:rsidP="00713331">
      <w:pPr>
        <w:pStyle w:val="Numberednormal"/>
      </w:pPr>
      <w:r w:rsidRPr="00713331">
        <w:t xml:space="preserve">Une demande d’autorisation doit porter à la fois sur les éléments du réseau 5G sélectionnés par le demandeur ainsi que sur les fournisseurs qui offrent des services pour </w:t>
      </w:r>
      <w:r w:rsidRPr="00713331">
        <w:rPr>
          <w:color w:val="000000"/>
        </w:rPr>
        <w:t xml:space="preserve">ces éléments de réseau. Il n’est donc pas possible de demander une autorisation uniquement pour un élément de réseau ou uniquement pour le recours à un fournisseur de service. </w:t>
      </w:r>
    </w:p>
    <w:p w14:paraId="0E4A90CE" w14:textId="77777777" w:rsidR="00614144" w:rsidRPr="00713331" w:rsidRDefault="00614144" w:rsidP="00713331">
      <w:pPr>
        <w:pStyle w:val="Numberednormal"/>
        <w:numPr>
          <w:ilvl w:val="0"/>
          <w:numId w:val="0"/>
        </w:numPr>
        <w:ind w:left="360"/>
        <w:rPr>
          <w:szCs w:val="20"/>
        </w:rPr>
      </w:pPr>
    </w:p>
    <w:p w14:paraId="5DA1DB6B" w14:textId="0924A992" w:rsidR="00614144" w:rsidRPr="00713331" w:rsidRDefault="00614144" w:rsidP="00713331">
      <w:pPr>
        <w:pStyle w:val="Numberednormal"/>
      </w:pPr>
      <w:r w:rsidRPr="00713331">
        <w:t xml:space="preserve">En revanche, le demandeur peut sélectionner les éléments du réseau 5G qui font l’objet de la demande et peut donc introduire : </w:t>
      </w:r>
    </w:p>
    <w:p w14:paraId="256B74A2" w14:textId="0A40827C" w:rsidR="00614144" w:rsidRPr="00713331" w:rsidRDefault="00614144" w:rsidP="00713331">
      <w:pPr>
        <w:pStyle w:val="Numberednormal"/>
        <w:numPr>
          <w:ilvl w:val="0"/>
          <w:numId w:val="25"/>
        </w:numPr>
        <w:ind w:left="360"/>
        <w:rPr>
          <w:szCs w:val="20"/>
        </w:rPr>
      </w:pPr>
      <w:proofErr w:type="gramStart"/>
      <w:r w:rsidRPr="00713331">
        <w:t>un</w:t>
      </w:r>
      <w:proofErr w:type="gramEnd"/>
      <w:r w:rsidRPr="00713331">
        <w:t xml:space="preserve"> seul dossier pour l’ensemble des éléments de son réseau 5G (et donc pour l’ensemble des fournisseurs qui offrent des services pour ces éléments), ou ; </w:t>
      </w:r>
    </w:p>
    <w:p w14:paraId="26663FBF" w14:textId="246851A6" w:rsidR="00614144" w:rsidRPr="00713331" w:rsidRDefault="00614144" w:rsidP="00713331">
      <w:pPr>
        <w:pStyle w:val="Numberednormal"/>
        <w:numPr>
          <w:ilvl w:val="0"/>
          <w:numId w:val="25"/>
        </w:numPr>
        <w:ind w:left="360"/>
        <w:rPr>
          <w:szCs w:val="20"/>
        </w:rPr>
      </w:pPr>
      <w:proofErr w:type="gramStart"/>
      <w:r w:rsidRPr="00713331">
        <w:t>plusieurs</w:t>
      </w:r>
      <w:proofErr w:type="gramEnd"/>
      <w:r w:rsidRPr="00713331">
        <w:t xml:space="preserve"> dossiers, chaque dossier étant limité aux éléments de réseau sélectionnés par le demandeur (et couvre donc également uniquement les fournisseurs de services relatifs à ces éléments de réseau). </w:t>
      </w:r>
    </w:p>
    <w:p w14:paraId="07118537" w14:textId="2C783346" w:rsidR="00E814AB" w:rsidRPr="00713331" w:rsidRDefault="00E814AB" w:rsidP="00713331">
      <w:pPr>
        <w:pStyle w:val="Numberednormal"/>
        <w:numPr>
          <w:ilvl w:val="0"/>
          <w:numId w:val="0"/>
        </w:numPr>
        <w:ind w:left="360" w:hanging="360"/>
        <w:rPr>
          <w:szCs w:val="20"/>
        </w:rPr>
      </w:pPr>
    </w:p>
    <w:p w14:paraId="1A53DEB9" w14:textId="13C308F5" w:rsidR="00E814AB" w:rsidRPr="00713331" w:rsidRDefault="00E814AB" w:rsidP="00713331">
      <w:pPr>
        <w:pStyle w:val="Numberednormal"/>
        <w:numPr>
          <w:ilvl w:val="0"/>
          <w:numId w:val="6"/>
        </w:numPr>
        <w:rPr>
          <w:szCs w:val="20"/>
        </w:rPr>
      </w:pPr>
      <w:r w:rsidRPr="00713331">
        <w:t xml:space="preserve">Dans les deux cas de figure présentés au point </w:t>
      </w:r>
      <w:r w:rsidRPr="00713331">
        <w:fldChar w:fldCharType="begin"/>
      </w:r>
      <w:r w:rsidRPr="00713331">
        <w:instrText xml:space="preserve"> REF _Ref132796640 \r \h </w:instrText>
      </w:r>
      <w:r w:rsidR="00631944" w:rsidRPr="00713331">
        <w:instrText xml:space="preserve"> \* MERGEFORMAT </w:instrText>
      </w:r>
      <w:r w:rsidRPr="00713331">
        <w:fldChar w:fldCharType="separate"/>
      </w:r>
      <w:r w:rsidRPr="00713331">
        <w:t>20</w:t>
      </w:r>
      <w:r w:rsidRPr="00713331">
        <w:fldChar w:fldCharType="end"/>
      </w:r>
      <w:r w:rsidRPr="00713331">
        <w:t>, les</w:t>
      </w:r>
      <w:r w:rsidR="00E35708">
        <w:t xml:space="preserve"> parties</w:t>
      </w:r>
      <w:r w:rsidRPr="00713331">
        <w:t xml:space="preserve"> 4 et 5 doivent être joints au dossier. </w:t>
      </w:r>
    </w:p>
    <w:p w14:paraId="3BA85482" w14:textId="77777777" w:rsidR="00614144" w:rsidRPr="00713331" w:rsidRDefault="00614144" w:rsidP="00713331">
      <w:pPr>
        <w:pStyle w:val="Numberednormal"/>
        <w:numPr>
          <w:ilvl w:val="0"/>
          <w:numId w:val="0"/>
        </w:numPr>
        <w:ind w:left="360"/>
        <w:rPr>
          <w:szCs w:val="20"/>
        </w:rPr>
      </w:pPr>
      <w:r w:rsidRPr="00713331">
        <w:t xml:space="preserve">  </w:t>
      </w:r>
    </w:p>
    <w:p w14:paraId="43BEDC10" w14:textId="62965962" w:rsidR="00614144" w:rsidRPr="00713331" w:rsidRDefault="00614144" w:rsidP="00713331">
      <w:pPr>
        <w:pStyle w:val="Numberednormal"/>
      </w:pPr>
      <w:r w:rsidRPr="00713331">
        <w:t xml:space="preserve">Dans </w:t>
      </w:r>
      <w:r w:rsidR="004C79F1">
        <w:t>l</w:t>
      </w:r>
      <w:r w:rsidRPr="00713331">
        <w:t xml:space="preserve">e deuxième cas de figure, le demandeur devra respecter les obligations suivantes qui découlent de l’article 105 de la loi relative aux communications électroniques : </w:t>
      </w:r>
    </w:p>
    <w:p w14:paraId="0C0D2DAE" w14:textId="7E30CB97" w:rsidR="00614144" w:rsidRPr="00713331" w:rsidRDefault="00614144" w:rsidP="00713331">
      <w:pPr>
        <w:pStyle w:val="ListParagraph"/>
      </w:pPr>
      <w:r w:rsidRPr="00713331">
        <w:t xml:space="preserve">Dans le cadre de l’autorisation préalable, il doit obtenir l’autorisation </w:t>
      </w:r>
      <w:r w:rsidRPr="00713331">
        <w:rPr>
          <w:u w:val="single"/>
        </w:rPr>
        <w:t>avant</w:t>
      </w:r>
      <w:r w:rsidRPr="00713331">
        <w:t xml:space="preserve"> d’utiliser un élément de réseau ou de </w:t>
      </w:r>
      <w:r w:rsidR="00971621" w:rsidRPr="00713331">
        <w:t>recourir</w:t>
      </w:r>
      <w:r w:rsidRPr="00713331">
        <w:t xml:space="preserve"> à un fournisseur de service ; </w:t>
      </w:r>
    </w:p>
    <w:p w14:paraId="63DF4102" w14:textId="77777777" w:rsidR="00E814AB" w:rsidRPr="00713331" w:rsidRDefault="00614144" w:rsidP="00713331">
      <w:pPr>
        <w:pStyle w:val="ListParagraph"/>
        <w:rPr>
          <w:rFonts w:eastAsia="Times New Roman" w:cs="Tahoma"/>
        </w:rPr>
      </w:pPr>
      <w:r w:rsidRPr="00713331">
        <w:t xml:space="preserve">Dans le cadre de l’autorisation de régularisation, il doit demander l’autorisation pour l’ensemble des éléments de réseau et pour l’ensemble des fournisseurs de services relatifs à ces éléments </w:t>
      </w:r>
      <w:r w:rsidRPr="00713331">
        <w:rPr>
          <w:u w:val="single"/>
        </w:rPr>
        <w:t>au plus tard dans les deux mois</w:t>
      </w:r>
      <w:r w:rsidRPr="00713331">
        <w:t xml:space="preserve"> qui suivent l’entrée en vigueur de </w:t>
      </w:r>
      <w:r w:rsidRPr="00713331">
        <w:rPr>
          <w:color w:val="000000"/>
        </w:rPr>
        <w:t>l’arrêté royal relatif à l’autorisation ministérielle</w:t>
      </w:r>
      <w:r w:rsidRPr="00713331">
        <w:rPr>
          <w:color w:val="1E1E1C"/>
        </w:rPr>
        <w:t xml:space="preserve">. </w:t>
      </w:r>
    </w:p>
    <w:p w14:paraId="536E178C" w14:textId="77777777" w:rsidR="00E814AB" w:rsidRPr="00713331" w:rsidRDefault="00E814AB" w:rsidP="00713331">
      <w:pPr>
        <w:pStyle w:val="Heading2"/>
        <w:numPr>
          <w:ilvl w:val="1"/>
          <w:numId w:val="7"/>
        </w:numPr>
      </w:pPr>
      <w:bookmarkStart w:id="13" w:name="_Toc135085767"/>
      <w:r w:rsidRPr="00713331">
        <w:t>Granularité des éléments de réseau pour lesquels il convient d’établir une fiche individuelle</w:t>
      </w:r>
      <w:bookmarkEnd w:id="13"/>
    </w:p>
    <w:tbl>
      <w:tblPr>
        <w:tblStyle w:val="TableGrid"/>
        <w:tblW w:w="0" w:type="auto"/>
        <w:tblLook w:val="04A0" w:firstRow="1" w:lastRow="0" w:firstColumn="1" w:lastColumn="0" w:noHBand="0" w:noVBand="1"/>
      </w:tblPr>
      <w:tblGrid>
        <w:gridCol w:w="4800"/>
        <w:gridCol w:w="4262"/>
      </w:tblGrid>
      <w:tr w:rsidR="00E814AB" w:rsidRPr="00713331" w14:paraId="2E6BFD60" w14:textId="77777777" w:rsidTr="00DA32B7">
        <w:trPr>
          <w:cantSplit/>
        </w:trPr>
        <w:tc>
          <w:tcPr>
            <w:tcW w:w="4800" w:type="dxa"/>
            <w:shd w:val="clear" w:color="auto" w:fill="D9D9D9" w:themeFill="background1" w:themeFillShade="D9"/>
          </w:tcPr>
          <w:p w14:paraId="571F169F" w14:textId="77777777" w:rsidR="00E814AB" w:rsidRPr="00713331" w:rsidRDefault="00E814AB" w:rsidP="00713331">
            <w:pPr>
              <w:keepNext/>
              <w:autoSpaceDE w:val="0"/>
              <w:autoSpaceDN w:val="0"/>
              <w:adjustRightInd w:val="0"/>
              <w:spacing w:before="20" w:after="20"/>
              <w:rPr>
                <w:rFonts w:cs="Tahoma"/>
                <w:szCs w:val="20"/>
              </w:rPr>
            </w:pPr>
            <w:r w:rsidRPr="00713331">
              <w:lastRenderedPageBreak/>
              <w:t xml:space="preserve">Question des opérateurs  </w:t>
            </w:r>
          </w:p>
        </w:tc>
        <w:tc>
          <w:tcPr>
            <w:tcW w:w="4262" w:type="dxa"/>
            <w:shd w:val="clear" w:color="auto" w:fill="D9D9D9" w:themeFill="background1" w:themeFillShade="D9"/>
          </w:tcPr>
          <w:p w14:paraId="5EB3AFCC" w14:textId="77777777" w:rsidR="00E814AB" w:rsidRPr="00713331" w:rsidRDefault="00E814AB" w:rsidP="00713331">
            <w:pPr>
              <w:rPr>
                <w:rFonts w:cs="Tahoma"/>
                <w:szCs w:val="20"/>
              </w:rPr>
            </w:pPr>
            <w:r w:rsidRPr="00713331">
              <w:t xml:space="preserve">Analyse </w:t>
            </w:r>
          </w:p>
        </w:tc>
      </w:tr>
      <w:tr w:rsidR="00E814AB" w:rsidRPr="00713331" w14:paraId="6156049F" w14:textId="77777777" w:rsidTr="00DA32B7">
        <w:trPr>
          <w:cantSplit/>
          <w:trHeight w:val="2696"/>
        </w:trPr>
        <w:tc>
          <w:tcPr>
            <w:tcW w:w="4800" w:type="dxa"/>
          </w:tcPr>
          <w:p w14:paraId="7FE424A9" w14:textId="77777777" w:rsidR="00E814AB" w:rsidRPr="00713331" w:rsidRDefault="00E814AB" w:rsidP="00713331">
            <w:pPr>
              <w:keepNext/>
              <w:autoSpaceDE w:val="0"/>
              <w:autoSpaceDN w:val="0"/>
              <w:adjustRightInd w:val="0"/>
              <w:spacing w:before="20" w:after="20"/>
              <w:rPr>
                <w:rFonts w:cs="Tahoma"/>
                <w:szCs w:val="20"/>
                <w:u w:val="single"/>
                <w:lang w:val="en-US"/>
              </w:rPr>
            </w:pPr>
            <w:r w:rsidRPr="00713331">
              <w:rPr>
                <w:u w:val="single"/>
                <w:lang w:val="en-US"/>
              </w:rPr>
              <w:t xml:space="preserve">Operator X </w:t>
            </w:r>
          </w:p>
          <w:p w14:paraId="6E5F70F6" w14:textId="4A4F8B8B" w:rsidR="00E814AB" w:rsidRPr="00713331" w:rsidRDefault="00D7675E" w:rsidP="00713331">
            <w:pPr>
              <w:keepNext/>
              <w:autoSpaceDE w:val="0"/>
              <w:autoSpaceDN w:val="0"/>
              <w:adjustRightInd w:val="0"/>
              <w:spacing w:before="20" w:after="20"/>
              <w:rPr>
                <w:rFonts w:cs="Tahoma"/>
                <w:szCs w:val="20"/>
                <w:lang w:val="en-US"/>
              </w:rPr>
            </w:pPr>
            <w:r>
              <w:rPr>
                <w:lang w:val="en-US"/>
              </w:rPr>
              <w:t>“</w:t>
            </w:r>
            <w:r w:rsidR="00E814AB" w:rsidRPr="00713331">
              <w:rPr>
                <w:lang w:val="en-US"/>
              </w:rPr>
              <w:t xml:space="preserve">First of all, we would like to underline the need to obtain more clarity on what constitutes a “5G network element” as this term is not defined in the (draft) Royal Decree concerning the ministerial authorization. </w:t>
            </w:r>
            <w:proofErr w:type="gramStart"/>
            <w:r w:rsidR="00E814AB" w:rsidRPr="00713331">
              <w:rPr>
                <w:lang w:val="en-US"/>
              </w:rPr>
              <w:t>In particular for</w:t>
            </w:r>
            <w:proofErr w:type="gramEnd"/>
            <w:r w:rsidR="00E814AB" w:rsidRPr="00713331">
              <w:rPr>
                <w:lang w:val="en-US"/>
              </w:rPr>
              <w:t xml:space="preserve"> the RAN network, it is not clear which granularity is expected. For example: in case of a base station, there are by default 15-20 modules inside the base station. Should we request an authorization for all these modules? We call upon BIPT to provide concrete guidelines which are pragmatic whilst avoiding that authorizations need to be applied for individual elements which are going too deep in the network.</w:t>
            </w:r>
            <w:r>
              <w:rPr>
                <w:lang w:val="en-US"/>
              </w:rPr>
              <w:t>”</w:t>
            </w:r>
            <w:r w:rsidR="00E814AB" w:rsidRPr="00713331">
              <w:rPr>
                <w:lang w:val="en-US"/>
              </w:rPr>
              <w:t xml:space="preserve"> </w:t>
            </w:r>
          </w:p>
        </w:tc>
        <w:tc>
          <w:tcPr>
            <w:tcW w:w="4262" w:type="dxa"/>
          </w:tcPr>
          <w:p w14:paraId="5E7D7A16" w14:textId="77777777" w:rsidR="00E814AB" w:rsidRPr="00713331" w:rsidRDefault="00E814AB" w:rsidP="00713331">
            <w:pPr>
              <w:rPr>
                <w:rFonts w:cs="Tahoma"/>
                <w:szCs w:val="20"/>
              </w:rPr>
            </w:pPr>
            <w:r w:rsidRPr="00713331">
              <w:rPr>
                <w:color w:val="000000"/>
              </w:rPr>
              <w:t>L’article 105, § 1</w:t>
            </w:r>
            <w:r w:rsidRPr="00713331">
              <w:rPr>
                <w:color w:val="000000"/>
                <w:vertAlign w:val="superscript"/>
              </w:rPr>
              <w:t>er</w:t>
            </w:r>
            <w:r w:rsidRPr="00713331">
              <w:rPr>
                <w:color w:val="000000"/>
              </w:rPr>
              <w:t>, alinéa 3, 2°, de la loi du 13 juin 2005 relative aux communications électroniques définit un réseau 5G comme suit : « un réseau de communications électroniques dont le réseau d'accès radioélectrique est basé sur une interface radio spécifiée dans la recommandation UIT-R M.2150 de l'Union internationale des télécommunications. »</w:t>
            </w:r>
          </w:p>
          <w:p w14:paraId="0EC18D6A" w14:textId="77777777" w:rsidR="00E814AB" w:rsidRPr="00713331" w:rsidRDefault="00E814AB" w:rsidP="00713331">
            <w:pPr>
              <w:rPr>
                <w:rFonts w:cs="Tahoma"/>
                <w:szCs w:val="20"/>
              </w:rPr>
            </w:pPr>
          </w:p>
          <w:p w14:paraId="325AD2CE" w14:textId="77777777" w:rsidR="00E814AB" w:rsidRPr="00713331" w:rsidRDefault="00E814AB" w:rsidP="00713331">
            <w:pPr>
              <w:rPr>
                <w:rFonts w:cs="Tahoma"/>
                <w:szCs w:val="20"/>
              </w:rPr>
            </w:pPr>
            <w:r w:rsidRPr="00713331">
              <w:t xml:space="preserve">Une autorisation doit être demandée pour les 15-20 modules de la station de base, sauf pour des modules qui ne seraient pas liées à fourniture d’un réseau ou service 5G. </w:t>
            </w:r>
          </w:p>
        </w:tc>
      </w:tr>
      <w:tr w:rsidR="00E814AB" w:rsidRPr="00713331" w14:paraId="2A63A4F4" w14:textId="77777777" w:rsidTr="00DA32B7">
        <w:trPr>
          <w:cantSplit/>
        </w:trPr>
        <w:tc>
          <w:tcPr>
            <w:tcW w:w="4800" w:type="dxa"/>
          </w:tcPr>
          <w:p w14:paraId="3BFC3528" w14:textId="77777777" w:rsidR="00E814AB" w:rsidRPr="00713331" w:rsidRDefault="00E814AB" w:rsidP="00713331">
            <w:pPr>
              <w:keepNext/>
              <w:autoSpaceDE w:val="0"/>
              <w:autoSpaceDN w:val="0"/>
              <w:adjustRightInd w:val="0"/>
              <w:spacing w:before="20" w:after="20"/>
              <w:rPr>
                <w:rFonts w:cs="Tahoma"/>
                <w:b/>
                <w:bCs/>
                <w:szCs w:val="20"/>
                <w:u w:val="single"/>
              </w:rPr>
            </w:pPr>
            <w:r w:rsidRPr="00713331">
              <w:rPr>
                <w:b/>
                <w:u w:val="single"/>
              </w:rPr>
              <w:t>Opérateur X</w:t>
            </w:r>
          </w:p>
          <w:p w14:paraId="559020DD" w14:textId="77777777" w:rsidR="00E814AB" w:rsidRPr="00713331" w:rsidRDefault="00E814AB" w:rsidP="00713331">
            <w:pPr>
              <w:pStyle w:val="Numberednormal"/>
              <w:numPr>
                <w:ilvl w:val="1"/>
                <w:numId w:val="48"/>
              </w:numPr>
              <w:ind w:left="360"/>
              <w:rPr>
                <w:rFonts w:cs="Tahoma"/>
                <w:iCs/>
                <w:szCs w:val="20"/>
              </w:rPr>
            </w:pPr>
            <w:r w:rsidRPr="00713331">
              <w:t>Selon l’article 10, § 1</w:t>
            </w:r>
            <w:r w:rsidRPr="00713331">
              <w:rPr>
                <w:vertAlign w:val="superscript"/>
              </w:rPr>
              <w:t>er</w:t>
            </w:r>
            <w:r w:rsidRPr="00713331">
              <w:t xml:space="preserve">, de l’arrêté royal, l’opérateur doit inclure, </w:t>
            </w:r>
            <w:r w:rsidRPr="00713331">
              <w:rPr>
                <w:b/>
                <w:i/>
                <w:u w:val="single"/>
              </w:rPr>
              <w:t>pour tous les éléments actifs utiles à la fourniture de services 5G</w:t>
            </w:r>
            <w:r w:rsidRPr="00713331">
              <w:rPr>
                <w:i/>
              </w:rPr>
              <w:t>, au moins les éléments suivants</w:t>
            </w:r>
            <w:r w:rsidRPr="00713331">
              <w:t> :</w:t>
            </w:r>
          </w:p>
          <w:p w14:paraId="15499641" w14:textId="77777777" w:rsidR="00E814AB" w:rsidRPr="00713331" w:rsidRDefault="00E814AB" w:rsidP="00713331">
            <w:pPr>
              <w:pStyle w:val="ListParagraph"/>
              <w:keepLines w:val="0"/>
              <w:numPr>
                <w:ilvl w:val="2"/>
                <w:numId w:val="48"/>
              </w:numPr>
              <w:spacing w:line="256" w:lineRule="auto"/>
              <w:ind w:left="1080"/>
              <w:jc w:val="left"/>
              <w:rPr>
                <w:rFonts w:cs="Tahoma"/>
                <w:iCs/>
              </w:rPr>
            </w:pPr>
            <w:bookmarkStart w:id="14" w:name="_Hlk123733129"/>
            <w:r w:rsidRPr="00713331">
              <w:t xml:space="preserve">1° l’identité des différentes personnes morales qui gèrent et supervisent ces différents éléments ou auxquelles l’entreprise concernée attribuera ces opérations, lorsque ces personnes morales sont différentes du demandeur ;    </w:t>
            </w:r>
          </w:p>
          <w:p w14:paraId="4315F888" w14:textId="77777777" w:rsidR="00E814AB" w:rsidRPr="00713331" w:rsidRDefault="00E814AB" w:rsidP="00713331">
            <w:pPr>
              <w:pStyle w:val="ListParagraph"/>
              <w:keepLines w:val="0"/>
              <w:numPr>
                <w:ilvl w:val="2"/>
                <w:numId w:val="48"/>
              </w:numPr>
              <w:spacing w:line="256" w:lineRule="auto"/>
              <w:ind w:left="1080"/>
              <w:jc w:val="left"/>
              <w:rPr>
                <w:rFonts w:cs="Tahoma"/>
                <w:iCs/>
              </w:rPr>
            </w:pPr>
            <w:r w:rsidRPr="00713331">
              <w:t xml:space="preserve">2° l’identité des équipementiers qui produisent les éléments actifs visés au 17° ;  </w:t>
            </w:r>
          </w:p>
          <w:p w14:paraId="3CEC46BC" w14:textId="77777777" w:rsidR="00E814AB" w:rsidRPr="00713331" w:rsidRDefault="00E814AB" w:rsidP="00713331">
            <w:pPr>
              <w:pStyle w:val="ListParagraph"/>
              <w:keepLines w:val="0"/>
              <w:numPr>
                <w:ilvl w:val="2"/>
                <w:numId w:val="48"/>
              </w:numPr>
              <w:spacing w:line="256" w:lineRule="auto"/>
              <w:ind w:left="1080"/>
              <w:jc w:val="left"/>
              <w:rPr>
                <w:rFonts w:cs="Tahoma"/>
                <w:iCs/>
              </w:rPr>
            </w:pPr>
            <w:r w:rsidRPr="00713331">
              <w:t xml:space="preserve">3° une description des éléments actifs qu’elle souhaite utiliser (demande d’autorisation préalable) ou utilise (demande de régularisation), en faisant une distinction entre le réseau d’accès radioélectrique, la dorsale du réseau de transport, le réseau d’agrégation du réseau de transport et la partie centrale du réseau. </w:t>
            </w:r>
          </w:p>
          <w:p w14:paraId="4F625F28" w14:textId="77777777" w:rsidR="00E814AB" w:rsidRPr="00713331" w:rsidRDefault="00E814AB" w:rsidP="00713331">
            <w:pPr>
              <w:pStyle w:val="ListParagraph"/>
              <w:ind w:left="0"/>
              <w:rPr>
                <w:rFonts w:cs="Tahoma"/>
                <w:iCs/>
              </w:rPr>
            </w:pPr>
          </w:p>
          <w:bookmarkEnd w:id="14"/>
          <w:p w14:paraId="0BE9589A" w14:textId="77777777" w:rsidR="00E814AB" w:rsidRPr="00713331" w:rsidRDefault="00E814AB" w:rsidP="00713331">
            <w:pPr>
              <w:pStyle w:val="ListParagraph"/>
              <w:keepLines w:val="0"/>
              <w:numPr>
                <w:ilvl w:val="1"/>
                <w:numId w:val="48"/>
              </w:numPr>
              <w:spacing w:line="256" w:lineRule="auto"/>
              <w:ind w:left="360"/>
              <w:jc w:val="left"/>
              <w:rPr>
                <w:rFonts w:cs="Tahoma"/>
                <w:b/>
                <w:bCs/>
                <w:u w:val="single"/>
              </w:rPr>
            </w:pPr>
            <w:r w:rsidRPr="00713331">
              <w:t>La notion d’« </w:t>
            </w:r>
            <w:r w:rsidRPr="00713331">
              <w:rPr>
                <w:i/>
              </w:rPr>
              <w:t>éléments actifs utiles à la fourniture de services 5G</w:t>
            </w:r>
            <w:r w:rsidRPr="00713331">
              <w:t> » n’est néanmoins nulle part clairement définie. Le niveau de composant, ou d'ensemble de composants pour lequel une fiche séparée doit être établie n’apparaît pas clairement.</w:t>
            </w:r>
          </w:p>
        </w:tc>
        <w:tc>
          <w:tcPr>
            <w:tcW w:w="4262" w:type="dxa"/>
          </w:tcPr>
          <w:p w14:paraId="11F8C1F9" w14:textId="77777777" w:rsidR="00E814AB" w:rsidRPr="00713331" w:rsidRDefault="00E814AB" w:rsidP="00713331">
            <w:pPr>
              <w:rPr>
                <w:rFonts w:cs="Tahoma"/>
                <w:szCs w:val="20"/>
              </w:rPr>
            </w:pPr>
          </w:p>
          <w:p w14:paraId="0F361F83" w14:textId="77777777" w:rsidR="00E814AB" w:rsidRPr="00713331" w:rsidRDefault="00E814AB" w:rsidP="00713331">
            <w:pPr>
              <w:rPr>
                <w:rFonts w:cs="Tahoma"/>
                <w:szCs w:val="20"/>
              </w:rPr>
            </w:pPr>
          </w:p>
        </w:tc>
      </w:tr>
      <w:tr w:rsidR="00E814AB" w:rsidRPr="00713331" w14:paraId="79E0CC78" w14:textId="77777777" w:rsidTr="00DA32B7">
        <w:trPr>
          <w:cantSplit/>
        </w:trPr>
        <w:tc>
          <w:tcPr>
            <w:tcW w:w="4800" w:type="dxa"/>
          </w:tcPr>
          <w:p w14:paraId="4BBBFF9A" w14:textId="77777777" w:rsidR="00E814AB" w:rsidRPr="00713331" w:rsidRDefault="00E814AB" w:rsidP="00713331">
            <w:pPr>
              <w:pStyle w:val="ListParagraph"/>
              <w:ind w:left="360"/>
              <w:rPr>
                <w:rFonts w:cs="Tahoma"/>
                <w:iCs/>
              </w:rPr>
            </w:pPr>
            <w:r w:rsidRPr="00713331">
              <w:lastRenderedPageBreak/>
              <w:t>À titre d'exemple, une station de base 5G typique appartenant au réseau d’accès radioélectrique se compose fonctionnellement de quatre éléments fondamentaux : antenne - radio (émetteur/récepteur) - unité de bande de base - alimentation électrique.</w:t>
            </w:r>
          </w:p>
          <w:p w14:paraId="0649A46B" w14:textId="77777777" w:rsidR="00E814AB" w:rsidRPr="00713331" w:rsidRDefault="00E814AB" w:rsidP="00713331">
            <w:pPr>
              <w:pStyle w:val="ListParagraph"/>
              <w:ind w:left="360"/>
              <w:rPr>
                <w:rFonts w:cs="Tahoma"/>
                <w:iCs/>
              </w:rPr>
            </w:pPr>
            <w:r w:rsidRPr="00713331">
              <w:t xml:space="preserve">Chacun de ces éléments est constitué d'un certain nombre de modules différents (par exemple, une station de base typique peut comprendre une quinzaine (ou plus) de modules actifs différents, avec potentiellement une combinaison différente pour chaque station de base). </w:t>
            </w:r>
          </w:p>
          <w:p w14:paraId="6482FF0B" w14:textId="77777777" w:rsidR="00E814AB" w:rsidRPr="00713331" w:rsidRDefault="00E814AB" w:rsidP="00713331">
            <w:pPr>
              <w:pStyle w:val="ListParagraph"/>
              <w:ind w:left="360"/>
              <w:rPr>
                <w:rFonts w:cs="Tahoma"/>
                <w:b/>
                <w:bCs/>
                <w:u w:val="single"/>
              </w:rPr>
            </w:pPr>
            <w:r w:rsidRPr="00713331">
              <w:t>Cet exemple illustre le réseau d’accès radioélectrique, mais la situation est similaire pour les éléments de réseau actifs dans les autres parties du réseau 5G.</w:t>
            </w:r>
          </w:p>
        </w:tc>
        <w:tc>
          <w:tcPr>
            <w:tcW w:w="4262" w:type="dxa"/>
          </w:tcPr>
          <w:p w14:paraId="107F2CA7" w14:textId="77777777" w:rsidR="00E814AB" w:rsidRPr="00713331" w:rsidRDefault="00E814AB" w:rsidP="00713331">
            <w:pPr>
              <w:rPr>
                <w:rFonts w:cs="Tahoma"/>
                <w:szCs w:val="20"/>
              </w:rPr>
            </w:pPr>
          </w:p>
        </w:tc>
      </w:tr>
      <w:tr w:rsidR="00E814AB" w:rsidRPr="00713331" w14:paraId="0DD119F0" w14:textId="77777777" w:rsidTr="00DA32B7">
        <w:trPr>
          <w:cantSplit/>
        </w:trPr>
        <w:tc>
          <w:tcPr>
            <w:tcW w:w="4800" w:type="dxa"/>
          </w:tcPr>
          <w:p w14:paraId="40111493" w14:textId="77777777" w:rsidR="00E814AB" w:rsidRPr="00713331" w:rsidRDefault="00E814AB" w:rsidP="00713331">
            <w:pPr>
              <w:rPr>
                <w:rFonts w:cs="Tahoma"/>
                <w:iCs/>
                <w:szCs w:val="20"/>
              </w:rPr>
            </w:pPr>
            <w:r w:rsidRPr="00713331">
              <w:t>Compte tenu de la multitude de modules actifs et de combinaisons possibles, nous estimons qu'il n'est ni utile ni pratique d'établir une fiche d’information pour chaque module.</w:t>
            </w:r>
          </w:p>
          <w:p w14:paraId="6A4F2457" w14:textId="77777777" w:rsidR="00E814AB" w:rsidRPr="00713331" w:rsidRDefault="00E814AB" w:rsidP="00713331">
            <w:pPr>
              <w:rPr>
                <w:rFonts w:cs="Tahoma"/>
                <w:iCs/>
                <w:szCs w:val="20"/>
              </w:rPr>
            </w:pPr>
          </w:p>
          <w:p w14:paraId="79320EBE" w14:textId="77777777" w:rsidR="00E814AB" w:rsidRPr="00713331" w:rsidRDefault="00E814AB" w:rsidP="00713331">
            <w:pPr>
              <w:rPr>
                <w:rFonts w:cs="Tahoma"/>
                <w:iCs/>
                <w:szCs w:val="20"/>
              </w:rPr>
            </w:pPr>
            <w:r w:rsidRPr="00713331">
              <w:t>L'opérateur X propose donc d'établir les fiches d'information pour un niveau global pertinent de composants ou de plateformes - dans la mesure où ceux-ci sont composés de modules du même fournisseur. Cela nous permet d’obtenir une approbation de ces plateformes techniques ainsi que des fournisseurs et prestataires de services sous-jacents ;</w:t>
            </w:r>
          </w:p>
        </w:tc>
        <w:tc>
          <w:tcPr>
            <w:tcW w:w="4262" w:type="dxa"/>
          </w:tcPr>
          <w:p w14:paraId="106C99DE" w14:textId="77777777" w:rsidR="00E814AB" w:rsidRPr="00713331" w:rsidRDefault="00E814AB" w:rsidP="00713331">
            <w:pPr>
              <w:rPr>
                <w:rStyle w:val="cf01"/>
                <w:rFonts w:ascii="Tahoma" w:hAnsi="Tahoma" w:cs="Tahoma"/>
                <w:sz w:val="20"/>
                <w:szCs w:val="20"/>
              </w:rPr>
            </w:pPr>
            <w:r w:rsidRPr="00713331">
              <w:rPr>
                <w:rStyle w:val="cf01"/>
                <w:rFonts w:ascii="Tahoma" w:hAnsi="Tahoma"/>
                <w:sz w:val="20"/>
              </w:rPr>
              <w:t xml:space="preserve">Une approbation doit être demandée pour tous les modules. </w:t>
            </w:r>
          </w:p>
          <w:p w14:paraId="3157A374" w14:textId="77777777" w:rsidR="00E814AB" w:rsidRPr="00713331" w:rsidRDefault="00E814AB" w:rsidP="00713331">
            <w:pPr>
              <w:rPr>
                <w:rStyle w:val="cf01"/>
                <w:rFonts w:ascii="Tahoma" w:hAnsi="Tahoma" w:cs="Tahoma"/>
                <w:sz w:val="20"/>
                <w:szCs w:val="20"/>
              </w:rPr>
            </w:pPr>
          </w:p>
          <w:p w14:paraId="0A266FC3" w14:textId="7482FF90" w:rsidR="00E814AB" w:rsidRPr="00713331" w:rsidRDefault="00E814AB" w:rsidP="00713331">
            <w:pPr>
              <w:rPr>
                <w:rFonts w:cs="Tahoma"/>
                <w:szCs w:val="20"/>
              </w:rPr>
            </w:pPr>
            <w:r w:rsidRPr="00713331">
              <w:t xml:space="preserve">Toutefois, des éléments formant un tout (par exemple, les modules d’une station de base) peuvent être regroupés dans une même fiche à condition : </w:t>
            </w:r>
          </w:p>
          <w:p w14:paraId="7F9A3E6A" w14:textId="0BCE08CE" w:rsidR="00E814AB" w:rsidRPr="00713331" w:rsidRDefault="004C79F1" w:rsidP="00713331">
            <w:pPr>
              <w:pStyle w:val="ListParagraph"/>
              <w:keepLines w:val="0"/>
              <w:numPr>
                <w:ilvl w:val="0"/>
                <w:numId w:val="34"/>
              </w:numPr>
              <w:jc w:val="left"/>
              <w:rPr>
                <w:rFonts w:cs="Tahoma"/>
              </w:rPr>
            </w:pPr>
            <w:r>
              <w:t>qu’</w:t>
            </w:r>
            <w:r w:rsidR="00E814AB" w:rsidRPr="00713331">
              <w:t>il s'agisse du même fournisseur (c'est-à-dire le même équipementier et/ou le même fournisseur de services) ;</w:t>
            </w:r>
          </w:p>
          <w:p w14:paraId="5B5959A6" w14:textId="2D870CD7" w:rsidR="00E814AB" w:rsidRPr="00713331" w:rsidRDefault="004C79F1" w:rsidP="00713331">
            <w:pPr>
              <w:pStyle w:val="ListParagraph"/>
              <w:numPr>
                <w:ilvl w:val="0"/>
                <w:numId w:val="34"/>
              </w:numPr>
              <w:rPr>
                <w:rFonts w:cs="Tahoma"/>
              </w:rPr>
            </w:pPr>
            <w:r>
              <w:t xml:space="preserve">que </w:t>
            </w:r>
            <w:r w:rsidR="00E814AB" w:rsidRPr="00713331">
              <w:t>toutes les informations techniques requises soient fournies.</w:t>
            </w:r>
          </w:p>
        </w:tc>
      </w:tr>
      <w:tr w:rsidR="00E814AB" w:rsidRPr="00713331" w14:paraId="6B5E961F" w14:textId="77777777" w:rsidTr="00DA32B7">
        <w:trPr>
          <w:cantSplit/>
        </w:trPr>
        <w:tc>
          <w:tcPr>
            <w:tcW w:w="4800" w:type="dxa"/>
          </w:tcPr>
          <w:p w14:paraId="29DCBD7E" w14:textId="77777777" w:rsidR="00E814AB" w:rsidRPr="00713331" w:rsidRDefault="00E814AB" w:rsidP="00713331">
            <w:pPr>
              <w:rPr>
                <w:rFonts w:cs="Tahoma"/>
                <w:iCs/>
                <w:szCs w:val="20"/>
              </w:rPr>
            </w:pPr>
            <w:r w:rsidRPr="00713331">
              <w:lastRenderedPageBreak/>
              <w:t>Nous proposons donc d'établir une fiche pour les composants/plateformes suivants, avec une ventilation éventuelle par fournisseur concerné :</w:t>
            </w:r>
          </w:p>
          <w:p w14:paraId="145E522F" w14:textId="77777777" w:rsidR="00E814AB" w:rsidRPr="00713331" w:rsidRDefault="00E814AB" w:rsidP="00713331">
            <w:pPr>
              <w:pStyle w:val="ListParagraph"/>
              <w:numPr>
                <w:ilvl w:val="0"/>
                <w:numId w:val="0"/>
              </w:numPr>
              <w:ind w:left="360"/>
              <w:rPr>
                <w:rFonts w:cs="Tahoma"/>
                <w:iCs/>
              </w:rPr>
            </w:pPr>
          </w:p>
          <w:p w14:paraId="01838C86" w14:textId="77777777" w:rsidR="00E814AB" w:rsidRPr="00713331" w:rsidRDefault="00E814AB" w:rsidP="00713331">
            <w:pPr>
              <w:pStyle w:val="ListParagraph"/>
              <w:ind w:left="360"/>
              <w:rPr>
                <w:rFonts w:cs="Tahoma"/>
                <w:b/>
                <w:bCs/>
                <w:iCs/>
              </w:rPr>
            </w:pPr>
            <w:r w:rsidRPr="00713331">
              <w:rPr>
                <w:b/>
              </w:rPr>
              <w:t>Au niveau du réseau d’accès radioélectrique</w:t>
            </w:r>
          </w:p>
          <w:p w14:paraId="2EB2B40B"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Antenne</w:t>
            </w:r>
          </w:p>
          <w:p w14:paraId="18B1C8CA"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Transmitter / Receiver (TRX)</w:t>
            </w:r>
          </w:p>
          <w:p w14:paraId="7770B499" w14:textId="77777777" w:rsidR="00E814AB" w:rsidRPr="00713331" w:rsidRDefault="00E814AB" w:rsidP="00713331">
            <w:pPr>
              <w:pStyle w:val="ListParagraph"/>
              <w:keepLines w:val="0"/>
              <w:numPr>
                <w:ilvl w:val="0"/>
                <w:numId w:val="49"/>
              </w:numPr>
              <w:spacing w:line="256" w:lineRule="auto"/>
              <w:ind w:left="720"/>
              <w:jc w:val="left"/>
              <w:rPr>
                <w:rFonts w:cs="Tahoma"/>
              </w:rPr>
            </w:pPr>
            <w:r w:rsidRPr="00713331">
              <w:t>Baseband Unit (BBU)</w:t>
            </w:r>
          </w:p>
          <w:p w14:paraId="39CD5784" w14:textId="77777777" w:rsidR="00E814AB" w:rsidRPr="00713331" w:rsidRDefault="00E814AB" w:rsidP="00713331">
            <w:pPr>
              <w:pStyle w:val="ListParagraph"/>
              <w:keepLines w:val="0"/>
              <w:numPr>
                <w:ilvl w:val="0"/>
                <w:numId w:val="49"/>
              </w:numPr>
              <w:spacing w:line="256" w:lineRule="auto"/>
              <w:ind w:left="720"/>
              <w:jc w:val="left"/>
              <w:rPr>
                <w:rFonts w:cs="Tahoma"/>
              </w:rPr>
            </w:pPr>
            <w:r w:rsidRPr="00713331">
              <w:t>Power Supply</w:t>
            </w:r>
          </w:p>
          <w:p w14:paraId="15A343D7"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O&amp;M Platform</w:t>
            </w:r>
          </w:p>
          <w:p w14:paraId="336E3D43" w14:textId="77777777" w:rsidR="00E814AB" w:rsidRPr="00713331" w:rsidRDefault="00E814AB" w:rsidP="00713331">
            <w:pPr>
              <w:pStyle w:val="ListParagraph"/>
              <w:numPr>
                <w:ilvl w:val="0"/>
                <w:numId w:val="0"/>
              </w:numPr>
              <w:ind w:left="360"/>
              <w:rPr>
                <w:rFonts w:cs="Tahoma"/>
                <w:b/>
              </w:rPr>
            </w:pPr>
          </w:p>
          <w:p w14:paraId="273108FC" w14:textId="77777777" w:rsidR="00E814AB" w:rsidRPr="00713331" w:rsidRDefault="00E814AB" w:rsidP="00713331">
            <w:pPr>
              <w:pStyle w:val="ListParagraph"/>
              <w:ind w:left="360"/>
              <w:rPr>
                <w:rFonts w:cs="Tahoma"/>
                <w:b/>
              </w:rPr>
            </w:pPr>
            <w:r w:rsidRPr="00713331">
              <w:rPr>
                <w:b/>
              </w:rPr>
              <w:t>Au niveau du réseau de transport</w:t>
            </w:r>
          </w:p>
          <w:p w14:paraId="1F3276A1" w14:textId="77777777" w:rsidR="00E814AB" w:rsidRPr="00713331" w:rsidRDefault="00E814AB" w:rsidP="00713331">
            <w:pPr>
              <w:pStyle w:val="ListParagraph"/>
              <w:keepLines w:val="0"/>
              <w:numPr>
                <w:ilvl w:val="0"/>
                <w:numId w:val="49"/>
              </w:numPr>
              <w:spacing w:line="256" w:lineRule="auto"/>
              <w:ind w:left="720"/>
              <w:jc w:val="left"/>
              <w:rPr>
                <w:rFonts w:cs="Tahoma"/>
              </w:rPr>
            </w:pPr>
            <w:r w:rsidRPr="00713331">
              <w:t>Optical network Multiplexer</w:t>
            </w:r>
          </w:p>
          <w:p w14:paraId="6DFDB21D" w14:textId="77777777" w:rsidR="00E814AB" w:rsidRPr="00713331" w:rsidRDefault="00E814AB" w:rsidP="00713331">
            <w:pPr>
              <w:pStyle w:val="ListParagraph"/>
              <w:keepLines w:val="0"/>
              <w:numPr>
                <w:ilvl w:val="0"/>
                <w:numId w:val="49"/>
              </w:numPr>
              <w:spacing w:line="256" w:lineRule="auto"/>
              <w:ind w:left="720"/>
              <w:jc w:val="left"/>
              <w:rPr>
                <w:rFonts w:cs="Tahoma"/>
              </w:rPr>
            </w:pPr>
            <w:r w:rsidRPr="00713331">
              <w:t>Data network Router</w:t>
            </w:r>
          </w:p>
          <w:p w14:paraId="38A6E225" w14:textId="77777777" w:rsidR="00E814AB" w:rsidRPr="00713331" w:rsidRDefault="00E814AB" w:rsidP="00713331">
            <w:pPr>
              <w:pStyle w:val="ListParagraph"/>
              <w:keepLines w:val="0"/>
              <w:numPr>
                <w:ilvl w:val="0"/>
                <w:numId w:val="49"/>
              </w:numPr>
              <w:spacing w:line="256" w:lineRule="auto"/>
              <w:ind w:left="720"/>
              <w:jc w:val="left"/>
              <w:rPr>
                <w:rFonts w:cs="Tahoma"/>
              </w:rPr>
            </w:pPr>
            <w:r w:rsidRPr="00713331">
              <w:t>Mobile Backhauling CPE</w:t>
            </w:r>
          </w:p>
          <w:p w14:paraId="753E7696" w14:textId="77777777" w:rsidR="00E814AB" w:rsidRPr="00713331" w:rsidRDefault="00E814AB" w:rsidP="00713331">
            <w:pPr>
              <w:pStyle w:val="ListParagraph"/>
              <w:keepLines w:val="0"/>
              <w:numPr>
                <w:ilvl w:val="0"/>
                <w:numId w:val="49"/>
              </w:numPr>
              <w:spacing w:line="256" w:lineRule="auto"/>
              <w:ind w:left="720"/>
              <w:jc w:val="left"/>
              <w:rPr>
                <w:rFonts w:cs="Tahoma"/>
                <w:lang w:val="en-US"/>
              </w:rPr>
            </w:pPr>
            <w:r w:rsidRPr="00713331">
              <w:rPr>
                <w:lang w:val="en-US"/>
              </w:rPr>
              <w:t>µwave indoor &amp; outdoor unit (of combo outdoor / indoor)</w:t>
            </w:r>
          </w:p>
          <w:p w14:paraId="78584DD4" w14:textId="77777777" w:rsidR="00E814AB" w:rsidRPr="00713331" w:rsidRDefault="00E814AB" w:rsidP="00713331">
            <w:pPr>
              <w:pStyle w:val="ListParagraph"/>
              <w:keepLines w:val="0"/>
              <w:numPr>
                <w:ilvl w:val="0"/>
                <w:numId w:val="49"/>
              </w:numPr>
              <w:spacing w:line="256" w:lineRule="auto"/>
              <w:ind w:left="720"/>
              <w:jc w:val="left"/>
              <w:rPr>
                <w:rFonts w:cs="Tahoma"/>
              </w:rPr>
            </w:pPr>
            <w:r w:rsidRPr="00713331">
              <w:t>Security gateway</w:t>
            </w:r>
          </w:p>
          <w:p w14:paraId="6EAEA93C"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O&amp;M Platform</w:t>
            </w:r>
          </w:p>
          <w:p w14:paraId="3D9F604D" w14:textId="77777777" w:rsidR="00E814AB" w:rsidRPr="00713331" w:rsidRDefault="00E814AB" w:rsidP="00713331">
            <w:pPr>
              <w:pStyle w:val="ListParagraph"/>
              <w:numPr>
                <w:ilvl w:val="0"/>
                <w:numId w:val="0"/>
              </w:numPr>
              <w:ind w:left="717"/>
              <w:rPr>
                <w:rFonts w:cs="Tahoma"/>
              </w:rPr>
            </w:pPr>
          </w:p>
          <w:p w14:paraId="263E4D68" w14:textId="77777777" w:rsidR="00E814AB" w:rsidRPr="00713331" w:rsidRDefault="00E814AB" w:rsidP="00713331">
            <w:pPr>
              <w:pStyle w:val="ListParagraph"/>
              <w:ind w:left="360"/>
              <w:rPr>
                <w:rFonts w:cs="Tahoma"/>
                <w:b/>
              </w:rPr>
            </w:pPr>
            <w:r w:rsidRPr="00713331">
              <w:rPr>
                <w:b/>
              </w:rPr>
              <w:t>Au niveau de la partie centrale du réseau</w:t>
            </w:r>
          </w:p>
          <w:p w14:paraId="3F2C43AE"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mobile data Core (EPC)</w:t>
            </w:r>
          </w:p>
          <w:p w14:paraId="202D4D32"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Voice Core</w:t>
            </w:r>
          </w:p>
          <w:p w14:paraId="04F7289F"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VAS Platforms</w:t>
            </w:r>
          </w:p>
          <w:p w14:paraId="18DE0ABF"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IMS Platform</w:t>
            </w:r>
          </w:p>
          <w:p w14:paraId="194EF098"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Interconnect platform</w:t>
            </w:r>
          </w:p>
          <w:p w14:paraId="0470BB55"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lawful intercept</w:t>
            </w:r>
          </w:p>
          <w:p w14:paraId="73CF639F" w14:textId="77777777" w:rsidR="00E814AB" w:rsidRPr="00713331" w:rsidRDefault="00E814AB" w:rsidP="00713331">
            <w:pPr>
              <w:pStyle w:val="ListParagraph"/>
              <w:keepLines w:val="0"/>
              <w:numPr>
                <w:ilvl w:val="0"/>
                <w:numId w:val="49"/>
              </w:numPr>
              <w:spacing w:line="256" w:lineRule="auto"/>
              <w:ind w:left="720"/>
              <w:jc w:val="left"/>
              <w:rPr>
                <w:rFonts w:cs="Tahoma"/>
                <w:iCs/>
              </w:rPr>
            </w:pPr>
            <w:r w:rsidRPr="00713331">
              <w:t>O&amp;M Platform</w:t>
            </w:r>
          </w:p>
          <w:p w14:paraId="762DD05B" w14:textId="77777777" w:rsidR="00E814AB" w:rsidRPr="00713331" w:rsidRDefault="00E814AB" w:rsidP="00713331">
            <w:pPr>
              <w:pStyle w:val="ListParagraph"/>
              <w:numPr>
                <w:ilvl w:val="0"/>
                <w:numId w:val="0"/>
              </w:numPr>
              <w:spacing w:line="256" w:lineRule="auto"/>
              <w:ind w:left="717"/>
              <w:rPr>
                <w:rFonts w:cs="Tahoma"/>
                <w:iCs/>
              </w:rPr>
            </w:pPr>
          </w:p>
          <w:p w14:paraId="569F2E2A" w14:textId="77777777" w:rsidR="00E814AB" w:rsidRPr="00713331" w:rsidRDefault="00E814AB" w:rsidP="00713331">
            <w:pPr>
              <w:ind w:left="-360" w:firstLine="720"/>
              <w:rPr>
                <w:rFonts w:cs="Tahoma"/>
                <w:b/>
                <w:szCs w:val="20"/>
              </w:rPr>
            </w:pPr>
            <w:r w:rsidRPr="00713331">
              <w:rPr>
                <w:b/>
              </w:rPr>
              <w:t>Au niveau de l’infrastructure cloud sous-jacente</w:t>
            </w:r>
          </w:p>
          <w:p w14:paraId="33BAEBE2" w14:textId="77777777" w:rsidR="00E814AB" w:rsidRPr="00713331" w:rsidRDefault="00E814AB" w:rsidP="00713331">
            <w:pPr>
              <w:pStyle w:val="ListParagraph"/>
              <w:keepLines w:val="0"/>
              <w:numPr>
                <w:ilvl w:val="0"/>
                <w:numId w:val="50"/>
              </w:numPr>
              <w:spacing w:line="252" w:lineRule="auto"/>
              <w:ind w:left="720"/>
              <w:jc w:val="left"/>
              <w:rPr>
                <w:rFonts w:eastAsia="Times New Roman" w:cs="Tahoma"/>
              </w:rPr>
            </w:pPr>
            <w:r w:rsidRPr="00713331">
              <w:t>Virtualisation de l’infrastructure</w:t>
            </w:r>
          </w:p>
          <w:p w14:paraId="24F802C9" w14:textId="77777777" w:rsidR="00E814AB" w:rsidRPr="00713331" w:rsidRDefault="00E814AB" w:rsidP="00713331">
            <w:pPr>
              <w:pStyle w:val="ListParagraph"/>
              <w:keepLines w:val="0"/>
              <w:numPr>
                <w:ilvl w:val="0"/>
                <w:numId w:val="50"/>
              </w:numPr>
              <w:spacing w:line="252" w:lineRule="auto"/>
              <w:ind w:left="720"/>
              <w:jc w:val="left"/>
              <w:rPr>
                <w:rFonts w:eastAsia="Times New Roman" w:cs="Tahoma"/>
              </w:rPr>
            </w:pPr>
            <w:r w:rsidRPr="00713331">
              <w:t>Orchestrateur</w:t>
            </w:r>
          </w:p>
          <w:p w14:paraId="598FB003" w14:textId="77777777" w:rsidR="00E814AB" w:rsidRPr="00713331" w:rsidRDefault="00E814AB" w:rsidP="00713331">
            <w:pPr>
              <w:pStyle w:val="ListParagraph"/>
              <w:keepLines w:val="0"/>
              <w:numPr>
                <w:ilvl w:val="0"/>
                <w:numId w:val="50"/>
              </w:numPr>
              <w:spacing w:line="252" w:lineRule="auto"/>
              <w:ind w:left="720"/>
              <w:jc w:val="left"/>
              <w:rPr>
                <w:rFonts w:cs="Tahoma"/>
                <w:b/>
                <w:bCs/>
                <w:u w:val="single"/>
              </w:rPr>
            </w:pPr>
            <w:r w:rsidRPr="00713331">
              <w:t>Éléments spécifiques du réseau (switches/routers/Firewalls /IDS/IPS)</w:t>
            </w:r>
          </w:p>
        </w:tc>
        <w:tc>
          <w:tcPr>
            <w:tcW w:w="4262" w:type="dxa"/>
          </w:tcPr>
          <w:p w14:paraId="78603881" w14:textId="3912F68D" w:rsidR="00E814AB" w:rsidRPr="00713331" w:rsidRDefault="00E814AB" w:rsidP="00713331">
            <w:pPr>
              <w:rPr>
                <w:rFonts w:cs="Tahoma"/>
                <w:szCs w:val="20"/>
              </w:rPr>
            </w:pPr>
            <w:r w:rsidRPr="00713331">
              <w:t xml:space="preserve">Il n’est pas possible de donner un accord pour </w:t>
            </w:r>
            <w:r w:rsidR="006E29A5">
              <w:t xml:space="preserve">une division spécifique du réseau 5G, dès lors que seul un opérateur connait entièrement son réseau et que les réseaux des opérateurs n’ont pas nécessairement la même structure. </w:t>
            </w:r>
          </w:p>
          <w:p w14:paraId="1E64AFC4" w14:textId="77777777" w:rsidR="00E814AB" w:rsidRPr="00713331" w:rsidRDefault="00E814AB" w:rsidP="00713331">
            <w:pPr>
              <w:rPr>
                <w:rFonts w:cs="Tahoma"/>
                <w:szCs w:val="20"/>
              </w:rPr>
            </w:pPr>
          </w:p>
          <w:p w14:paraId="17B7B245" w14:textId="77777777" w:rsidR="00E814AB" w:rsidRPr="00713331" w:rsidRDefault="00E814AB" w:rsidP="00713331">
            <w:pPr>
              <w:rPr>
                <w:rFonts w:cs="Tahoma"/>
                <w:szCs w:val="20"/>
              </w:rPr>
            </w:pPr>
          </w:p>
          <w:p w14:paraId="7D3EC027" w14:textId="77777777" w:rsidR="00E814AB" w:rsidRPr="00713331" w:rsidRDefault="00E814AB" w:rsidP="00713331">
            <w:pPr>
              <w:rPr>
                <w:rFonts w:cs="Tahoma"/>
                <w:szCs w:val="20"/>
              </w:rPr>
            </w:pPr>
          </w:p>
        </w:tc>
      </w:tr>
      <w:tr w:rsidR="00E814AB" w:rsidRPr="00713331" w14:paraId="12DD7472" w14:textId="77777777" w:rsidTr="00DA32B7">
        <w:trPr>
          <w:cantSplit/>
        </w:trPr>
        <w:tc>
          <w:tcPr>
            <w:tcW w:w="4800" w:type="dxa"/>
          </w:tcPr>
          <w:p w14:paraId="26B20A24" w14:textId="77777777" w:rsidR="00E814AB" w:rsidRPr="00713331" w:rsidRDefault="00E814AB" w:rsidP="00713331">
            <w:pPr>
              <w:keepNext/>
              <w:autoSpaceDE w:val="0"/>
              <w:autoSpaceDN w:val="0"/>
              <w:adjustRightInd w:val="0"/>
              <w:spacing w:before="20" w:after="20"/>
              <w:rPr>
                <w:rFonts w:cs="Tahoma"/>
                <w:b/>
                <w:bCs/>
                <w:szCs w:val="20"/>
                <w:u w:val="single"/>
              </w:rPr>
            </w:pPr>
            <w:r w:rsidRPr="00713331">
              <w:rPr>
                <w:b/>
                <w:u w:val="single"/>
              </w:rPr>
              <w:lastRenderedPageBreak/>
              <w:t xml:space="preserve">Opérateur X  </w:t>
            </w:r>
          </w:p>
          <w:p w14:paraId="173BC9B1" w14:textId="1A4EA415" w:rsidR="00E814AB" w:rsidRPr="00713331" w:rsidRDefault="00E814AB" w:rsidP="00713331">
            <w:pPr>
              <w:keepNext/>
              <w:autoSpaceDE w:val="0"/>
              <w:autoSpaceDN w:val="0"/>
              <w:adjustRightInd w:val="0"/>
              <w:spacing w:before="20" w:after="20"/>
              <w:rPr>
                <w:rFonts w:cs="Tahoma"/>
                <w:szCs w:val="20"/>
              </w:rPr>
            </w:pPr>
            <w:r w:rsidRPr="00713331">
              <w:t>Pour l'opérateur X, il n'est pas clair non plus pour quels éléments actifs du réseau une fiche doit être demandée. Dans l'explication concernant l</w:t>
            </w:r>
            <w:r w:rsidR="00E35708">
              <w:t>a</w:t>
            </w:r>
            <w:r w:rsidRPr="00713331">
              <w:t xml:space="preserve"> </w:t>
            </w:r>
            <w:r w:rsidR="00E35708">
              <w:t xml:space="preserve">partie </w:t>
            </w:r>
            <w:r w:rsidRPr="00713331">
              <w:t xml:space="preserve">4, il est indiqué que les différentes parties du réseau sont définies dans l'arrêté royal relatif à l'autorisation ministérielle, points 4, 7-9, 11. </w:t>
            </w:r>
          </w:p>
          <w:p w14:paraId="6BB55122" w14:textId="77777777" w:rsidR="00E814AB" w:rsidRPr="00713331" w:rsidRDefault="00E814AB" w:rsidP="00713331">
            <w:pPr>
              <w:keepNext/>
              <w:autoSpaceDE w:val="0"/>
              <w:autoSpaceDN w:val="0"/>
              <w:adjustRightInd w:val="0"/>
              <w:spacing w:before="20" w:after="20"/>
              <w:rPr>
                <w:rFonts w:cs="Tahoma"/>
                <w:szCs w:val="20"/>
              </w:rPr>
            </w:pPr>
          </w:p>
          <w:p w14:paraId="25F66A48" w14:textId="77777777" w:rsidR="00E814AB" w:rsidRPr="00713331" w:rsidRDefault="00E814AB" w:rsidP="00713331">
            <w:pPr>
              <w:keepNext/>
              <w:autoSpaceDE w:val="0"/>
              <w:autoSpaceDN w:val="0"/>
              <w:adjustRightInd w:val="0"/>
              <w:spacing w:before="20" w:after="20"/>
              <w:rPr>
                <w:rFonts w:cs="Tahoma"/>
                <w:szCs w:val="20"/>
              </w:rPr>
            </w:pPr>
            <w:r w:rsidRPr="00713331">
              <w:t xml:space="preserve">Le point 7, par exemple, définit le réseau de transport comme suit : le réseau de transport est composé des éléments assurant la transmission des signaux entre les sites du réseau d’accès radioélectrique et les éléments de la partie centrale du réseau, entre les différents sites du réseau d’accès radioélectriques ou entre les différents éléments de la partie centrale du réseau. </w:t>
            </w:r>
          </w:p>
          <w:p w14:paraId="79581967" w14:textId="77777777" w:rsidR="00E814AB" w:rsidRPr="00713331" w:rsidRDefault="00E814AB" w:rsidP="00713331">
            <w:pPr>
              <w:keepNext/>
              <w:autoSpaceDE w:val="0"/>
              <w:autoSpaceDN w:val="0"/>
              <w:adjustRightInd w:val="0"/>
              <w:spacing w:before="20" w:after="20"/>
              <w:rPr>
                <w:rFonts w:cs="Tahoma"/>
                <w:szCs w:val="20"/>
              </w:rPr>
            </w:pPr>
          </w:p>
          <w:p w14:paraId="43D38F09" w14:textId="77777777" w:rsidR="00E814AB" w:rsidRPr="00713331" w:rsidRDefault="00E814AB" w:rsidP="00713331">
            <w:pPr>
              <w:keepNext/>
              <w:autoSpaceDE w:val="0"/>
              <w:autoSpaceDN w:val="0"/>
              <w:adjustRightInd w:val="0"/>
              <w:spacing w:before="20" w:after="20"/>
              <w:rPr>
                <w:rFonts w:cs="Tahoma"/>
                <w:b/>
                <w:bCs/>
                <w:szCs w:val="20"/>
                <w:u w:val="single"/>
              </w:rPr>
            </w:pPr>
            <w:r w:rsidRPr="00713331">
              <w:rPr>
                <w:b/>
              </w:rPr>
              <w:t>Toutefois, les différents éléments du réseau de transport ne sont pas définis plus précisément.</w:t>
            </w:r>
            <w:r w:rsidRPr="00713331">
              <w:t xml:space="preserve"> Il en va de même pour les autres points auxquels il est fait référence. Les définitions actuelles laissent donc place à l'interprétation et peuvent retarder le processus d'autorisation si les deux autorités compétentes soutiennent que le dossier est incomplet. L'opérateur X demande donc plus de clarté sur les éléments du réseau pour lesquels une fiche doit être demandée afin que le processus de demande d'autorisation se déroule sans encombre. </w:t>
            </w:r>
          </w:p>
        </w:tc>
        <w:tc>
          <w:tcPr>
            <w:tcW w:w="4262" w:type="dxa"/>
          </w:tcPr>
          <w:p w14:paraId="2623279C" w14:textId="77777777" w:rsidR="00E814AB" w:rsidRPr="00713331" w:rsidRDefault="00E814AB" w:rsidP="00713331">
            <w:pPr>
              <w:rPr>
                <w:rFonts w:cs="Tahoma"/>
                <w:szCs w:val="20"/>
              </w:rPr>
            </w:pPr>
          </w:p>
          <w:p w14:paraId="2DB34F42" w14:textId="77777777" w:rsidR="00E814AB" w:rsidRPr="00713331" w:rsidRDefault="00E814AB" w:rsidP="00713331">
            <w:pPr>
              <w:rPr>
                <w:rFonts w:cs="Tahoma"/>
                <w:szCs w:val="20"/>
              </w:rPr>
            </w:pPr>
            <w:r w:rsidRPr="00713331">
              <w:t xml:space="preserve">Pour tous les éléments du réseau de transport, il convient de demander une autorisation. </w:t>
            </w:r>
          </w:p>
          <w:p w14:paraId="52F46AAC" w14:textId="77777777" w:rsidR="00E814AB" w:rsidRPr="00713331" w:rsidRDefault="00E814AB" w:rsidP="00713331">
            <w:pPr>
              <w:rPr>
                <w:rFonts w:cs="Tahoma"/>
                <w:szCs w:val="20"/>
              </w:rPr>
            </w:pPr>
          </w:p>
          <w:p w14:paraId="05AD1E35" w14:textId="77777777" w:rsidR="00E814AB" w:rsidRPr="00713331" w:rsidRDefault="00E814AB" w:rsidP="00713331">
            <w:pPr>
              <w:rPr>
                <w:rFonts w:cs="Tahoma"/>
                <w:szCs w:val="20"/>
              </w:rPr>
            </w:pPr>
            <w:r w:rsidRPr="00713331">
              <w:t xml:space="preserve">Les opérateurs sont les mieux placés pour déterminer les éléments qui se trouvent dans le réseau de transport. </w:t>
            </w:r>
          </w:p>
          <w:p w14:paraId="5D6C82F0" w14:textId="77777777" w:rsidR="00E814AB" w:rsidRPr="00713331" w:rsidRDefault="00E814AB" w:rsidP="00713331">
            <w:pPr>
              <w:rPr>
                <w:rFonts w:cs="Tahoma"/>
                <w:szCs w:val="20"/>
              </w:rPr>
            </w:pPr>
          </w:p>
          <w:p w14:paraId="26E8070F" w14:textId="4778B34D" w:rsidR="00E814AB" w:rsidRPr="00713331" w:rsidRDefault="00E814AB" w:rsidP="00713331">
            <w:pPr>
              <w:rPr>
                <w:rFonts w:cs="Tahoma"/>
                <w:szCs w:val="20"/>
              </w:rPr>
            </w:pPr>
            <w:r w:rsidRPr="00713331">
              <w:t xml:space="preserve">Si l’IBPT ou les services de renseignement et de sécurité se rendent compte à un moment donné qu’un opérateur n’a pas demandé une autorisation pour un élément du réseau (de transport), cela </w:t>
            </w:r>
            <w:r w:rsidR="001D5BB9" w:rsidRPr="00713331">
              <w:t>entraînera</w:t>
            </w:r>
            <w:r w:rsidRPr="00713331">
              <w:t xml:space="preserve"> les conséquences suivantes : </w:t>
            </w:r>
          </w:p>
          <w:p w14:paraId="2E638412" w14:textId="77777777" w:rsidR="00E814AB" w:rsidRPr="00713331" w:rsidRDefault="00E814AB" w:rsidP="00713331">
            <w:pPr>
              <w:pStyle w:val="ListParagraph"/>
              <w:keepLines w:val="0"/>
              <w:numPr>
                <w:ilvl w:val="0"/>
                <w:numId w:val="34"/>
              </w:numPr>
              <w:jc w:val="left"/>
              <w:rPr>
                <w:rFonts w:cs="Tahoma"/>
              </w:rPr>
            </w:pPr>
            <w:r w:rsidRPr="00713331">
              <w:t xml:space="preserve">cet élément du réseau de transport ne pourra pas être utilisé tant que l’autorisation n’est pas obtenue ; </w:t>
            </w:r>
          </w:p>
          <w:p w14:paraId="3ACE742A" w14:textId="77777777" w:rsidR="00E814AB" w:rsidRPr="00713331" w:rsidRDefault="00E814AB" w:rsidP="00713331">
            <w:pPr>
              <w:pStyle w:val="ListParagraph"/>
              <w:keepLines w:val="0"/>
              <w:numPr>
                <w:ilvl w:val="0"/>
                <w:numId w:val="34"/>
              </w:numPr>
              <w:jc w:val="left"/>
              <w:rPr>
                <w:rFonts w:cs="Tahoma"/>
              </w:rPr>
            </w:pPr>
            <w:r w:rsidRPr="00713331">
              <w:t xml:space="preserve">mais cela n’aura pas d’impact sur les éléments pour lesquels une autorisation aura bien été demandée. </w:t>
            </w:r>
          </w:p>
          <w:p w14:paraId="1D4B4FFE" w14:textId="77777777" w:rsidR="00E814AB" w:rsidRPr="00713331" w:rsidRDefault="00E814AB" w:rsidP="00713331">
            <w:pPr>
              <w:rPr>
                <w:rFonts w:cs="Tahoma"/>
                <w:szCs w:val="20"/>
              </w:rPr>
            </w:pPr>
          </w:p>
          <w:p w14:paraId="6D4889DA" w14:textId="77777777" w:rsidR="00E814AB" w:rsidRPr="00713331" w:rsidRDefault="00E814AB" w:rsidP="00713331">
            <w:pPr>
              <w:rPr>
                <w:rFonts w:cs="Tahoma"/>
                <w:szCs w:val="20"/>
              </w:rPr>
            </w:pPr>
          </w:p>
        </w:tc>
      </w:tr>
      <w:tr w:rsidR="00E814AB" w:rsidRPr="00713331" w14:paraId="584FDA19" w14:textId="77777777" w:rsidTr="00DA32B7">
        <w:trPr>
          <w:cantSplit/>
        </w:trPr>
        <w:tc>
          <w:tcPr>
            <w:tcW w:w="4800" w:type="dxa"/>
          </w:tcPr>
          <w:p w14:paraId="54C903D1" w14:textId="77777777" w:rsidR="00E814AB" w:rsidRPr="00713331" w:rsidRDefault="00E814AB" w:rsidP="00713331">
            <w:pPr>
              <w:keepNext/>
              <w:autoSpaceDE w:val="0"/>
              <w:autoSpaceDN w:val="0"/>
              <w:adjustRightInd w:val="0"/>
              <w:spacing w:before="20" w:after="20"/>
              <w:rPr>
                <w:rFonts w:cs="Tahoma"/>
                <w:b/>
                <w:bCs/>
                <w:szCs w:val="20"/>
                <w:u w:val="single"/>
              </w:rPr>
            </w:pPr>
            <w:r w:rsidRPr="00713331">
              <w:rPr>
                <w:b/>
                <w:u w:val="single"/>
              </w:rPr>
              <w:t xml:space="preserve">Opérateur X </w:t>
            </w:r>
          </w:p>
          <w:p w14:paraId="3EA450ED" w14:textId="77777777" w:rsidR="00E814AB" w:rsidRPr="00713331" w:rsidRDefault="00E814AB" w:rsidP="00713331">
            <w:pPr>
              <w:keepNext/>
              <w:autoSpaceDE w:val="0"/>
              <w:autoSpaceDN w:val="0"/>
              <w:adjustRightInd w:val="0"/>
              <w:spacing w:before="20" w:after="20"/>
              <w:rPr>
                <w:rFonts w:cs="Tahoma"/>
                <w:b/>
                <w:bCs/>
                <w:szCs w:val="20"/>
                <w:u w:val="single"/>
              </w:rPr>
            </w:pPr>
            <w:r w:rsidRPr="00713331">
              <w:t>Une proposition pourrait consister à ce que l'IBPT établisse une liste d'éléments de réseau pour lesquels une fiche doit être soumise.</w:t>
            </w:r>
          </w:p>
        </w:tc>
        <w:tc>
          <w:tcPr>
            <w:tcW w:w="4262" w:type="dxa"/>
          </w:tcPr>
          <w:p w14:paraId="40C1726F" w14:textId="48ACA719" w:rsidR="00E814AB" w:rsidRPr="00713331" w:rsidRDefault="00E814AB" w:rsidP="00713331">
            <w:pPr>
              <w:rPr>
                <w:rFonts w:cs="Tahoma"/>
                <w:szCs w:val="20"/>
              </w:rPr>
            </w:pPr>
            <w:r w:rsidRPr="00713331">
              <w:t xml:space="preserve">Si l’IBPT fait une liste des éléments du réseau (de transport), il existe un risque que cette liste ne soit pas </w:t>
            </w:r>
            <w:proofErr w:type="gramStart"/>
            <w:r w:rsidRPr="00713331">
              <w:t>« futur</w:t>
            </w:r>
            <w:proofErr w:type="gramEnd"/>
            <w:r w:rsidRPr="00713331">
              <w:t xml:space="preserve"> proof ». </w:t>
            </w:r>
            <w:r w:rsidR="004C79F1" w:rsidRPr="00713331">
              <w:t>En revanche</w:t>
            </w:r>
            <w:r w:rsidRPr="00713331">
              <w:t>, la définition générale de réseau de transport (voir article 1</w:t>
            </w:r>
            <w:r w:rsidRPr="00713331">
              <w:rPr>
                <w:vertAlign w:val="superscript"/>
              </w:rPr>
              <w:t>er</w:t>
            </w:r>
            <w:r w:rsidRPr="00713331">
              <w:t>, point 7, de l’AR autorisation</w:t>
            </w:r>
            <w:r w:rsidR="00BE1F96">
              <w:t>s</w:t>
            </w:r>
            <w:r w:rsidRPr="00713331">
              <w:t xml:space="preserve">) l'est. </w:t>
            </w:r>
          </w:p>
        </w:tc>
      </w:tr>
    </w:tbl>
    <w:p w14:paraId="543910FA" w14:textId="033C729F" w:rsidR="00614144" w:rsidRPr="00713331" w:rsidRDefault="00614144" w:rsidP="00713331">
      <w:pPr>
        <w:pStyle w:val="Heading2"/>
      </w:pPr>
      <w:bookmarkStart w:id="15" w:name="_Toc127173120"/>
      <w:bookmarkStart w:id="16" w:name="_Toc135085768"/>
      <w:r w:rsidRPr="00713331">
        <w:t>Modalités d’envoi du dossier à l’IBPT</w:t>
      </w:r>
      <w:bookmarkEnd w:id="15"/>
      <w:bookmarkEnd w:id="16"/>
      <w:r w:rsidRPr="00713331">
        <w:t xml:space="preserve"> </w:t>
      </w:r>
    </w:p>
    <w:p w14:paraId="066574ED" w14:textId="3C1B2F01" w:rsidR="002E5BD2" w:rsidRPr="00713331" w:rsidRDefault="002E5BD2" w:rsidP="00713331">
      <w:pPr>
        <w:pStyle w:val="Numberednormal"/>
      </w:pPr>
      <w:r w:rsidRPr="00713331">
        <w:t xml:space="preserve">En plus d’être éventuellement envoyés par porteur ou courrier à l’IBPT (ceci est facultatif), le demandeur enverra par courriel à l’adresse </w:t>
      </w:r>
      <w:hyperlink r:id="rId15" w:history="1">
        <w:r w:rsidRPr="00713331">
          <w:rPr>
            <w:rStyle w:val="Hyperlink"/>
          </w:rPr>
          <w:t>SG@bipt.be</w:t>
        </w:r>
      </w:hyperlink>
      <w:r w:rsidRPr="00713331">
        <w:t xml:space="preserve"> au moins les documents suivants : la lettre de demande d’autorisation (</w:t>
      </w:r>
      <w:r w:rsidR="00E35708">
        <w:t xml:space="preserve">partie </w:t>
      </w:r>
      <w:r w:rsidRPr="00713331">
        <w:t>1) et l’inventaire des annexes à cette lettre (</w:t>
      </w:r>
      <w:r w:rsidR="00E35708">
        <w:t>partie</w:t>
      </w:r>
      <w:r w:rsidRPr="00713331">
        <w:t xml:space="preserve"> 2).</w:t>
      </w:r>
    </w:p>
    <w:p w14:paraId="3726424D" w14:textId="77777777" w:rsidR="006A65FA" w:rsidRPr="00713331" w:rsidRDefault="006A65FA" w:rsidP="00713331">
      <w:pPr>
        <w:pStyle w:val="Numberednormal"/>
        <w:numPr>
          <w:ilvl w:val="0"/>
          <w:numId w:val="0"/>
        </w:numPr>
        <w:ind w:left="360"/>
      </w:pPr>
    </w:p>
    <w:p w14:paraId="51CA550B" w14:textId="23A9E958" w:rsidR="006A65FA" w:rsidRPr="00713331" w:rsidRDefault="006A65FA" w:rsidP="00713331">
      <w:pPr>
        <w:pStyle w:val="Numberednormal"/>
      </w:pPr>
      <w:r w:rsidRPr="00713331">
        <w:t>Les annexes à cette lettre (</w:t>
      </w:r>
      <w:r w:rsidR="00E35708">
        <w:t>parties</w:t>
      </w:r>
      <w:r w:rsidRPr="00713331">
        <w:t xml:space="preserve"> 3 à 5 et les documents complémentaires éventuels) peuvent être envoyées à l’IBPT par un des moyens suivants : </w:t>
      </w:r>
    </w:p>
    <w:p w14:paraId="5A2D755D" w14:textId="3AE26E06" w:rsidR="006A65FA" w:rsidRPr="00713331" w:rsidRDefault="006A65FA" w:rsidP="00713331">
      <w:pPr>
        <w:pStyle w:val="Numberednormal"/>
        <w:numPr>
          <w:ilvl w:val="0"/>
          <w:numId w:val="28"/>
        </w:numPr>
        <w:rPr>
          <w:szCs w:val="20"/>
        </w:rPr>
      </w:pPr>
      <w:proofErr w:type="gramStart"/>
      <w:r w:rsidRPr="00713331">
        <w:t>en</w:t>
      </w:r>
      <w:proofErr w:type="gramEnd"/>
      <w:r w:rsidRPr="00713331">
        <w:t xml:space="preserve"> annexe du courriel envoyé à l’IBPT qui transmet la lettre de demande d’autorisation (ou en annexe d’un autre courriel)</w:t>
      </w:r>
      <w:r w:rsidR="00244755" w:rsidRPr="00713331">
        <w:t> </w:t>
      </w:r>
      <w:r w:rsidRPr="00713331">
        <w:t xml:space="preserve">; </w:t>
      </w:r>
    </w:p>
    <w:p w14:paraId="1CFC5FFB" w14:textId="658B0B1A" w:rsidR="006A65FA" w:rsidRPr="00713331" w:rsidRDefault="006A65FA" w:rsidP="00713331">
      <w:pPr>
        <w:pStyle w:val="Numberednormal"/>
        <w:numPr>
          <w:ilvl w:val="0"/>
          <w:numId w:val="28"/>
        </w:numPr>
        <w:rPr>
          <w:szCs w:val="20"/>
        </w:rPr>
      </w:pPr>
      <w:proofErr w:type="gramStart"/>
      <w:r w:rsidRPr="00713331">
        <w:t>lien</w:t>
      </w:r>
      <w:proofErr w:type="gramEnd"/>
      <w:r w:rsidRPr="00713331">
        <w:t xml:space="preserve"> vers ces documents dans un courriel à l’IBPT distinct du courriel à l’IBPT qui transmet la lettre de demande d’autorisation</w:t>
      </w:r>
      <w:r w:rsidR="00D67EA3" w:rsidRPr="00713331">
        <w:rPr>
          <w:rStyle w:val="FootnoteReference"/>
          <w:szCs w:val="20"/>
        </w:rPr>
        <w:footnoteReference w:id="2"/>
      </w:r>
      <w:r w:rsidR="009E6CD5" w:rsidRPr="00713331">
        <w:t> </w:t>
      </w:r>
      <w:r w:rsidRPr="00713331">
        <w:t xml:space="preserve">; </w:t>
      </w:r>
    </w:p>
    <w:p w14:paraId="18FAE8F1" w14:textId="77777777" w:rsidR="006A65FA" w:rsidRPr="00713331" w:rsidRDefault="006A65FA" w:rsidP="00713331">
      <w:pPr>
        <w:pStyle w:val="Numberednormal"/>
        <w:numPr>
          <w:ilvl w:val="0"/>
          <w:numId w:val="28"/>
        </w:numPr>
        <w:rPr>
          <w:szCs w:val="20"/>
        </w:rPr>
      </w:pPr>
      <w:proofErr w:type="gramStart"/>
      <w:r w:rsidRPr="00713331">
        <w:t>clé</w:t>
      </w:r>
      <w:proofErr w:type="gramEnd"/>
      <w:r w:rsidRPr="00713331">
        <w:t xml:space="preserve"> USB remise par porteur à l’IBPT. </w:t>
      </w:r>
    </w:p>
    <w:p w14:paraId="6CC72756" w14:textId="77777777" w:rsidR="006A65FA" w:rsidRPr="00713331" w:rsidRDefault="006A65FA" w:rsidP="00713331">
      <w:pPr>
        <w:pStyle w:val="Numberednormal"/>
        <w:numPr>
          <w:ilvl w:val="0"/>
          <w:numId w:val="0"/>
        </w:numPr>
        <w:rPr>
          <w:szCs w:val="20"/>
        </w:rPr>
      </w:pPr>
    </w:p>
    <w:p w14:paraId="2F3CFA84" w14:textId="5CAB0682" w:rsidR="006A65FA" w:rsidRPr="00713331" w:rsidRDefault="006A65FA" w:rsidP="00713331">
      <w:pPr>
        <w:pStyle w:val="Numberednormal"/>
      </w:pPr>
      <w:r w:rsidRPr="00713331">
        <w:t>Si le demandeur le souhaite, les courriels envoyés à l’IBPT peuvent être cryptés</w:t>
      </w:r>
      <w:r w:rsidR="0088574D" w:rsidRPr="00713331">
        <w:rPr>
          <w:rStyle w:val="FootnoteReference"/>
        </w:rPr>
        <w:footnoteReference w:id="3"/>
      </w:r>
      <w:r w:rsidRPr="00713331">
        <w:t xml:space="preserve">. </w:t>
      </w:r>
    </w:p>
    <w:p w14:paraId="1B4B1184" w14:textId="77777777" w:rsidR="002E5BD2" w:rsidRPr="00713331" w:rsidRDefault="002E5BD2" w:rsidP="00713331">
      <w:pPr>
        <w:pStyle w:val="Numberednormal"/>
        <w:numPr>
          <w:ilvl w:val="0"/>
          <w:numId w:val="0"/>
        </w:numPr>
        <w:ind w:left="360"/>
      </w:pPr>
    </w:p>
    <w:p w14:paraId="49C62D43" w14:textId="64903D3D" w:rsidR="002E5BD2" w:rsidRPr="00713331" w:rsidRDefault="002E5BD2" w:rsidP="00713331">
      <w:pPr>
        <w:pStyle w:val="Numberednormal"/>
      </w:pPr>
      <w:bookmarkStart w:id="17" w:name="_Hlk124233309"/>
      <w:r w:rsidRPr="00713331">
        <w:lastRenderedPageBreak/>
        <w:t xml:space="preserve">Dans les 5 jours ouvrables qui suivent l’envoi du courriel à l’IBPT par lequel la demande d’autorisation est transmise, </w:t>
      </w:r>
      <w:bookmarkStart w:id="18" w:name="_Hlk124233290"/>
      <w:r w:rsidRPr="00713331">
        <w:t>l’IBPT enverra au demandeur un accusé de réception électronique, qui contiendra la référence du dossier de l’IBPT.</w:t>
      </w:r>
      <w:bookmarkEnd w:id="18"/>
    </w:p>
    <w:p w14:paraId="1553C556" w14:textId="1D5FBE45" w:rsidR="002E5BD2" w:rsidRPr="00713331" w:rsidRDefault="006A65FA" w:rsidP="00713331">
      <w:pPr>
        <w:pStyle w:val="Heading1"/>
      </w:pPr>
      <w:bookmarkStart w:id="19" w:name="_Toc135085769"/>
      <w:bookmarkEnd w:id="17"/>
      <w:r w:rsidRPr="00713331">
        <w:t>Transmission du dossier aux ministres concernés et aux services de renseignement et de sécurité</w:t>
      </w:r>
      <w:bookmarkEnd w:id="19"/>
      <w:r w:rsidRPr="00713331">
        <w:t xml:space="preserve"> </w:t>
      </w:r>
    </w:p>
    <w:p w14:paraId="0665172F" w14:textId="4C59799B" w:rsidR="00DC5988" w:rsidRPr="00713331" w:rsidRDefault="00DC5988" w:rsidP="00713331">
      <w:pPr>
        <w:pStyle w:val="Numberednormal"/>
      </w:pPr>
      <w:r w:rsidRPr="00713331">
        <w:t xml:space="preserve">L’IBPT transmettra aux services de renseignement et de sécurité l’ensemble du dossier reçu du demandeur. </w:t>
      </w:r>
    </w:p>
    <w:p w14:paraId="29D7190E" w14:textId="77777777" w:rsidR="00DC5988" w:rsidRPr="00713331" w:rsidRDefault="00DC5988" w:rsidP="00713331">
      <w:pPr>
        <w:pStyle w:val="Numberednormal"/>
        <w:numPr>
          <w:ilvl w:val="0"/>
          <w:numId w:val="0"/>
        </w:numPr>
        <w:ind w:left="360"/>
      </w:pPr>
    </w:p>
    <w:p w14:paraId="29F2D11D" w14:textId="0A459980" w:rsidR="00B749C8" w:rsidRPr="00713331" w:rsidRDefault="004C79F1" w:rsidP="00713331">
      <w:pPr>
        <w:pStyle w:val="Numberednormal"/>
      </w:pPr>
      <w:r w:rsidRPr="00713331">
        <w:t>En revanche</w:t>
      </w:r>
      <w:r w:rsidR="00DC5988" w:rsidRPr="00713331">
        <w:t>, afin de protéger les informations fournies par le demandeur, l’IBPT ne transmettra aux 6 ministres concernés</w:t>
      </w:r>
      <w:r w:rsidR="00632C4F" w:rsidRPr="00713331">
        <w:rPr>
          <w:rStyle w:val="FootnoteReference"/>
        </w:rPr>
        <w:footnoteReference w:id="4"/>
      </w:r>
      <w:r w:rsidR="00DC5988" w:rsidRPr="00713331">
        <w:t xml:space="preserve"> que le courriel envoyé à l’IBPT par lequel la demande d’autorisation est transmise, la lettre du demandeur (</w:t>
      </w:r>
      <w:r w:rsidR="00E35708">
        <w:t>partie</w:t>
      </w:r>
      <w:r w:rsidR="00DC5988" w:rsidRPr="00713331">
        <w:t xml:space="preserve"> n°1) et l’inventaire des annexes à cette lettre (</w:t>
      </w:r>
      <w:r w:rsidR="00E35708">
        <w:t xml:space="preserve">partie </w:t>
      </w:r>
      <w:r w:rsidR="00DC5988" w:rsidRPr="00713331">
        <w:t xml:space="preserve">n°2). </w:t>
      </w:r>
    </w:p>
    <w:p w14:paraId="72E8EC65" w14:textId="77777777" w:rsidR="00B749C8" w:rsidRPr="00713331" w:rsidRDefault="00B749C8" w:rsidP="00713331">
      <w:pPr>
        <w:pStyle w:val="Numberednormal"/>
        <w:numPr>
          <w:ilvl w:val="0"/>
          <w:numId w:val="0"/>
        </w:numPr>
        <w:ind w:left="360"/>
      </w:pPr>
    </w:p>
    <w:p w14:paraId="119532C5" w14:textId="22934D97" w:rsidR="00DC5988" w:rsidRPr="00713331" w:rsidRDefault="00DC5988" w:rsidP="00713331">
      <w:pPr>
        <w:pStyle w:val="Numberednormal"/>
      </w:pPr>
      <w:r w:rsidRPr="00713331">
        <w:t xml:space="preserve">Sur demande, l’IBPT permettra à un cabinet ministériel concerné de consulter les autres documents. En effet, pour ce qui concerne les demandes d’autorisation, l’IBPT est autorisé à communiquer aux cabinets ministériels concernés des informations confidentielles qui se trouvent dans le dossier fourni par les opérateurs. Cependant, les informations confidentielles communiquées seront protégées par l’article 105, § 7, de la loi relative aux communications électroniques, qui prévoit ce qui suit : </w:t>
      </w:r>
    </w:p>
    <w:p w14:paraId="23C97075" w14:textId="77777777" w:rsidR="00DC5988" w:rsidRPr="00713331" w:rsidRDefault="00DC5988" w:rsidP="00713331">
      <w:pPr>
        <w:pStyle w:val="ListParagraph"/>
        <w:numPr>
          <w:ilvl w:val="0"/>
          <w:numId w:val="0"/>
        </w:numPr>
        <w:ind w:left="717"/>
        <w:rPr>
          <w:i/>
          <w:iCs/>
        </w:rPr>
      </w:pPr>
      <w:r w:rsidRPr="00713331">
        <w:t>« </w:t>
      </w:r>
      <w:r w:rsidRPr="00713331">
        <w:rPr>
          <w:i/>
        </w:rPr>
        <w:t>[alinéa 1</w:t>
      </w:r>
      <w:r w:rsidRPr="00713331">
        <w:rPr>
          <w:i/>
          <w:vertAlign w:val="superscript"/>
        </w:rPr>
        <w:t>er</w:t>
      </w:r>
      <w:r w:rsidRPr="00713331">
        <w:rPr>
          <w:i/>
        </w:rPr>
        <w:t>]</w:t>
      </w:r>
    </w:p>
    <w:p w14:paraId="01EBF786" w14:textId="77777777" w:rsidR="00DC5988" w:rsidRPr="00713331" w:rsidRDefault="00DC5988" w:rsidP="00713331">
      <w:pPr>
        <w:pStyle w:val="ListParagraph"/>
        <w:numPr>
          <w:ilvl w:val="0"/>
          <w:numId w:val="0"/>
        </w:numPr>
        <w:ind w:left="717"/>
        <w:rPr>
          <w:i/>
          <w:iCs/>
        </w:rPr>
      </w:pPr>
      <w:r w:rsidRPr="00713331">
        <w:rPr>
          <w:i/>
        </w:rPr>
        <w:t>[alinéa 2]</w:t>
      </w:r>
    </w:p>
    <w:p w14:paraId="548379F0" w14:textId="5CA0D327" w:rsidR="00DC5988" w:rsidRPr="00713331" w:rsidRDefault="00DC5988" w:rsidP="00713331">
      <w:pPr>
        <w:pStyle w:val="ListParagraph"/>
        <w:numPr>
          <w:ilvl w:val="0"/>
          <w:numId w:val="0"/>
        </w:numPr>
        <w:ind w:left="717"/>
      </w:pPr>
      <w:r w:rsidRPr="00713331">
        <w:rPr>
          <w:i/>
        </w:rPr>
        <w:t>Les personnes qui traitent une demande d'autorisation ou la révision d'une décision antérieure peuvent communiquer à des administrations publiques qu'elles consultent dans ce cadre des informations confidentielles lorsque c'est nécessaire pour l'accomplissement de la tâche qu'elles leur confient.</w:t>
      </w:r>
      <w:r w:rsidRPr="00713331">
        <w:rPr>
          <w:i/>
        </w:rPr>
        <w:br/>
        <w:t>   Les personnes et les administrations publiques visées à l'alinéa 3 ne peuvent pas communiquer à des tiers des informations confidentielles dont elles ont connaissance dans le cadre de l'application du présent article, hormis les exceptions prévues par la loi.</w:t>
      </w:r>
      <w:r w:rsidRPr="00713331">
        <w:rPr>
          <w:i/>
        </w:rPr>
        <w:br/>
        <w:t>   Ces informations confidentielles sont celles qui sont qualifiées comme telles par la personne qui les a fournies, sans préjudice de l'article 23, paragraphe 3, de la loi du 17 janvier 2003 relative au statut du régulateur des secteurs des postes et des télécommunications belges.</w:t>
      </w:r>
      <w:r w:rsidRPr="00713331">
        <w:rPr>
          <w:i/>
        </w:rPr>
        <w:br/>
        <w:t>   La violation de l'interdiction visée à l'alinéa 4 sera punie par les peines prévues à l'article 458 du Code pénal ou l'une de ces peines. </w:t>
      </w:r>
      <w:r w:rsidRPr="00713331">
        <w:t>»</w:t>
      </w:r>
    </w:p>
    <w:p w14:paraId="7790F81F" w14:textId="2E7E981E" w:rsidR="007835D0" w:rsidRPr="00713331" w:rsidRDefault="007835D0" w:rsidP="00713331">
      <w:pPr>
        <w:pStyle w:val="Heading1"/>
      </w:pPr>
      <w:bookmarkStart w:id="20" w:name="_Toc135085770"/>
      <w:r w:rsidRPr="00713331">
        <w:t>Informations complémentaires</w:t>
      </w:r>
      <w:bookmarkEnd w:id="20"/>
      <w:r w:rsidRPr="00713331">
        <w:t xml:space="preserve">  </w:t>
      </w:r>
    </w:p>
    <w:p w14:paraId="34B88756" w14:textId="54073B5E" w:rsidR="007835D0" w:rsidRPr="00713331" w:rsidRDefault="007835D0" w:rsidP="00713331">
      <w:pPr>
        <w:pStyle w:val="Numberednormal"/>
        <w:rPr>
          <w:szCs w:val="20"/>
        </w:rPr>
      </w:pPr>
      <w:r w:rsidRPr="00713331">
        <w:t>Après que le demandeur a</w:t>
      </w:r>
      <w:r w:rsidR="0069585E" w:rsidRPr="00713331">
        <w:t>ura</w:t>
      </w:r>
      <w:r w:rsidRPr="00713331">
        <w:t xml:space="preserve"> introduit son dossier auprès de l’IBPT, des informations ou documents supplémentaires pourront être demandés en vertu de l’</w:t>
      </w:r>
      <w:r w:rsidRPr="00713331">
        <w:rPr>
          <w:color w:val="000000"/>
        </w:rPr>
        <w:t>article 105, § 3, alinéa 3, de la loi relative aux communications électroniques : « </w:t>
      </w:r>
      <w:r w:rsidRPr="00713331">
        <w:rPr>
          <w:i/>
          <w:color w:val="000000"/>
        </w:rPr>
        <w:t>Les ministres concernés, l'Institut et les services de renseignement et de sécurité peuvent demander des informations ou des documents complémentaires au demandeur ou à toute personne pouvant contribuer utilement à leur information</w:t>
      </w:r>
      <w:r w:rsidRPr="00713331">
        <w:rPr>
          <w:color w:val="000000"/>
        </w:rPr>
        <w:t xml:space="preserve"> ». </w:t>
      </w:r>
    </w:p>
    <w:p w14:paraId="51A5B53C" w14:textId="77777777" w:rsidR="007835D0" w:rsidRPr="00713331" w:rsidRDefault="007835D0" w:rsidP="00713331">
      <w:pPr>
        <w:pStyle w:val="Numberednormal"/>
        <w:numPr>
          <w:ilvl w:val="0"/>
          <w:numId w:val="0"/>
        </w:numPr>
        <w:ind w:left="360"/>
        <w:rPr>
          <w:szCs w:val="20"/>
        </w:rPr>
      </w:pPr>
    </w:p>
    <w:p w14:paraId="6EE275E2" w14:textId="09E5B9D0" w:rsidR="005975D9" w:rsidRPr="00713331" w:rsidRDefault="007835D0" w:rsidP="00713331">
      <w:pPr>
        <w:pStyle w:val="Numberednormal"/>
        <w:rPr>
          <w:szCs w:val="20"/>
        </w:rPr>
      </w:pPr>
      <w:r w:rsidRPr="00713331">
        <w:t>Par exemple, l’IBPT pourrait demander au demandeur les documents ou informations manquants dans son dossier.</w:t>
      </w:r>
    </w:p>
    <w:p w14:paraId="4D160C52" w14:textId="77777777" w:rsidR="005975D9" w:rsidRPr="00713331" w:rsidRDefault="005975D9" w:rsidP="00713331">
      <w:pPr>
        <w:pStyle w:val="Numberednormal"/>
        <w:numPr>
          <w:ilvl w:val="0"/>
          <w:numId w:val="0"/>
        </w:numPr>
        <w:ind w:left="360"/>
        <w:rPr>
          <w:szCs w:val="20"/>
        </w:rPr>
      </w:pPr>
    </w:p>
    <w:p w14:paraId="46472C83" w14:textId="6C2022A6" w:rsidR="00216AD6" w:rsidRPr="00713331" w:rsidRDefault="00216AD6" w:rsidP="00713331">
      <w:pPr>
        <w:pStyle w:val="Numberednormal"/>
      </w:pPr>
      <w:r w:rsidRPr="00713331">
        <w:t xml:space="preserve">Une demande d’informations complémentaires par l’IBPT ou les services de renseignement et de sécurité suspendra le délai de 3 mois pour communiquer au demandeur une décision (autorisation) ou un projet de décision (refus d’autorisation ou autorisation avec conditions). L’IBPT ou les services de renseignement et de sécurité informera(ont) le demandeur du fait qu’une demande </w:t>
      </w:r>
      <w:r w:rsidRPr="00713331">
        <w:lastRenderedPageBreak/>
        <w:t xml:space="preserve">d’informations a été effectuée (suspension du délai de trois mois) et de la fin de la suspension du délai de trois mois. </w:t>
      </w:r>
    </w:p>
    <w:p w14:paraId="0BE71D01" w14:textId="77777777" w:rsidR="005975D9" w:rsidRPr="00713331" w:rsidRDefault="005975D9" w:rsidP="00713331">
      <w:pPr>
        <w:pStyle w:val="Heading1"/>
      </w:pPr>
      <w:bookmarkStart w:id="21" w:name="_Toc135085771"/>
      <w:r w:rsidRPr="00713331">
        <w:t>Avis de l’IBPT et des services de renseignement et de sécurité</w:t>
      </w:r>
      <w:bookmarkEnd w:id="21"/>
    </w:p>
    <w:p w14:paraId="3C50702D" w14:textId="75E73616" w:rsidR="005975D9" w:rsidRPr="00713331" w:rsidRDefault="005975D9" w:rsidP="00713331">
      <w:pPr>
        <w:pStyle w:val="Numberednormal"/>
      </w:pPr>
      <w:r w:rsidRPr="00713331">
        <w:t xml:space="preserve">L’IBPT et les services de renseignement et de sécurité rendront un avis aux ministres concernés sur la demande d’autorisation. </w:t>
      </w:r>
    </w:p>
    <w:p w14:paraId="4212DC09" w14:textId="77777777" w:rsidR="00E814AB" w:rsidRPr="00713331" w:rsidRDefault="00E814AB" w:rsidP="00713331">
      <w:pPr>
        <w:pStyle w:val="Numberednormal"/>
        <w:numPr>
          <w:ilvl w:val="0"/>
          <w:numId w:val="0"/>
        </w:numPr>
        <w:ind w:left="360"/>
      </w:pPr>
    </w:p>
    <w:p w14:paraId="583C9334" w14:textId="77777777" w:rsidR="00E814AB" w:rsidRPr="00713331" w:rsidRDefault="00E814AB" w:rsidP="00713331">
      <w:pPr>
        <w:pStyle w:val="Numberednormal"/>
      </w:pPr>
      <w:r w:rsidRPr="00713331">
        <w:t xml:space="preserve">Les avis de l'IBPT et des services de renseignement et de sécurité font partie du dossier administratif accompagnant les arrêtés ministériels, sauf lorsqu'ils contiennent des informations classifiées au sens de la loi du 11 décembre 1998 relative à la classification et aux habilitations, attestations et avis de sécurité. </w:t>
      </w:r>
      <w:r w:rsidRPr="00713331">
        <w:rPr>
          <w:rStyle w:val="cf01"/>
          <w:rFonts w:ascii="Tahoma" w:hAnsi="Tahoma"/>
          <w:sz w:val="20"/>
        </w:rPr>
        <w:t xml:space="preserve">Le cas échéant, une version non-classifiée du même avis peut être ajoutée au dossier administratif. </w:t>
      </w:r>
      <w:r w:rsidRPr="00713331">
        <w:t>Le demandeur peut consulter le dossier administratif à tout moment.</w:t>
      </w:r>
    </w:p>
    <w:p w14:paraId="74FF2AA3" w14:textId="77777777" w:rsidR="00B91697" w:rsidRPr="00713331" w:rsidRDefault="00B91697" w:rsidP="00713331">
      <w:pPr>
        <w:pStyle w:val="Numberednormal"/>
        <w:numPr>
          <w:ilvl w:val="0"/>
          <w:numId w:val="0"/>
        </w:numPr>
        <w:ind w:left="360"/>
      </w:pPr>
    </w:p>
    <w:p w14:paraId="4A339C5F" w14:textId="798A2AFA" w:rsidR="00B91697" w:rsidRPr="00713331" w:rsidRDefault="00B91697" w:rsidP="00713331">
      <w:pPr>
        <w:pStyle w:val="Numberednormal"/>
      </w:pPr>
      <w:r w:rsidRPr="00713331">
        <w:t xml:space="preserve">Ces avis ne seront pas publiés. </w:t>
      </w:r>
    </w:p>
    <w:p w14:paraId="1984272F" w14:textId="28E2AE4E" w:rsidR="002624FF" w:rsidRPr="00713331" w:rsidRDefault="002624FF" w:rsidP="00713331">
      <w:pPr>
        <w:pStyle w:val="Heading1"/>
      </w:pPr>
      <w:bookmarkStart w:id="22" w:name="_Toc135085772"/>
      <w:r w:rsidRPr="00713331">
        <w:t>Informations complémentaires lorsque l’équipementier est considéré à haut risque (uniquement applicable lorsque le demandeur est un MNO)</w:t>
      </w:r>
      <w:bookmarkEnd w:id="22"/>
      <w:r w:rsidRPr="00713331">
        <w:t xml:space="preserve"> </w:t>
      </w:r>
    </w:p>
    <w:p w14:paraId="7AAD0969" w14:textId="2208E9DE" w:rsidR="00C01A8E" w:rsidRPr="00713331" w:rsidRDefault="00E60238" w:rsidP="00713331">
      <w:pPr>
        <w:pStyle w:val="Numberednormal"/>
      </w:pPr>
      <w:r w:rsidRPr="00713331">
        <w:t>Des informations supplémentaires pourront être demandées au MNO en vertu de l’</w:t>
      </w:r>
      <w:r w:rsidRPr="00713331">
        <w:rPr>
          <w:color w:val="000000"/>
        </w:rPr>
        <w:t xml:space="preserve">article 10, § 2, de l’arrêté royal relatif à l’autorisation ministérielle </w:t>
      </w:r>
      <w:r w:rsidRPr="00713331">
        <w:t>: </w:t>
      </w:r>
    </w:p>
    <w:p w14:paraId="020D3869" w14:textId="77777777" w:rsidR="00C01A8E" w:rsidRPr="00713331" w:rsidRDefault="00C01A8E" w:rsidP="00713331">
      <w:pPr>
        <w:pStyle w:val="Numberednormal"/>
        <w:numPr>
          <w:ilvl w:val="0"/>
          <w:numId w:val="0"/>
        </w:numPr>
        <w:ind w:left="1080"/>
        <w:rPr>
          <w:rFonts w:cs="Tahoma"/>
          <w:i/>
          <w:iCs/>
          <w:szCs w:val="20"/>
        </w:rPr>
      </w:pPr>
      <w:r w:rsidRPr="00713331">
        <w:t>« </w:t>
      </w:r>
      <w:r w:rsidRPr="00713331">
        <w:rPr>
          <w:i/>
        </w:rPr>
        <w:t>§ 2. Lorsqu’un MNO est informé qu’un équipementier auquel il entend faire appel (demande d’autorisation préalable) ou auquel il fait appel (demande de régularisation) est considéré comme un équipementier à haut risque, il complète son dossier par :</w:t>
      </w:r>
    </w:p>
    <w:p w14:paraId="5039B9E8" w14:textId="77777777" w:rsidR="00C01A8E" w:rsidRPr="00713331" w:rsidRDefault="00C01A8E" w:rsidP="00713331">
      <w:pPr>
        <w:pStyle w:val="Numberednormal"/>
        <w:numPr>
          <w:ilvl w:val="0"/>
          <w:numId w:val="0"/>
        </w:numPr>
        <w:ind w:left="1080"/>
        <w:rPr>
          <w:rFonts w:cs="Tahoma"/>
          <w:i/>
          <w:iCs/>
          <w:szCs w:val="20"/>
        </w:rPr>
      </w:pPr>
      <w:r w:rsidRPr="00713331">
        <w:rPr>
          <w:i/>
        </w:rPr>
        <w:t>1° la localisation des sites du réseau d’agrégation du réseau de transport et des sites du réseau d’accès radioélectrique dans lesquels il envisage d’utiliser des éléments actifs à haut risque (demande d’autorisation préalable) ou dans lesquels il les utilise (demande de régularisation) et, pour les sites du réseau d’accès radioélectrique, les zones couvertes par ces sites, et ;</w:t>
      </w:r>
    </w:p>
    <w:p w14:paraId="378DE4DD" w14:textId="5D303611" w:rsidR="00C96F62" w:rsidRPr="00713331" w:rsidRDefault="00C01A8E" w:rsidP="00713331">
      <w:pPr>
        <w:pStyle w:val="Numberednormal"/>
        <w:numPr>
          <w:ilvl w:val="0"/>
          <w:numId w:val="0"/>
        </w:numPr>
        <w:ind w:left="1080"/>
        <w:rPr>
          <w:rFonts w:cs="Tahoma"/>
          <w:i/>
          <w:iCs/>
          <w:szCs w:val="20"/>
        </w:rPr>
      </w:pPr>
      <w:r w:rsidRPr="00713331">
        <w:rPr>
          <w:i/>
        </w:rPr>
        <w:t>2° des explications détaillées concernant le respect du pourcentage de 35% visé aux articles 6, § 2, et 7, § 1</w:t>
      </w:r>
      <w:r w:rsidRPr="00713331">
        <w:rPr>
          <w:i/>
          <w:vertAlign w:val="superscript"/>
        </w:rPr>
        <w:t>er</w:t>
      </w:r>
      <w:r w:rsidRPr="00713331">
        <w:rPr>
          <w:i/>
        </w:rPr>
        <w:t>. »</w:t>
      </w:r>
    </w:p>
    <w:p w14:paraId="1D970F55" w14:textId="2097B8BA" w:rsidR="00E814AB" w:rsidRPr="00713331" w:rsidRDefault="00E814AB" w:rsidP="00713331">
      <w:pPr>
        <w:pStyle w:val="Numberednormal"/>
        <w:numPr>
          <w:ilvl w:val="0"/>
          <w:numId w:val="0"/>
        </w:numPr>
        <w:ind w:left="1080"/>
        <w:rPr>
          <w:rFonts w:cs="Tahoma"/>
          <w:i/>
          <w:iCs/>
          <w:szCs w:val="20"/>
        </w:rPr>
      </w:pPr>
    </w:p>
    <w:p w14:paraId="363BD9E7" w14:textId="77777777" w:rsidR="00E814AB" w:rsidRPr="00713331" w:rsidRDefault="00E814AB" w:rsidP="00713331">
      <w:pPr>
        <w:pStyle w:val="Numberednormal"/>
        <w:numPr>
          <w:ilvl w:val="0"/>
          <w:numId w:val="6"/>
        </w:numPr>
      </w:pPr>
      <w:r w:rsidRPr="00713331">
        <w:t xml:space="preserve">La localisation des sites doit être indiquée sur la base de l'adresse (et non sur la base des coordonnées GPS). </w:t>
      </w:r>
    </w:p>
    <w:p w14:paraId="5458D13E" w14:textId="77777777" w:rsidR="005975D9" w:rsidRPr="00713331" w:rsidRDefault="005975D9" w:rsidP="00713331">
      <w:pPr>
        <w:pStyle w:val="Heading1"/>
      </w:pPr>
      <w:bookmarkStart w:id="23" w:name="_Toc135085773"/>
      <w:r w:rsidRPr="00713331">
        <w:t>Audition du demandeur et fourniture de ses observations écrites</w:t>
      </w:r>
      <w:bookmarkEnd w:id="23"/>
      <w:r w:rsidRPr="00713331">
        <w:t xml:space="preserve"> </w:t>
      </w:r>
    </w:p>
    <w:p w14:paraId="6E600931" w14:textId="77777777" w:rsidR="005975D9" w:rsidRPr="00713331" w:rsidRDefault="005975D9" w:rsidP="00713331">
      <w:pPr>
        <w:pStyle w:val="Numberednormal"/>
      </w:pPr>
      <w:r w:rsidRPr="00713331">
        <w:t xml:space="preserve">L’article 105, § 5, de la loi relative aux communications électroniques prévoit ce qui suit : </w:t>
      </w:r>
    </w:p>
    <w:p w14:paraId="754D9C8D" w14:textId="21C4723C" w:rsidR="005975D9" w:rsidRPr="00713331" w:rsidRDefault="005975D9" w:rsidP="00713331">
      <w:pPr>
        <w:pStyle w:val="Numberednormal"/>
        <w:numPr>
          <w:ilvl w:val="0"/>
          <w:numId w:val="0"/>
        </w:numPr>
        <w:ind w:left="360"/>
        <w:rPr>
          <w:color w:val="000000"/>
          <w:szCs w:val="20"/>
        </w:rPr>
      </w:pPr>
      <w:r w:rsidRPr="00713331">
        <w:rPr>
          <w:color w:val="000000"/>
        </w:rPr>
        <w:t>« </w:t>
      </w:r>
      <w:r w:rsidRPr="00713331">
        <w:rPr>
          <w:i/>
          <w:color w:val="000000"/>
        </w:rPr>
        <w:t>§ 5. Lorsque les ministres concernés entendent refuser l'autorisation, l'assortir de conditions ou revoir leur décision, le demandeur dispose de vingt-huit jours après avoir reçu le projet de décision pour présenter ses observations écrites.</w:t>
      </w:r>
      <w:r w:rsidRPr="00713331">
        <w:rPr>
          <w:i/>
          <w:color w:val="000000"/>
        </w:rPr>
        <w:br/>
        <w:t>   La possibilité est offerte au demandeur d'être entendu. Il peut se faire accompagner par les conseils, techniques ou juridiques, de son choix.</w:t>
      </w:r>
      <w:r w:rsidRPr="00713331">
        <w:rPr>
          <w:i/>
          <w:color w:val="000000"/>
        </w:rPr>
        <w:br/>
        <w:t>   Les ministres concernés peuvent se faire représenter par l'administration de leur choix. L'Institut et les services de renseignement et de sécurité peuvent participer à l'audition.</w:t>
      </w:r>
      <w:r w:rsidRPr="00713331">
        <w:rPr>
          <w:color w:val="000000"/>
        </w:rPr>
        <w:t> »</w:t>
      </w:r>
    </w:p>
    <w:p w14:paraId="110039B2" w14:textId="77777777" w:rsidR="00E814AB" w:rsidRPr="00713331" w:rsidRDefault="00E814AB" w:rsidP="00713331">
      <w:pPr>
        <w:pStyle w:val="Heading1"/>
        <w:numPr>
          <w:ilvl w:val="0"/>
          <w:numId w:val="7"/>
        </w:numPr>
      </w:pPr>
      <w:bookmarkStart w:id="24" w:name="_Toc135085774"/>
      <w:r w:rsidRPr="00713331">
        <w:t>Décision finale</w:t>
      </w:r>
      <w:bookmarkEnd w:id="24"/>
      <w:r w:rsidRPr="00713331">
        <w:t xml:space="preserve"> </w:t>
      </w:r>
    </w:p>
    <w:p w14:paraId="50B20EFF" w14:textId="77777777" w:rsidR="00E814AB" w:rsidRPr="00713331" w:rsidRDefault="00E814AB" w:rsidP="00713331">
      <w:pPr>
        <w:pStyle w:val="Numberednormal"/>
        <w:numPr>
          <w:ilvl w:val="0"/>
          <w:numId w:val="6"/>
        </w:numPr>
      </w:pPr>
      <w:r w:rsidRPr="00713331">
        <w:t xml:space="preserve">Les ministres concernés accorderont une autorisation conditionnelle si des éléments actifs à haut risque sont présents dans le réseau 5G concerné, lesquels doivent être retirés du réseau 5G au plus tard à la fin des périodes de transition prévues dans l'AR autorisations. </w:t>
      </w:r>
    </w:p>
    <w:p w14:paraId="59F6225A" w14:textId="77777777" w:rsidR="00E814AB" w:rsidRPr="00713331" w:rsidRDefault="00E814AB" w:rsidP="00713331">
      <w:pPr>
        <w:pStyle w:val="Numberednormal"/>
        <w:numPr>
          <w:ilvl w:val="0"/>
          <w:numId w:val="0"/>
        </w:numPr>
        <w:ind w:left="360"/>
      </w:pPr>
    </w:p>
    <w:p w14:paraId="5290CF1B" w14:textId="77777777" w:rsidR="00E814AB" w:rsidRPr="00713331" w:rsidRDefault="00E814AB" w:rsidP="00713331">
      <w:pPr>
        <w:pStyle w:val="Numberednormal"/>
        <w:numPr>
          <w:ilvl w:val="0"/>
          <w:numId w:val="6"/>
        </w:numPr>
      </w:pPr>
      <w:r w:rsidRPr="00713331">
        <w:lastRenderedPageBreak/>
        <w:t>Jusqu'à la fin des périodes de transition, l'entreprise concernée peut continuer à utiliser les éléments actifs à haut risque, du moins dans la mesure où ils ne sont pas interdits par d'autres réglementations.</w:t>
      </w:r>
    </w:p>
    <w:p w14:paraId="186614AE" w14:textId="77777777" w:rsidR="00E814AB" w:rsidRPr="00713331" w:rsidRDefault="00E814AB" w:rsidP="00713331">
      <w:pPr>
        <w:pStyle w:val="Numberednormal"/>
        <w:numPr>
          <w:ilvl w:val="0"/>
          <w:numId w:val="0"/>
        </w:numPr>
        <w:ind w:left="360"/>
      </w:pPr>
    </w:p>
    <w:p w14:paraId="1F3410D5" w14:textId="77777777" w:rsidR="00E814AB" w:rsidRPr="00713331" w:rsidRDefault="00E814AB" w:rsidP="00713331">
      <w:pPr>
        <w:pStyle w:val="Numberednormal"/>
        <w:numPr>
          <w:ilvl w:val="0"/>
          <w:numId w:val="6"/>
        </w:numPr>
      </w:pPr>
      <w:r w:rsidRPr="00713331">
        <w:t xml:space="preserve">Les ministres concernés devront motiver leur décision en cas de refus ou si la décision est assortie de conditions. </w:t>
      </w:r>
    </w:p>
    <w:p w14:paraId="525812A9" w14:textId="75CF966E" w:rsidR="00F4337D" w:rsidRPr="00713331" w:rsidRDefault="00F4337D" w:rsidP="00713331">
      <w:pPr>
        <w:pStyle w:val="Heading1"/>
      </w:pPr>
      <w:bookmarkStart w:id="25" w:name="_Toc135085775"/>
      <w:r w:rsidRPr="00713331">
        <w:t>Modification d’un dossier déjà introduit</w:t>
      </w:r>
      <w:bookmarkEnd w:id="25"/>
      <w:r w:rsidRPr="00713331">
        <w:t xml:space="preserve"> </w:t>
      </w:r>
    </w:p>
    <w:p w14:paraId="7A74D1CC" w14:textId="581E4721" w:rsidR="00F4337D" w:rsidRPr="00713331" w:rsidRDefault="00F4337D" w:rsidP="00713331">
      <w:pPr>
        <w:pStyle w:val="Numberednormal"/>
      </w:pPr>
      <w:r w:rsidRPr="00713331">
        <w:t xml:space="preserve">Deux situations peuvent se produire : </w:t>
      </w:r>
    </w:p>
    <w:p w14:paraId="1C9B9DF3" w14:textId="21B56853" w:rsidR="00F4337D" w:rsidRPr="00713331" w:rsidRDefault="00F4337D" w:rsidP="00713331">
      <w:pPr>
        <w:pStyle w:val="Numberednormal"/>
        <w:numPr>
          <w:ilvl w:val="0"/>
          <w:numId w:val="0"/>
        </w:numPr>
        <w:ind w:left="360" w:hanging="360"/>
      </w:pPr>
    </w:p>
    <w:p w14:paraId="476FF9A4" w14:textId="01DC0A2D" w:rsidR="00F4337D" w:rsidRPr="00713331" w:rsidRDefault="00F4337D" w:rsidP="00713331">
      <w:pPr>
        <w:pStyle w:val="Numberednormal"/>
        <w:numPr>
          <w:ilvl w:val="0"/>
          <w:numId w:val="27"/>
        </w:numPr>
      </w:pPr>
      <w:r w:rsidRPr="00713331">
        <w:t xml:space="preserve">Le demandeur informe l’IBPT que certaines informations qui se trouvent dans une demande d’autorisation déjà introduite (notamment les données sur le demandeur ou sur les points de contact) ne sont pas ou plus correctes, sans que cela n’entraîne la nécessité de demander une nouvelle autorisation ; </w:t>
      </w:r>
    </w:p>
    <w:p w14:paraId="59BA4765" w14:textId="261B6EFA" w:rsidR="00F4337D" w:rsidRPr="00713331" w:rsidRDefault="00F4337D" w:rsidP="00713331">
      <w:pPr>
        <w:pStyle w:val="Numberednormal"/>
        <w:numPr>
          <w:ilvl w:val="0"/>
          <w:numId w:val="27"/>
        </w:numPr>
      </w:pPr>
      <w:r w:rsidRPr="00713331">
        <w:t xml:space="preserve">Le demandeur doit demander une nouvelle autorisation car des changements substantiels ont été effectués par rapport à la demande initiale. </w:t>
      </w:r>
    </w:p>
    <w:p w14:paraId="1382ACA1" w14:textId="77777777" w:rsidR="00F4337D" w:rsidRPr="00713331" w:rsidRDefault="00F4337D" w:rsidP="00713331">
      <w:pPr>
        <w:pStyle w:val="Numberednormal"/>
        <w:numPr>
          <w:ilvl w:val="0"/>
          <w:numId w:val="0"/>
        </w:numPr>
        <w:ind w:left="720"/>
      </w:pPr>
    </w:p>
    <w:p w14:paraId="374C832E" w14:textId="723CEFF3" w:rsidR="00F4337D" w:rsidRPr="00713331" w:rsidRDefault="00F4337D" w:rsidP="00713331">
      <w:pPr>
        <w:pStyle w:val="Numberednormal"/>
      </w:pPr>
      <w:r w:rsidRPr="00713331">
        <w:t xml:space="preserve">Pour ce qui concerne le deuxième cas de figure, l’article 11, alinéa 2, de l’arrêté royal </w:t>
      </w:r>
      <w:r w:rsidRPr="00713331">
        <w:rPr>
          <w:color w:val="000000"/>
        </w:rPr>
        <w:t>relatif à l’autorisation ministérielle</w:t>
      </w:r>
      <w:r w:rsidRPr="00713331">
        <w:t xml:space="preserve"> prévoit ce qui suit : « </w:t>
      </w:r>
      <w:r w:rsidRPr="00713331">
        <w:rPr>
          <w:i/>
          <w:shd w:val="clear" w:color="auto" w:fill="FFFFFF"/>
        </w:rPr>
        <w:t>Lorsqu’une mise à jour nécessite une nouvelle demande d’autorisation, l’entreprise concernée soumet un dossier complet en indiquant clairement les modifications qui sont apportées par rapport au dossier initial.</w:t>
      </w:r>
      <w:r w:rsidRPr="00713331">
        <w:rPr>
          <w:shd w:val="clear" w:color="auto" w:fill="FFFFFF"/>
        </w:rPr>
        <w:t> »</w:t>
      </w:r>
    </w:p>
    <w:p w14:paraId="60DFE6D7" w14:textId="77777777" w:rsidR="00B842BB" w:rsidRPr="00713331" w:rsidRDefault="00B842BB" w:rsidP="00713331">
      <w:pPr>
        <w:pStyle w:val="Numberednormal"/>
        <w:numPr>
          <w:ilvl w:val="0"/>
          <w:numId w:val="0"/>
        </w:numPr>
        <w:ind w:left="360"/>
      </w:pPr>
    </w:p>
    <w:p w14:paraId="6885C218" w14:textId="2B880724" w:rsidR="00651B34" w:rsidRPr="00713331" w:rsidRDefault="00E60238" w:rsidP="00713331">
      <w:pPr>
        <w:pStyle w:val="Numberednormal"/>
      </w:pPr>
      <w:r w:rsidRPr="00713331">
        <w:t xml:space="preserve">Pour répondre à cette disposition et lorsque le demandeur introduit une demande d’autorisation qui apporte des modifications par rapport à une demande précédente, il est proposé ce qui suit : </w:t>
      </w:r>
    </w:p>
    <w:p w14:paraId="2ACA5B1D" w14:textId="3910629F" w:rsidR="00E60238" w:rsidRPr="00713331" w:rsidRDefault="00651B34" w:rsidP="00713331">
      <w:pPr>
        <w:pStyle w:val="ListParagraph"/>
      </w:pPr>
      <w:r w:rsidRPr="00713331">
        <w:t xml:space="preserve">la lettre par laquelle une nouvelle autorisation est demandée indiquera les références fournies dans l’accusé de réception de l’IBPT pour la demande d’autorisation initale (la demande à laquelle des modifications apportées) ; </w:t>
      </w:r>
    </w:p>
    <w:p w14:paraId="734342B4" w14:textId="20ECD0AB" w:rsidR="0010249C" w:rsidRPr="00713331" w:rsidRDefault="00651B34" w:rsidP="00713331">
      <w:pPr>
        <w:pStyle w:val="ListParagraph"/>
      </w:pPr>
      <w:r w:rsidRPr="00713331">
        <w:t>le demandeur fournira à l’IBPT les fiches modifiées, remplacées ou ajoutées ; la version de la fiche modif</w:t>
      </w:r>
      <w:r w:rsidR="008565D3" w:rsidRPr="00713331">
        <w:t>i</w:t>
      </w:r>
      <w:r w:rsidRPr="00713331">
        <w:t>ée deviendra la version 2 (ou v2)</w:t>
      </w:r>
      <w:r w:rsidRPr="00713331">
        <w:rPr>
          <w:rStyle w:val="FootnoteReference"/>
        </w:rPr>
        <w:footnoteReference w:id="5"/>
      </w:r>
      <w:r w:rsidRPr="00713331">
        <w:t xml:space="preserve"> ; </w:t>
      </w:r>
    </w:p>
    <w:p w14:paraId="20165407" w14:textId="31E90711" w:rsidR="00B842BB" w:rsidRPr="00713331" w:rsidRDefault="00651B34" w:rsidP="00713331">
      <w:pPr>
        <w:pStyle w:val="ListParagraph"/>
      </w:pPr>
      <w:r w:rsidRPr="00713331">
        <w:t xml:space="preserve">le demandeur fournira à l’IBPT l’inventaire des annexes à la lettre par laquelle l’autorisation initiale a été demandée, en ajoutant dans cet inventaire des informations concernant les modifications à cet dernier (pièces modifiées, remplacées ou nouvelle pièces), conformément </w:t>
      </w:r>
      <w:r w:rsidR="00E35708">
        <w:t xml:space="preserve">à la partie </w:t>
      </w:r>
      <w:r w:rsidRPr="00713331">
        <w:t>n°2 (« version consolidée de l’inventaire »)</w:t>
      </w:r>
      <w:r w:rsidR="00C60F06" w:rsidRPr="00713331">
        <w:t> </w:t>
      </w:r>
      <w:r w:rsidRPr="00713331">
        <w:t xml:space="preserve">;  </w:t>
      </w:r>
    </w:p>
    <w:p w14:paraId="3F539E13" w14:textId="6C01227A" w:rsidR="0010249C" w:rsidRPr="00713331" w:rsidRDefault="00651B34" w:rsidP="00713331">
      <w:pPr>
        <w:pStyle w:val="ListParagraph"/>
      </w:pPr>
      <w:r w:rsidRPr="00713331">
        <w:t xml:space="preserve">le demandeur fournira à l’IBPT un inventaire reprenant uniquement les pièces sur lesquelles </w:t>
      </w:r>
      <w:r w:rsidR="00C60F06" w:rsidRPr="00713331">
        <w:t xml:space="preserve">porte </w:t>
      </w:r>
      <w:r w:rsidRPr="00713331">
        <w:t>la nouvelle demande, selon le modèle d’inventaire visé dans l</w:t>
      </w:r>
      <w:r w:rsidR="00E35708">
        <w:t xml:space="preserve">a partie </w:t>
      </w:r>
      <w:r w:rsidRPr="00713331">
        <w:t xml:space="preserve">n° 2, mais sans compléter la septième colonne de cet inventaire (inventaire du nouveau dossier). </w:t>
      </w:r>
    </w:p>
    <w:p w14:paraId="7AFFC9B0" w14:textId="23EFA763" w:rsidR="00391068" w:rsidRPr="00713331" w:rsidRDefault="00391068" w:rsidP="00713331">
      <w:pPr>
        <w:pStyle w:val="ListParagraph"/>
        <w:numPr>
          <w:ilvl w:val="0"/>
          <w:numId w:val="0"/>
        </w:numPr>
        <w:ind w:left="717"/>
      </w:pPr>
    </w:p>
    <w:p w14:paraId="51C577E7" w14:textId="0B8B3A48" w:rsidR="00E814AB" w:rsidRPr="00713331" w:rsidRDefault="00E814AB" w:rsidP="00713331">
      <w:pPr>
        <w:pStyle w:val="Numberednormal"/>
        <w:numPr>
          <w:ilvl w:val="0"/>
          <w:numId w:val="6"/>
        </w:numPr>
      </w:pPr>
      <w:r w:rsidRPr="00713331">
        <w:t>Question d’un opérateur</w:t>
      </w:r>
      <w:r w:rsidR="00B55B69">
        <w:t xml:space="preserve"> </w:t>
      </w:r>
      <w:r w:rsidRPr="00713331">
        <w:t xml:space="preserve">:  </w:t>
      </w:r>
    </w:p>
    <w:p w14:paraId="1F95B53B" w14:textId="77777777" w:rsidR="00E814AB" w:rsidRPr="00713331" w:rsidRDefault="00E814AB" w:rsidP="00713331">
      <w:pPr>
        <w:rPr>
          <w:rFonts w:cs="Tahoma"/>
          <w:szCs w:val="20"/>
        </w:rPr>
      </w:pPr>
      <w:r w:rsidRPr="00713331">
        <w:rPr>
          <w:i/>
        </w:rPr>
        <w:t xml:space="preserve">« Si le fournisseur </w:t>
      </w:r>
      <w:r w:rsidRPr="00713331">
        <w:rPr>
          <w:b/>
          <w:i/>
        </w:rPr>
        <w:t>n'est pas considéré comme un fournisseur à haut risque</w:t>
      </w:r>
      <w:r w:rsidRPr="00713331">
        <w:rPr>
          <w:i/>
        </w:rPr>
        <w:t xml:space="preserve"> après la procédure de régularisation, nous nous demandons s’il ne serait pas possible de simplifier au maximum la procédure pour les adaptations futures de l'autorisation pour les produits de ce fournisseur ? »</w:t>
      </w:r>
    </w:p>
    <w:p w14:paraId="4D5669E1" w14:textId="77777777" w:rsidR="00E814AB" w:rsidRPr="00713331" w:rsidRDefault="00E814AB" w:rsidP="00713331">
      <w:pPr>
        <w:rPr>
          <w:rFonts w:cs="Tahoma"/>
          <w:szCs w:val="20"/>
        </w:rPr>
      </w:pPr>
    </w:p>
    <w:p w14:paraId="0728C797" w14:textId="77777777" w:rsidR="00E814AB" w:rsidRPr="00713331" w:rsidRDefault="00E814AB" w:rsidP="00713331">
      <w:pPr>
        <w:pStyle w:val="Numberednormal"/>
        <w:numPr>
          <w:ilvl w:val="0"/>
          <w:numId w:val="6"/>
        </w:numPr>
        <w:rPr>
          <w:rFonts w:cs="Tahoma"/>
          <w:szCs w:val="20"/>
        </w:rPr>
      </w:pPr>
      <w:r w:rsidRPr="00713331">
        <w:t xml:space="preserve">Réponse de l'IBPT : l’IBPT est ouvert à toute proposition concrète du secteur. Le point soulevé par l’opérateur concerne une hypothèse future.  </w:t>
      </w:r>
    </w:p>
    <w:sectPr w:rsidR="00E814AB" w:rsidRPr="00713331" w:rsidSect="007F7A6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B3AB" w14:textId="77777777" w:rsidR="00C96447" w:rsidRDefault="00C96447" w:rsidP="00C96447">
      <w:r>
        <w:separator/>
      </w:r>
    </w:p>
  </w:endnote>
  <w:endnote w:type="continuationSeparator" w:id="0">
    <w:p w14:paraId="7B3D2A0B" w14:textId="77777777" w:rsidR="00C96447" w:rsidRDefault="00C96447"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168367"/>
      <w:docPartObj>
        <w:docPartGallery w:val="Page Numbers (Bottom of Page)"/>
        <w:docPartUnique/>
      </w:docPartObj>
    </w:sdtPr>
    <w:sdtEndPr/>
    <w:sdtContent>
      <w:p w14:paraId="1103924C" w14:textId="6D87BACF" w:rsidR="002A7F84" w:rsidRDefault="002A7F84">
        <w:pPr>
          <w:pStyle w:val="Footer"/>
          <w:jc w:val="center"/>
        </w:pPr>
        <w:r>
          <w:fldChar w:fldCharType="begin"/>
        </w:r>
        <w:r>
          <w:instrText>PAGE   \* MERGEFORMAT</w:instrText>
        </w:r>
        <w:r>
          <w:fldChar w:fldCharType="separate"/>
        </w:r>
        <w:r>
          <w:t>2</w:t>
        </w:r>
        <w:r>
          <w:fldChar w:fldCharType="end"/>
        </w:r>
      </w:p>
    </w:sdtContent>
  </w:sdt>
  <w:p w14:paraId="722781EE" w14:textId="77777777" w:rsidR="002A7F84" w:rsidRDefault="002A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96E9" w14:textId="77777777" w:rsidR="00C96447" w:rsidRDefault="00C96447" w:rsidP="00C96447">
      <w:r>
        <w:separator/>
      </w:r>
    </w:p>
  </w:footnote>
  <w:footnote w:type="continuationSeparator" w:id="0">
    <w:p w14:paraId="60ECB013" w14:textId="77777777" w:rsidR="00C96447" w:rsidRDefault="00C96447" w:rsidP="00C96447">
      <w:r>
        <w:continuationSeparator/>
      </w:r>
    </w:p>
  </w:footnote>
  <w:footnote w:id="1">
    <w:p w14:paraId="7969B021" w14:textId="77777777" w:rsidR="009D034D" w:rsidRDefault="009D034D" w:rsidP="009D034D">
      <w:pPr>
        <w:pStyle w:val="pf0"/>
        <w:rPr>
          <w:rFonts w:ascii="Arial" w:hAnsi="Arial" w:cs="Arial"/>
          <w:sz w:val="20"/>
          <w:szCs w:val="20"/>
        </w:rPr>
      </w:pPr>
      <w:r>
        <w:rPr>
          <w:rStyle w:val="FootnoteReference"/>
        </w:rPr>
        <w:footnoteRef/>
      </w:r>
      <w:r>
        <w:t xml:space="preserve"> </w:t>
      </w:r>
      <w:hyperlink r:id="rId1" w:history="1">
        <w:r>
          <w:rPr>
            <w:rStyle w:val="cf01"/>
            <w:color w:val="0000FF"/>
            <w:u w:val="single"/>
          </w:rPr>
          <w:t>https://www.ericsson.com/en/reports-and-papers/ericsson-technology-review/articles/5g-synchronization-requirements-and-solutions</w:t>
        </w:r>
      </w:hyperlink>
      <w:r>
        <w:rPr>
          <w:rFonts w:ascii="Arial" w:hAnsi="Arial"/>
          <w:sz w:val="20"/>
        </w:rPr>
        <w:t xml:space="preserve">; </w:t>
      </w:r>
      <w:hyperlink r:id="rId2" w:history="1">
        <w:r>
          <w:rPr>
            <w:rStyle w:val="cf01"/>
            <w:color w:val="0000FF"/>
            <w:u w:val="single"/>
          </w:rPr>
          <w:t>https://forum.huawei.com/enterprise/en/topic-discussion-5g-synchronization-solution/thread/1042990-100305?from=latestPostsReplies</w:t>
        </w:r>
      </w:hyperlink>
      <w:r>
        <w:rPr>
          <w:rFonts w:ascii="Arial" w:hAnsi="Arial"/>
          <w:sz w:val="20"/>
        </w:rPr>
        <w:t xml:space="preserve">; </w:t>
      </w:r>
      <w:hyperlink r:id="rId3" w:history="1">
        <w:r>
          <w:rPr>
            <w:rStyle w:val="cf01"/>
            <w:color w:val="0000FF"/>
            <w:u w:val="single"/>
          </w:rPr>
          <w:t>https://www.nokia.com/blog/timing-and-synchronization-options-to-support-5g/</w:t>
        </w:r>
      </w:hyperlink>
      <w:r>
        <w:rPr>
          <w:rFonts w:ascii="Arial" w:hAnsi="Arial"/>
          <w:sz w:val="20"/>
        </w:rPr>
        <w:t>.</w:t>
      </w:r>
    </w:p>
    <w:p w14:paraId="6696DBF8" w14:textId="77777777" w:rsidR="009D034D" w:rsidRPr="006C56AF" w:rsidRDefault="009D034D" w:rsidP="009D034D">
      <w:pPr>
        <w:pStyle w:val="FootnoteText"/>
      </w:pPr>
    </w:p>
  </w:footnote>
  <w:footnote w:id="2">
    <w:p w14:paraId="53CE366B" w14:textId="3A964F9E" w:rsidR="00D67EA3" w:rsidRPr="00297F17" w:rsidRDefault="00D67EA3">
      <w:pPr>
        <w:pStyle w:val="FootnoteText"/>
        <w:rPr>
          <w:sz w:val="18"/>
          <w:szCs w:val="18"/>
        </w:rPr>
      </w:pPr>
      <w:r>
        <w:rPr>
          <w:rStyle w:val="FootnoteReference"/>
          <w:sz w:val="18"/>
          <w:szCs w:val="18"/>
        </w:rPr>
        <w:footnoteRef/>
      </w:r>
      <w:r>
        <w:rPr>
          <w:sz w:val="18"/>
        </w:rPr>
        <w:t xml:space="preserve"> La nécessité d’un courriel distinct s’explique par le fait que ce courriel ne sera pas transféré aux ministres concernés, à la différence du courriel par lequel la demande d’autorisation est envoyée. </w:t>
      </w:r>
    </w:p>
  </w:footnote>
  <w:footnote w:id="3">
    <w:p w14:paraId="28258145" w14:textId="30391CDE" w:rsidR="0088574D" w:rsidRPr="0088574D" w:rsidRDefault="0088574D">
      <w:pPr>
        <w:pStyle w:val="FootnoteText"/>
      </w:pPr>
      <w:r>
        <w:rPr>
          <w:rStyle w:val="FootnoteReference"/>
          <w:sz w:val="18"/>
          <w:szCs w:val="18"/>
        </w:rPr>
        <w:footnoteRef/>
      </w:r>
      <w:r>
        <w:rPr>
          <w:sz w:val="18"/>
        </w:rPr>
        <w:t xml:space="preserve"> Dans ce cas, il est nécessaire de demander la clé publique de l’IBPT et de fournir sa propre clé publique.</w:t>
      </w:r>
    </w:p>
  </w:footnote>
  <w:footnote w:id="4">
    <w:p w14:paraId="629FACA8" w14:textId="0003AA9D" w:rsidR="00632C4F" w:rsidRPr="00632C4F" w:rsidRDefault="00632C4F" w:rsidP="00632C4F">
      <w:pPr>
        <w:rPr>
          <w:sz w:val="18"/>
          <w:szCs w:val="18"/>
        </w:rPr>
      </w:pPr>
      <w:r>
        <w:rPr>
          <w:rStyle w:val="FootnoteReference"/>
          <w:sz w:val="18"/>
          <w:szCs w:val="18"/>
        </w:rPr>
        <w:footnoteRef/>
      </w:r>
      <w:r>
        <w:rPr>
          <w:sz w:val="18"/>
        </w:rPr>
        <w:t xml:space="preserve"> L’autorisation ministérielle est rendue par les ministres suivants : le Premier ministre, le ministre des Télécommunications, le ministre de la Défense, le ministre de la Justice, le ministre de l'Intérieur et le ministre des Affaires étrangères. </w:t>
      </w:r>
    </w:p>
    <w:p w14:paraId="579816BB" w14:textId="22AF8259" w:rsidR="00632C4F" w:rsidRPr="00632C4F" w:rsidRDefault="00632C4F">
      <w:pPr>
        <w:pStyle w:val="FootnoteText"/>
        <w:rPr>
          <w:sz w:val="18"/>
          <w:szCs w:val="18"/>
        </w:rPr>
      </w:pPr>
    </w:p>
  </w:footnote>
  <w:footnote w:id="5">
    <w:p w14:paraId="523019BB" w14:textId="77777777" w:rsidR="00651B34" w:rsidRPr="00632C4F" w:rsidRDefault="00651B34" w:rsidP="00651B34">
      <w:pPr>
        <w:pStyle w:val="FootnoteText"/>
        <w:rPr>
          <w:sz w:val="18"/>
          <w:szCs w:val="18"/>
        </w:rPr>
      </w:pPr>
      <w:r>
        <w:rPr>
          <w:rStyle w:val="FootnoteReference"/>
          <w:sz w:val="18"/>
          <w:szCs w:val="18"/>
        </w:rPr>
        <w:footnoteRef/>
      </w:r>
      <w:r>
        <w:rPr>
          <w:sz w:val="18"/>
        </w:rPr>
        <w:t xml:space="preserve"> Il n’est </w:t>
      </w:r>
      <w:proofErr w:type="gramStart"/>
      <w:r>
        <w:rPr>
          <w:sz w:val="18"/>
        </w:rPr>
        <w:t>par contre</w:t>
      </w:r>
      <w:proofErr w:type="gramEnd"/>
      <w:r>
        <w:rPr>
          <w:sz w:val="18"/>
        </w:rPr>
        <w:t xml:space="preserve"> pas nécessaire que le demandeur fournisse à l’IBPT les fiches qu’il lui a déjà fournies dans le cadre du dossier initial.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9A"/>
    <w:multiLevelType w:val="hybridMultilevel"/>
    <w:tmpl w:val="86A87C68"/>
    <w:lvl w:ilvl="0" w:tplc="68F84CE0">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045136E0"/>
    <w:multiLevelType w:val="hybridMultilevel"/>
    <w:tmpl w:val="572E1996"/>
    <w:lvl w:ilvl="0" w:tplc="93B8813C">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FD0CCA"/>
    <w:multiLevelType w:val="hybridMultilevel"/>
    <w:tmpl w:val="128860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E1400A"/>
    <w:multiLevelType w:val="hybridMultilevel"/>
    <w:tmpl w:val="0E6A70EA"/>
    <w:lvl w:ilvl="0" w:tplc="8DFEDF66">
      <w:start w:val="1"/>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67544C"/>
    <w:multiLevelType w:val="hybridMultilevel"/>
    <w:tmpl w:val="46C6A1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15D11690"/>
    <w:multiLevelType w:val="hybridMultilevel"/>
    <w:tmpl w:val="43BAB9C4"/>
    <w:lvl w:ilvl="0" w:tplc="C4FEF1F8">
      <w:start w:val="1"/>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E961726"/>
    <w:multiLevelType w:val="multilevel"/>
    <w:tmpl w:val="67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11403"/>
    <w:multiLevelType w:val="multilevel"/>
    <w:tmpl w:val="2EA490C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1717760"/>
    <w:multiLevelType w:val="hybridMultilevel"/>
    <w:tmpl w:val="785488C6"/>
    <w:lvl w:ilvl="0" w:tplc="4DD07ED6">
      <w:start w:val="2"/>
      <w:numFmt w:val="lowerLetter"/>
      <w:lvlText w:val="%1)"/>
      <w:lvlJc w:val="left"/>
      <w:pPr>
        <w:ind w:left="720" w:hanging="360"/>
      </w:pPr>
      <w:rPr>
        <w:rFonts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417240A"/>
    <w:multiLevelType w:val="hybridMultilevel"/>
    <w:tmpl w:val="9D08A32A"/>
    <w:lvl w:ilvl="0" w:tplc="080C0017">
      <w:start w:val="1"/>
      <w:numFmt w:val="lowerLetter"/>
      <w:lvlText w:val="%1)"/>
      <w:lvlJc w:val="left"/>
      <w:pPr>
        <w:ind w:left="720" w:hanging="360"/>
      </w:pPr>
      <w:rPr>
        <w:rFont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85D7BD7"/>
    <w:multiLevelType w:val="hybridMultilevel"/>
    <w:tmpl w:val="6F2C800E"/>
    <w:lvl w:ilvl="0" w:tplc="78AE1790">
      <w:start w:val="8"/>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3A19139C"/>
    <w:multiLevelType w:val="multilevel"/>
    <w:tmpl w:val="3AC63AAE"/>
    <w:numStyleLink w:val="Annexe"/>
  </w:abstractNum>
  <w:abstractNum w:abstractNumId="15"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E0495A"/>
    <w:multiLevelType w:val="hybridMultilevel"/>
    <w:tmpl w:val="BA96C072"/>
    <w:lvl w:ilvl="0" w:tplc="08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1DF3DB8"/>
    <w:multiLevelType w:val="hybridMultilevel"/>
    <w:tmpl w:val="A3E414DC"/>
    <w:lvl w:ilvl="0" w:tplc="E7CC1EE6">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3A83A18"/>
    <w:multiLevelType w:val="hybridMultilevel"/>
    <w:tmpl w:val="BA3E9378"/>
    <w:lvl w:ilvl="0" w:tplc="1B1A0C1E">
      <w:start w:val="7"/>
      <w:numFmt w:val="lowerLetter"/>
      <w:lvlText w:val="%1)"/>
      <w:lvlJc w:val="left"/>
      <w:pPr>
        <w:ind w:left="360" w:hanging="360"/>
      </w:pPr>
      <w:rPr>
        <w:rFonts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3F83AE7"/>
    <w:multiLevelType w:val="hybridMultilevel"/>
    <w:tmpl w:val="D316AF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46DF2A9B"/>
    <w:multiLevelType w:val="hybridMultilevel"/>
    <w:tmpl w:val="52482966"/>
    <w:lvl w:ilvl="0" w:tplc="EA44DACE">
      <w:start w:val="10"/>
      <w:numFmt w:val="lowerLetter"/>
      <w:lvlText w:val="%1)"/>
      <w:lvlJc w:val="left"/>
      <w:pPr>
        <w:ind w:left="360" w:hanging="360"/>
      </w:pPr>
      <w:rPr>
        <w:rFonts w:hint="default"/>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BB7633F"/>
    <w:multiLevelType w:val="hybridMultilevel"/>
    <w:tmpl w:val="D4487510"/>
    <w:lvl w:ilvl="0" w:tplc="080C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D0FA5"/>
    <w:multiLevelType w:val="hybridMultilevel"/>
    <w:tmpl w:val="07B02A34"/>
    <w:lvl w:ilvl="0" w:tplc="9A8A0B0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518C374A"/>
    <w:multiLevelType w:val="hybridMultilevel"/>
    <w:tmpl w:val="6B9CC2DC"/>
    <w:lvl w:ilvl="0" w:tplc="7424E376">
      <w:start w:val="9"/>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51C83152"/>
    <w:multiLevelType w:val="hybridMultilevel"/>
    <w:tmpl w:val="D4487510"/>
    <w:lvl w:ilvl="0" w:tplc="080C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0195F"/>
    <w:multiLevelType w:val="hybridMultilevel"/>
    <w:tmpl w:val="125A6382"/>
    <w:lvl w:ilvl="0" w:tplc="B658C7F6">
      <w:start w:val="7"/>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5A972EDD"/>
    <w:multiLevelType w:val="hybridMultilevel"/>
    <w:tmpl w:val="3D0A2E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B1F0E2F"/>
    <w:multiLevelType w:val="hybridMultilevel"/>
    <w:tmpl w:val="9D08A32A"/>
    <w:lvl w:ilvl="0" w:tplc="080C0017">
      <w:start w:val="1"/>
      <w:numFmt w:val="lowerLetter"/>
      <w:lvlText w:val="%1)"/>
      <w:lvlJc w:val="left"/>
      <w:pPr>
        <w:ind w:left="720" w:hanging="360"/>
      </w:pPr>
      <w:rPr>
        <w:rFont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13449A6"/>
    <w:multiLevelType w:val="hybridMultilevel"/>
    <w:tmpl w:val="06AE867A"/>
    <w:lvl w:ilvl="0" w:tplc="1B6C4882">
      <w:start w:val="3"/>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4" w15:restartNumberingAfterBreak="0">
    <w:nsid w:val="65052C5F"/>
    <w:multiLevelType w:val="hybridMultilevel"/>
    <w:tmpl w:val="FF26FE06"/>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5"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36" w15:restartNumberingAfterBreak="0">
    <w:nsid w:val="689A3CB4"/>
    <w:multiLevelType w:val="hybridMultilevel"/>
    <w:tmpl w:val="F078CD8C"/>
    <w:lvl w:ilvl="0" w:tplc="6E7AB9A0">
      <w:start w:val="11"/>
      <w:numFmt w:val="lowerLetter"/>
      <w:lvlText w:val="%1)"/>
      <w:lvlJc w:val="left"/>
      <w:pPr>
        <w:ind w:left="360" w:hanging="360"/>
      </w:pPr>
      <w:rPr>
        <w:rFonts w:hint="default"/>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68C7550F"/>
    <w:multiLevelType w:val="hybridMultilevel"/>
    <w:tmpl w:val="E1562246"/>
    <w:lvl w:ilvl="0" w:tplc="D700A59C">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1DA19CD"/>
    <w:multiLevelType w:val="hybridMultilevel"/>
    <w:tmpl w:val="38E8A708"/>
    <w:lvl w:ilvl="0" w:tplc="B4C8EA82">
      <w:numFmt w:val="bullet"/>
      <w:lvlText w:val="-"/>
      <w:lvlJc w:val="left"/>
      <w:pPr>
        <w:ind w:left="420" w:hanging="360"/>
      </w:pPr>
      <w:rPr>
        <w:rFonts w:ascii="Tahoma" w:eastAsiaTheme="minorHAnsi" w:hAnsi="Tahoma" w:cs="Tahoma"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9" w15:restartNumberingAfterBreak="0">
    <w:nsid w:val="7A1556E7"/>
    <w:multiLevelType w:val="hybridMultilevel"/>
    <w:tmpl w:val="581234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E6F676B"/>
    <w:multiLevelType w:val="hybridMultilevel"/>
    <w:tmpl w:val="ABCC6766"/>
    <w:lvl w:ilvl="0" w:tplc="4538D642">
      <w:start w:val="1"/>
      <w:numFmt w:val="decimal"/>
      <w:lvlText w:val="%1)"/>
      <w:lvlJc w:val="left"/>
      <w:pPr>
        <w:ind w:left="720" w:hanging="360"/>
      </w:pPr>
      <w:rPr>
        <w:rFonts w:asciiTheme="minorHAnsi" w:eastAsiaTheme="minorHAnsi" w:hAnsiTheme="minorHAnsi" w:cstheme="minorBidi"/>
      </w:rPr>
    </w:lvl>
    <w:lvl w:ilvl="1" w:tplc="AFE8E820">
      <w:start w:val="1"/>
      <w:numFmt w:val="bullet"/>
      <w:lvlText w:val="o"/>
      <w:lvlJc w:val="left"/>
      <w:pPr>
        <w:ind w:left="1440" w:hanging="360"/>
      </w:pPr>
      <w:rPr>
        <w:rFonts w:ascii="Courier New" w:hAnsi="Courier New" w:cs="Times New Roman" w:hint="default"/>
      </w:rPr>
    </w:lvl>
    <w:lvl w:ilvl="2" w:tplc="9A44919A">
      <w:start w:val="1"/>
      <w:numFmt w:val="bullet"/>
      <w:lvlText w:val=""/>
      <w:lvlJc w:val="left"/>
      <w:pPr>
        <w:ind w:left="2160" w:hanging="360"/>
      </w:pPr>
      <w:rPr>
        <w:rFonts w:ascii="Wingdings" w:hAnsi="Wingdings" w:hint="default"/>
      </w:rPr>
    </w:lvl>
    <w:lvl w:ilvl="3" w:tplc="6DEEC2A2">
      <w:start w:val="1"/>
      <w:numFmt w:val="bullet"/>
      <w:lvlText w:val=""/>
      <w:lvlJc w:val="left"/>
      <w:pPr>
        <w:ind w:left="2880" w:hanging="360"/>
      </w:pPr>
      <w:rPr>
        <w:rFonts w:ascii="Symbol" w:hAnsi="Symbol" w:hint="default"/>
      </w:rPr>
    </w:lvl>
    <w:lvl w:ilvl="4" w:tplc="4D205606">
      <w:start w:val="1"/>
      <w:numFmt w:val="bullet"/>
      <w:lvlText w:val="o"/>
      <w:lvlJc w:val="left"/>
      <w:pPr>
        <w:ind w:left="3600" w:hanging="360"/>
      </w:pPr>
      <w:rPr>
        <w:rFonts w:ascii="Courier New" w:hAnsi="Courier New" w:cs="Times New Roman" w:hint="default"/>
      </w:rPr>
    </w:lvl>
    <w:lvl w:ilvl="5" w:tplc="B6C650A6">
      <w:start w:val="1"/>
      <w:numFmt w:val="bullet"/>
      <w:lvlText w:val=""/>
      <w:lvlJc w:val="left"/>
      <w:pPr>
        <w:ind w:left="4320" w:hanging="360"/>
      </w:pPr>
      <w:rPr>
        <w:rFonts w:ascii="Wingdings" w:hAnsi="Wingdings" w:hint="default"/>
      </w:rPr>
    </w:lvl>
    <w:lvl w:ilvl="6" w:tplc="68D2B588">
      <w:start w:val="1"/>
      <w:numFmt w:val="bullet"/>
      <w:lvlText w:val=""/>
      <w:lvlJc w:val="left"/>
      <w:pPr>
        <w:ind w:left="5040" w:hanging="360"/>
      </w:pPr>
      <w:rPr>
        <w:rFonts w:ascii="Symbol" w:hAnsi="Symbol" w:hint="default"/>
      </w:rPr>
    </w:lvl>
    <w:lvl w:ilvl="7" w:tplc="C276E414">
      <w:start w:val="1"/>
      <w:numFmt w:val="bullet"/>
      <w:lvlText w:val="o"/>
      <w:lvlJc w:val="left"/>
      <w:pPr>
        <w:ind w:left="5760" w:hanging="360"/>
      </w:pPr>
      <w:rPr>
        <w:rFonts w:ascii="Courier New" w:hAnsi="Courier New" w:cs="Times New Roman" w:hint="default"/>
      </w:rPr>
    </w:lvl>
    <w:lvl w:ilvl="8" w:tplc="6CB6E7C4">
      <w:start w:val="1"/>
      <w:numFmt w:val="bullet"/>
      <w:lvlText w:val=""/>
      <w:lvlJc w:val="left"/>
      <w:pPr>
        <w:ind w:left="6480" w:hanging="360"/>
      </w:pPr>
      <w:rPr>
        <w:rFonts w:ascii="Wingdings" w:hAnsi="Wingdings" w:hint="default"/>
      </w:rPr>
    </w:lvl>
  </w:abstractNum>
  <w:num w:numId="1" w16cid:durableId="1688360161">
    <w:abstractNumId w:val="7"/>
  </w:num>
  <w:num w:numId="2" w16cid:durableId="617881552">
    <w:abstractNumId w:val="34"/>
  </w:num>
  <w:num w:numId="3" w16cid:durableId="589436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406060">
    <w:abstractNumId w:val="21"/>
  </w:num>
  <w:num w:numId="5" w16cid:durableId="2132018016">
    <w:abstractNumId w:val="1"/>
  </w:num>
  <w:num w:numId="6" w16cid:durableId="813715456">
    <w:abstractNumId w:val="33"/>
  </w:num>
  <w:num w:numId="7" w16cid:durableId="1179464056">
    <w:abstractNumId w:val="9"/>
  </w:num>
  <w:num w:numId="8" w16cid:durableId="763573597">
    <w:abstractNumId w:val="9"/>
  </w:num>
  <w:num w:numId="9" w16cid:durableId="1478062563">
    <w:abstractNumId w:val="9"/>
  </w:num>
  <w:num w:numId="10" w16cid:durableId="2034723486">
    <w:abstractNumId w:val="31"/>
  </w:num>
  <w:num w:numId="11" w16cid:durableId="489450274">
    <w:abstractNumId w:val="35"/>
  </w:num>
  <w:num w:numId="12" w16cid:durableId="962421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546194">
    <w:abstractNumId w:val="21"/>
  </w:num>
  <w:num w:numId="14" w16cid:durableId="262035161">
    <w:abstractNumId w:val="1"/>
  </w:num>
  <w:num w:numId="15" w16cid:durableId="1534920661">
    <w:abstractNumId w:val="33"/>
  </w:num>
  <w:num w:numId="16" w16cid:durableId="386227442">
    <w:abstractNumId w:val="27"/>
  </w:num>
  <w:num w:numId="17" w16cid:durableId="823931382">
    <w:abstractNumId w:val="29"/>
  </w:num>
  <w:num w:numId="18" w16cid:durableId="1324311326">
    <w:abstractNumId w:val="14"/>
  </w:num>
  <w:num w:numId="19" w16cid:durableId="1284848685">
    <w:abstractNumId w:val="10"/>
  </w:num>
  <w:num w:numId="20" w16cid:durableId="766076057">
    <w:abstractNumId w:val="3"/>
  </w:num>
  <w:num w:numId="21" w16cid:durableId="45959575">
    <w:abstractNumId w:val="39"/>
  </w:num>
  <w:num w:numId="22" w16cid:durableId="1317219969">
    <w:abstractNumId w:val="16"/>
  </w:num>
  <w:num w:numId="23" w16cid:durableId="661544885">
    <w:abstractNumId w:val="17"/>
  </w:num>
  <w:num w:numId="24" w16cid:durableId="1792434166">
    <w:abstractNumId w:val="4"/>
  </w:num>
  <w:num w:numId="25" w16cid:durableId="51003648">
    <w:abstractNumId w:val="2"/>
  </w:num>
  <w:num w:numId="26" w16cid:durableId="567806314">
    <w:abstractNumId w:val="33"/>
  </w:num>
  <w:num w:numId="27" w16cid:durableId="1388994518">
    <w:abstractNumId w:val="32"/>
  </w:num>
  <w:num w:numId="28" w16cid:durableId="993875836">
    <w:abstractNumId w:val="0"/>
  </w:num>
  <w:num w:numId="29" w16cid:durableId="239413795">
    <w:abstractNumId w:val="6"/>
  </w:num>
  <w:num w:numId="30" w16cid:durableId="331837322">
    <w:abstractNumId w:val="8"/>
  </w:num>
  <w:num w:numId="31" w16cid:durableId="267348484">
    <w:abstractNumId w:val="38"/>
  </w:num>
  <w:num w:numId="32" w16cid:durableId="1350063255">
    <w:abstractNumId w:val="9"/>
  </w:num>
  <w:num w:numId="33" w16cid:durableId="358824220">
    <w:abstractNumId w:val="9"/>
  </w:num>
  <w:num w:numId="34" w16cid:durableId="561062084">
    <w:abstractNumId w:val="23"/>
  </w:num>
  <w:num w:numId="35" w16cid:durableId="854541417">
    <w:abstractNumId w:val="26"/>
  </w:num>
  <w:num w:numId="36" w16cid:durableId="706370807">
    <w:abstractNumId w:val="13"/>
  </w:num>
  <w:num w:numId="37" w16cid:durableId="967246644">
    <w:abstractNumId w:val="24"/>
  </w:num>
  <w:num w:numId="38" w16cid:durableId="604194652">
    <w:abstractNumId w:val="36"/>
  </w:num>
  <w:num w:numId="39" w16cid:durableId="1380862272">
    <w:abstractNumId w:val="20"/>
  </w:num>
  <w:num w:numId="40" w16cid:durableId="1783113385">
    <w:abstractNumId w:val="18"/>
  </w:num>
  <w:num w:numId="41" w16cid:durableId="1846242872">
    <w:abstractNumId w:val="30"/>
  </w:num>
  <w:num w:numId="42" w16cid:durableId="734593691">
    <w:abstractNumId w:val="12"/>
  </w:num>
  <w:num w:numId="43" w16cid:durableId="891963897">
    <w:abstractNumId w:val="11"/>
  </w:num>
  <w:num w:numId="44" w16cid:durableId="380789392">
    <w:abstractNumId w:val="22"/>
  </w:num>
  <w:num w:numId="45" w16cid:durableId="38825208">
    <w:abstractNumId w:val="25"/>
  </w:num>
  <w:num w:numId="46" w16cid:durableId="900095789">
    <w:abstractNumId w:val="37"/>
  </w:num>
  <w:num w:numId="47" w16cid:durableId="1303927952">
    <w:abstractNumId w:val="28"/>
  </w:num>
  <w:num w:numId="48" w16cid:durableId="179321359">
    <w:abstractNumId w:val="40"/>
    <w:lvlOverride w:ilvl="0">
      <w:startOverride w:val="1"/>
    </w:lvlOverride>
    <w:lvlOverride w:ilvl="1"/>
    <w:lvlOverride w:ilvl="2"/>
    <w:lvlOverride w:ilvl="3"/>
    <w:lvlOverride w:ilvl="4"/>
    <w:lvlOverride w:ilvl="5"/>
    <w:lvlOverride w:ilvl="6"/>
    <w:lvlOverride w:ilvl="7"/>
    <w:lvlOverride w:ilvl="8"/>
  </w:num>
  <w:num w:numId="49" w16cid:durableId="54160994">
    <w:abstractNumId w:val="5"/>
  </w:num>
  <w:num w:numId="50" w16cid:durableId="1980307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039AE"/>
    <w:rsid w:val="000964C0"/>
    <w:rsid w:val="000E2908"/>
    <w:rsid w:val="000F3605"/>
    <w:rsid w:val="001009BD"/>
    <w:rsid w:val="0010249C"/>
    <w:rsid w:val="00125688"/>
    <w:rsid w:val="0012637B"/>
    <w:rsid w:val="0012765B"/>
    <w:rsid w:val="0016508D"/>
    <w:rsid w:val="00171915"/>
    <w:rsid w:val="0017544D"/>
    <w:rsid w:val="00177AF6"/>
    <w:rsid w:val="001D06C9"/>
    <w:rsid w:val="001D4D8C"/>
    <w:rsid w:val="001D5BB9"/>
    <w:rsid w:val="001E1A0A"/>
    <w:rsid w:val="001F6C9F"/>
    <w:rsid w:val="00216AD6"/>
    <w:rsid w:val="00240908"/>
    <w:rsid w:val="00244755"/>
    <w:rsid w:val="00255803"/>
    <w:rsid w:val="00257690"/>
    <w:rsid w:val="002624FF"/>
    <w:rsid w:val="00270C6B"/>
    <w:rsid w:val="00284658"/>
    <w:rsid w:val="00297F17"/>
    <w:rsid w:val="002A5966"/>
    <w:rsid w:val="002A7F84"/>
    <w:rsid w:val="002C3C99"/>
    <w:rsid w:val="002E5BD2"/>
    <w:rsid w:val="00336219"/>
    <w:rsid w:val="00391068"/>
    <w:rsid w:val="0039499B"/>
    <w:rsid w:val="0041176D"/>
    <w:rsid w:val="00413894"/>
    <w:rsid w:val="00420263"/>
    <w:rsid w:val="00426C3D"/>
    <w:rsid w:val="004351B6"/>
    <w:rsid w:val="0049396D"/>
    <w:rsid w:val="004B3C39"/>
    <w:rsid w:val="004C79F1"/>
    <w:rsid w:val="00510A55"/>
    <w:rsid w:val="005351A4"/>
    <w:rsid w:val="00542D1A"/>
    <w:rsid w:val="005432EA"/>
    <w:rsid w:val="00573E06"/>
    <w:rsid w:val="00592687"/>
    <w:rsid w:val="005975D9"/>
    <w:rsid w:val="005E1A0B"/>
    <w:rsid w:val="005E5757"/>
    <w:rsid w:val="005E6395"/>
    <w:rsid w:val="00614144"/>
    <w:rsid w:val="00617CB8"/>
    <w:rsid w:val="00627D58"/>
    <w:rsid w:val="00631944"/>
    <w:rsid w:val="00632C4F"/>
    <w:rsid w:val="006474D5"/>
    <w:rsid w:val="00651A03"/>
    <w:rsid w:val="00651B34"/>
    <w:rsid w:val="00653D61"/>
    <w:rsid w:val="006857BF"/>
    <w:rsid w:val="0069585E"/>
    <w:rsid w:val="006A5F08"/>
    <w:rsid w:val="006A60D3"/>
    <w:rsid w:val="006A65FA"/>
    <w:rsid w:val="006B4B3A"/>
    <w:rsid w:val="006E29A5"/>
    <w:rsid w:val="00713331"/>
    <w:rsid w:val="00723398"/>
    <w:rsid w:val="00766C14"/>
    <w:rsid w:val="00777B51"/>
    <w:rsid w:val="007835D0"/>
    <w:rsid w:val="007D1ED3"/>
    <w:rsid w:val="007D7477"/>
    <w:rsid w:val="007E0347"/>
    <w:rsid w:val="007E2003"/>
    <w:rsid w:val="007E44B9"/>
    <w:rsid w:val="007F7A66"/>
    <w:rsid w:val="00833F78"/>
    <w:rsid w:val="008416FC"/>
    <w:rsid w:val="00843C03"/>
    <w:rsid w:val="008457EA"/>
    <w:rsid w:val="008565D3"/>
    <w:rsid w:val="0088574D"/>
    <w:rsid w:val="008D03D3"/>
    <w:rsid w:val="008D71F3"/>
    <w:rsid w:val="008F5578"/>
    <w:rsid w:val="00945B3F"/>
    <w:rsid w:val="00951738"/>
    <w:rsid w:val="00957D85"/>
    <w:rsid w:val="00971621"/>
    <w:rsid w:val="009B0203"/>
    <w:rsid w:val="009B2817"/>
    <w:rsid w:val="009C70E4"/>
    <w:rsid w:val="009D034D"/>
    <w:rsid w:val="009D1190"/>
    <w:rsid w:val="009E6CD5"/>
    <w:rsid w:val="009F2438"/>
    <w:rsid w:val="009F5E36"/>
    <w:rsid w:val="00A249BD"/>
    <w:rsid w:val="00A52F0F"/>
    <w:rsid w:val="00A7020D"/>
    <w:rsid w:val="00A907E6"/>
    <w:rsid w:val="00A953E4"/>
    <w:rsid w:val="00AB2450"/>
    <w:rsid w:val="00AD4C5F"/>
    <w:rsid w:val="00AF3B50"/>
    <w:rsid w:val="00B20A1F"/>
    <w:rsid w:val="00B33D3F"/>
    <w:rsid w:val="00B40106"/>
    <w:rsid w:val="00B43055"/>
    <w:rsid w:val="00B55B69"/>
    <w:rsid w:val="00B563FC"/>
    <w:rsid w:val="00B749C8"/>
    <w:rsid w:val="00B75A1A"/>
    <w:rsid w:val="00B842BB"/>
    <w:rsid w:val="00B86C47"/>
    <w:rsid w:val="00B90C28"/>
    <w:rsid w:val="00B91697"/>
    <w:rsid w:val="00B9606A"/>
    <w:rsid w:val="00BB41A9"/>
    <w:rsid w:val="00BC7893"/>
    <w:rsid w:val="00BD5640"/>
    <w:rsid w:val="00BE1F96"/>
    <w:rsid w:val="00BE2CBA"/>
    <w:rsid w:val="00C01A8E"/>
    <w:rsid w:val="00C379C1"/>
    <w:rsid w:val="00C43D27"/>
    <w:rsid w:val="00C45B34"/>
    <w:rsid w:val="00C5038E"/>
    <w:rsid w:val="00C57425"/>
    <w:rsid w:val="00C60F06"/>
    <w:rsid w:val="00C66321"/>
    <w:rsid w:val="00C703B1"/>
    <w:rsid w:val="00C930B1"/>
    <w:rsid w:val="00C96447"/>
    <w:rsid w:val="00C96F62"/>
    <w:rsid w:val="00CA5BD0"/>
    <w:rsid w:val="00CB79C7"/>
    <w:rsid w:val="00CC6989"/>
    <w:rsid w:val="00D16C6B"/>
    <w:rsid w:val="00D6245E"/>
    <w:rsid w:val="00D63FEA"/>
    <w:rsid w:val="00D67EA3"/>
    <w:rsid w:val="00D72C7F"/>
    <w:rsid w:val="00D7675E"/>
    <w:rsid w:val="00D83926"/>
    <w:rsid w:val="00DB6B72"/>
    <w:rsid w:val="00DC5988"/>
    <w:rsid w:val="00DD68CD"/>
    <w:rsid w:val="00DE395B"/>
    <w:rsid w:val="00DF6358"/>
    <w:rsid w:val="00E2459E"/>
    <w:rsid w:val="00E24CA4"/>
    <w:rsid w:val="00E35708"/>
    <w:rsid w:val="00E5130A"/>
    <w:rsid w:val="00E60238"/>
    <w:rsid w:val="00E814AB"/>
    <w:rsid w:val="00E91815"/>
    <w:rsid w:val="00E95220"/>
    <w:rsid w:val="00EE12F1"/>
    <w:rsid w:val="00F4337D"/>
    <w:rsid w:val="00F459A4"/>
    <w:rsid w:val="00F708A4"/>
    <w:rsid w:val="00F720B8"/>
    <w:rsid w:val="00F740AA"/>
    <w:rsid w:val="00FA6E19"/>
    <w:rsid w:val="00FB3C4B"/>
    <w:rsid w:val="00FC29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BF"/>
    <w:pPr>
      <w:spacing w:after="0" w:line="240" w:lineRule="auto"/>
      <w:jc w:val="both"/>
    </w:pPr>
    <w:rPr>
      <w:rFonts w:ascii="Tahoma" w:hAnsi="Tahoma"/>
      <w:sz w:val="20"/>
    </w:rPr>
  </w:style>
  <w:style w:type="paragraph" w:styleId="Heading1">
    <w:name w:val="heading 1"/>
    <w:basedOn w:val="Normal"/>
    <w:next w:val="Normal"/>
    <w:link w:val="Heading1Char"/>
    <w:qFormat/>
    <w:rsid w:val="008D71F3"/>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1F3"/>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CC6989"/>
    <w:pPr>
      <w:numPr>
        <w:numId w:val="0"/>
      </w:numPr>
      <w:jc w:val="center"/>
    </w:pPr>
  </w:style>
  <w:style w:type="character" w:customStyle="1" w:styleId="TitleChar">
    <w:name w:val="Title Char"/>
    <w:basedOn w:val="DefaultParagraphFont"/>
    <w:link w:val="Title"/>
    <w:uiPriority w:val="10"/>
    <w:rsid w:val="00CC698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D16C6B"/>
    <w:pPr>
      <w:pageBreakBefore/>
      <w:numPr>
        <w:numId w:val="19"/>
      </w:numPr>
      <w:spacing w:before="360" w:after="120"/>
    </w:pPr>
    <w:rPr>
      <w:rFonts w:eastAsia="Times New Roman" w:cs="Times New Roman"/>
    </w:rPr>
  </w:style>
  <w:style w:type="character" w:customStyle="1" w:styleId="AnnexChar">
    <w:name w:val="Annex Char"/>
    <w:basedOn w:val="Heading1Char"/>
    <w:link w:val="Annex"/>
    <w:rsid w:val="00D16C6B"/>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7D1ED3"/>
    <w:pPr>
      <w:keepLines w:val="0"/>
      <w:numPr>
        <w:numId w:val="15"/>
      </w:numPr>
      <w:spacing w:before="120" w:after="240"/>
    </w:pPr>
    <w:rPr>
      <w:rFonts w:cstheme="minorBidi"/>
      <w:noProof w:val="0"/>
      <w:szCs w:val="22"/>
      <w:lang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fr-BE"/>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fr-BE"/>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fr-BE"/>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fr-BE"/>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Revision">
    <w:name w:val="Revision"/>
    <w:hidden/>
    <w:uiPriority w:val="99"/>
    <w:semiHidden/>
    <w:rsid w:val="00B90C28"/>
    <w:pPr>
      <w:spacing w:after="0" w:line="240" w:lineRule="auto"/>
    </w:pPr>
    <w:rPr>
      <w:rFonts w:ascii="Tahoma" w:hAnsi="Tahoma"/>
      <w:sz w:val="20"/>
    </w:rPr>
  </w:style>
  <w:style w:type="paragraph" w:styleId="Header">
    <w:name w:val="header"/>
    <w:basedOn w:val="Normal"/>
    <w:link w:val="HeaderChar"/>
    <w:uiPriority w:val="99"/>
    <w:unhideWhenUsed/>
    <w:rsid w:val="002A7F84"/>
    <w:pPr>
      <w:tabs>
        <w:tab w:val="center" w:pos="4536"/>
        <w:tab w:val="right" w:pos="9072"/>
      </w:tabs>
    </w:pPr>
  </w:style>
  <w:style w:type="character" w:customStyle="1" w:styleId="HeaderChar">
    <w:name w:val="Header Char"/>
    <w:basedOn w:val="DefaultParagraphFont"/>
    <w:link w:val="Header"/>
    <w:uiPriority w:val="99"/>
    <w:rsid w:val="002A7F84"/>
    <w:rPr>
      <w:rFonts w:ascii="Tahoma" w:hAnsi="Tahoma"/>
      <w:sz w:val="20"/>
    </w:rPr>
  </w:style>
  <w:style w:type="paragraph" w:styleId="Footer">
    <w:name w:val="footer"/>
    <w:basedOn w:val="Normal"/>
    <w:link w:val="FooterChar"/>
    <w:uiPriority w:val="99"/>
    <w:unhideWhenUsed/>
    <w:rsid w:val="002A7F84"/>
    <w:pPr>
      <w:tabs>
        <w:tab w:val="center" w:pos="4536"/>
        <w:tab w:val="right" w:pos="9072"/>
      </w:tabs>
    </w:pPr>
  </w:style>
  <w:style w:type="character" w:customStyle="1" w:styleId="FooterChar">
    <w:name w:val="Footer Char"/>
    <w:basedOn w:val="DefaultParagraphFont"/>
    <w:link w:val="Footer"/>
    <w:uiPriority w:val="99"/>
    <w:rsid w:val="002A7F84"/>
    <w:rPr>
      <w:rFonts w:ascii="Tahoma" w:hAnsi="Tahoma"/>
      <w:sz w:val="20"/>
    </w:rPr>
  </w:style>
  <w:style w:type="character" w:customStyle="1" w:styleId="cf01">
    <w:name w:val="cf01"/>
    <w:basedOn w:val="DefaultParagraphFont"/>
    <w:rsid w:val="00F459A4"/>
    <w:rPr>
      <w:rFonts w:ascii="Segoe UI" w:hAnsi="Segoe UI" w:cs="Segoe UI" w:hint="default"/>
      <w:sz w:val="18"/>
      <w:szCs w:val="18"/>
    </w:rPr>
  </w:style>
  <w:style w:type="paragraph" w:customStyle="1" w:styleId="BodyIBPTBIPT">
    <w:name w:val="Body IBPT BIPT"/>
    <w:basedOn w:val="Normal"/>
    <w:link w:val="BodyIBPTBIPTCar"/>
    <w:rsid w:val="00723398"/>
    <w:pPr>
      <w:spacing w:before="120"/>
    </w:pPr>
    <w:rPr>
      <w:rFonts w:eastAsiaTheme="minorEastAsia"/>
      <w:color w:val="000000" w:themeColor="text1"/>
      <w:szCs w:val="20"/>
      <w14:numForm w14:val="lining"/>
    </w:rPr>
  </w:style>
  <w:style w:type="character" w:customStyle="1" w:styleId="BodyIBPTBIPTCar">
    <w:name w:val="Body IBPT BIPT Car"/>
    <w:basedOn w:val="DefaultParagraphFont"/>
    <w:link w:val="BodyIBPTBIPT"/>
    <w:rsid w:val="00723398"/>
    <w:rPr>
      <w:rFonts w:ascii="Tahoma" w:eastAsiaTheme="minorEastAsia" w:hAnsi="Tahoma"/>
      <w:color w:val="000000" w:themeColor="text1"/>
      <w:sz w:val="20"/>
      <w:szCs w:val="20"/>
      <w:lang w:val="fr-BE"/>
      <w14:numForm w14:val="lining"/>
    </w:rPr>
  </w:style>
  <w:style w:type="paragraph" w:styleId="TOCHeading">
    <w:name w:val="TOC Heading"/>
    <w:basedOn w:val="Heading1"/>
    <w:next w:val="Normal"/>
    <w:uiPriority w:val="39"/>
    <w:unhideWhenUsed/>
    <w:qFormat/>
    <w:rsid w:val="00614144"/>
    <w:pPr>
      <w:keepNext/>
      <w:numPr>
        <w:numId w:val="0"/>
      </w:numPr>
      <w:spacing w:before="240" w:line="259" w:lineRule="auto"/>
      <w:jc w:val="left"/>
      <w:outlineLvl w:val="9"/>
    </w:pPr>
    <w:rPr>
      <w:rFonts w:asciiTheme="majorHAnsi" w:hAnsiTheme="majorHAnsi"/>
      <w:b w:val="0"/>
      <w:bCs w:val="0"/>
      <w:color w:val="1B80B2" w:themeColor="accent1" w:themeShade="BF"/>
      <w:sz w:val="32"/>
      <w:szCs w:val="32"/>
      <w:lang w:eastAsia="fr-BE"/>
    </w:rPr>
  </w:style>
  <w:style w:type="character" w:styleId="FollowedHyperlink">
    <w:name w:val="FollowedHyperlink"/>
    <w:basedOn w:val="DefaultParagraphFont"/>
    <w:uiPriority w:val="99"/>
    <w:semiHidden/>
    <w:unhideWhenUsed/>
    <w:rsid w:val="006A60D3"/>
    <w:rPr>
      <w:color w:val="834B93" w:themeColor="followedHyperlink"/>
      <w:u w:val="single"/>
    </w:rPr>
  </w:style>
  <w:style w:type="character" w:styleId="BookTitle">
    <w:name w:val="Book Title"/>
    <w:basedOn w:val="DefaultParagraphFont"/>
    <w:uiPriority w:val="33"/>
    <w:qFormat/>
    <w:rsid w:val="00DF6358"/>
    <w:rPr>
      <w:b/>
      <w:bCs/>
      <w:i/>
      <w:iCs/>
      <w:spacing w:val="5"/>
    </w:rPr>
  </w:style>
  <w:style w:type="paragraph" w:customStyle="1" w:styleId="pf0">
    <w:name w:val="pf0"/>
    <w:basedOn w:val="Normal"/>
    <w:rsid w:val="009D034D"/>
    <w:pPr>
      <w:spacing w:before="100" w:beforeAutospacing="1" w:after="100" w:afterAutospacing="1"/>
      <w:jc w:val="left"/>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21282">
      <w:bodyDiv w:val="1"/>
      <w:marLeft w:val="0"/>
      <w:marRight w:val="0"/>
      <w:marTop w:val="0"/>
      <w:marBottom w:val="0"/>
      <w:divBdr>
        <w:top w:val="none" w:sz="0" w:space="0" w:color="auto"/>
        <w:left w:val="none" w:sz="0" w:space="0" w:color="auto"/>
        <w:bottom w:val="none" w:sz="0" w:space="0" w:color="auto"/>
        <w:right w:val="none" w:sz="0" w:space="0" w:color="auto"/>
      </w:divBdr>
    </w:div>
    <w:div w:id="11362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justice.just.fgov.be/eli/arrete/2022/10/23/2022042525/juste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G@bipt.b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t.sec@ibpt.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kia.com/blog/timing-and-synchronization-options-to-support-5g/" TargetMode="External"/><Relationship Id="rId2" Type="http://schemas.openxmlformats.org/officeDocument/2006/relationships/hyperlink" Target="https://forum.huawei.com/enterprise/en/topic-discussion-5g-synchronization-solution/thread/1042990-100305?from=latestPostsReplies" TargetMode="External"/><Relationship Id="rId1" Type="http://schemas.openxmlformats.org/officeDocument/2006/relationships/hyperlink" Target="https://www.ericsson.com/en/reports-and-papers/ericsson-technology-review/articles/5g-synchronization-requirements-and-solutions"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French</TermName>
          <TermId xmlns="http://schemas.microsoft.com/office/infopath/2007/PartnerControls">e367d678-061b-485c-9c08-7e8f059ab04e</TermId>
        </TermInfo>
      </Terms>
    </o3cf37d2a5d34fd7955003a053893e5e>
    <Master_x0020_Id xmlns="2b4b6fc7-bde4-44a8-8bca-a78eb25a27e9" xsi:nil="true"/>
    <Dossier_x0020_Number xmlns="2b4b6fc7-bde4-44a8-8bca-a78eb25a27e9">2023-000195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27</Value>
      <Value>35</Value>
    </TaxCatchAll>
    <QuickPartDocumentId xmlns="2b4b6fc7-bde4-44a8-8bca-a78eb25a27e9">DS23-1932324313-205</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DS23-1932324313-205</_dlc_DocId>
    <_dlc_DocIdUrl xmlns="2b4b6fc7-bde4-44a8-8bca-a78eb25a27e9">
      <Url>http://teamworkingspace.bipt.local/sites/dossiers2023/2/2023000195/_layouts/DocIdRedir.aspx?ID=DS23-1932324313-205</Url>
      <Description>DS23-1932324313-205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bedc4594671a1339b064741958dca358">
  <xsd:schema xmlns:xsd="http://www.w3.org/2001/XMLSchema" xmlns:xs="http://www.w3.org/2001/XMLSchema" xmlns:p="http://schemas.microsoft.com/office/2006/metadata/properties" xmlns:ns2="2b4b6fc7-bde4-44a8-8bca-a78eb25a27e9" targetNamespace="http://schemas.microsoft.com/office/2006/metadata/properties" ma:root="true" ma:fieldsID="f34b1f117e4202d833f96867d6683cd1"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A24EF-526D-4F0A-8B32-705046F98759}"/>
</file>

<file path=customXml/itemProps2.xml><?xml version="1.0" encoding="utf-8"?>
<ds:datastoreItem xmlns:ds="http://schemas.openxmlformats.org/officeDocument/2006/customXml" ds:itemID="{A0CACD04-92A3-4102-9CA2-EEA7A1FF0FC4}"/>
</file>

<file path=customXml/itemProps3.xml><?xml version="1.0" encoding="utf-8"?>
<ds:datastoreItem xmlns:ds="http://schemas.openxmlformats.org/officeDocument/2006/customXml" ds:itemID="{705347AC-2E9F-4FC9-B316-33EAA35A63FC}"/>
</file>

<file path=customXml/itemProps4.xml><?xml version="1.0" encoding="utf-8"?>
<ds:datastoreItem xmlns:ds="http://schemas.openxmlformats.org/officeDocument/2006/customXml" ds:itemID="{F500FB5C-00E9-40D0-9A44-61462F415D77}"/>
</file>

<file path=customXml/itemProps5.xml><?xml version="1.0" encoding="utf-8"?>
<ds:datastoreItem xmlns:ds="http://schemas.openxmlformats.org/officeDocument/2006/customXml" ds:itemID="{BBD369E4-28A0-45A5-A096-22A7E97B0176}"/>
</file>

<file path=customXml/itemProps6.xml><?xml version="1.0" encoding="utf-8"?>
<ds:datastoreItem xmlns:ds="http://schemas.openxmlformats.org/officeDocument/2006/customXml" ds:itemID="{D6FBD6F8-CA0D-4F39-AE94-2E6395F205B0}"/>
</file>

<file path=docProps/app.xml><?xml version="1.0" encoding="utf-8"?>
<Properties xmlns="http://schemas.openxmlformats.org/officeDocument/2006/extended-properties" xmlns:vt="http://schemas.openxmlformats.org/officeDocument/2006/docPropsVTypes">
  <Template>Normal</Template>
  <TotalTime>118</TotalTime>
  <Pages>14</Pages>
  <Words>5185</Words>
  <Characters>28518</Characters>
  <Application>Microsoft Office Word</Application>
  <DocSecurity>0</DocSecurity>
  <Lines>237</Lines>
  <Paragraphs>67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00 document 0 - introduction_FR clean</vt:lpstr>
      <vt:lpstr>00 document 0 - introduction_FR clean</vt:lpstr>
      <vt:lpstr>000 - Guide relatif aux obligations de forme</vt:lpstr>
    </vt:vector>
  </TitlesOfParts>
  <Company/>
  <LinksUpToDate>false</LinksUpToDate>
  <CharactersWithSpaces>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document 0 - introduction_FR clean</dc:title>
  <dc:subject/>
  <dc:creator>Pierre-François Vandenhaute</dc:creator>
  <cp:keywords/>
  <dc:description/>
  <cp:lastModifiedBy>Pierre-Yves Dethy</cp:lastModifiedBy>
  <cp:revision>35</cp:revision>
  <cp:lastPrinted>2023-02-13T07:52:00Z</cp:lastPrinted>
  <dcterms:created xsi:type="dcterms:W3CDTF">2023-05-02T08:02:00Z</dcterms:created>
  <dcterms:modified xsi:type="dcterms:W3CDTF">2023-05-16T06:15:00Z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Languages">
    <vt:lpwstr>35;#French|e367d678-061b-485c-9c08-7e8f059ab04e</vt:lpwstr>
  </property>
  <property fmtid="{D5CDD505-2E9C-101B-9397-08002B2CF9AE}" pid="4" name="Service1">
    <vt:lpwstr>27;#Legal Department|dd78c772-9794-4686-a245-4df1b644d6ba</vt:lpwstr>
  </property>
  <property fmtid="{D5CDD505-2E9C-101B-9397-08002B2CF9AE}" pid="5" name="_dlc_DocIdItemGuid">
    <vt:lpwstr>572d6df8-446c-4962-b0a4-070c27879f2c</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