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497" w:type="dxa"/>
        <w:tblLayout w:type="fixed"/>
        <w:tblCellMar>
          <w:top w:w="57" w:type="dxa"/>
          <w:left w:w="70" w:type="dxa"/>
          <w:right w:w="70" w:type="dxa"/>
        </w:tblCellMar>
        <w:tblLook w:val="0000" w:firstRow="0" w:lastRow="0" w:firstColumn="0" w:lastColumn="0" w:noHBand="0" w:noVBand="0"/>
      </w:tblPr>
      <w:tblGrid>
        <w:gridCol w:w="1560"/>
        <w:gridCol w:w="3294"/>
        <w:gridCol w:w="4786"/>
      </w:tblGrid>
      <w:tr w:rsidR="005143D1" w:rsidRPr="004D596D" w:rsidTr="006D7E88">
        <w:tc>
          <w:tcPr>
            <w:tcW w:w="1560" w:type="dxa"/>
            <w:tcBorders>
              <w:top w:val="single" w:sz="4" w:space="0" w:color="auto"/>
              <w:bottom w:val="single" w:sz="4" w:space="0" w:color="auto"/>
            </w:tcBorders>
          </w:tcPr>
          <w:p w:rsidR="005143D1" w:rsidRPr="00EB4A0F" w:rsidRDefault="008F22BC" w:rsidP="009F52BF">
            <w:r>
              <w:rPr>
                <w:noProof/>
                <w:lang w:eastAsia="nl-BE"/>
              </w:rPr>
              <w:drawing>
                <wp:anchor distT="0" distB="0" distL="114300" distR="114300" simplePos="0" relativeHeight="251657728" behindDoc="1" locked="1" layoutInCell="1" allowOverlap="1" wp14:anchorId="29A535E6" wp14:editId="42118761">
                  <wp:simplePos x="0" y="0"/>
                  <wp:positionH relativeFrom="page">
                    <wp:posOffset>-107950</wp:posOffset>
                  </wp:positionH>
                  <wp:positionV relativeFrom="page">
                    <wp:posOffset>-38735</wp:posOffset>
                  </wp:positionV>
                  <wp:extent cx="882650" cy="1249045"/>
                  <wp:effectExtent l="0" t="0" r="0" b="0"/>
                  <wp:wrapNone/>
                  <wp:docPr id="2" name="Image 2" descr="Logo IB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IBPT"/>
                          <pic:cNvPicPr>
                            <a:picLocks noChangeAspect="1" noChangeArrowheads="1"/>
                          </pic:cNvPicPr>
                        </pic:nvPicPr>
                        <pic:blipFill>
                          <a:blip r:embed="rId14" cstate="print"/>
                          <a:srcRect/>
                          <a:stretch>
                            <a:fillRect/>
                          </a:stretch>
                        </pic:blipFill>
                        <pic:spPr bwMode="auto">
                          <a:xfrm>
                            <a:off x="0" y="0"/>
                            <a:ext cx="882650" cy="1249045"/>
                          </a:xfrm>
                          <a:prstGeom prst="rect">
                            <a:avLst/>
                          </a:prstGeom>
                          <a:noFill/>
                          <a:ln w="9525">
                            <a:noFill/>
                            <a:miter lim="800000"/>
                            <a:headEnd/>
                            <a:tailEnd/>
                          </a:ln>
                        </pic:spPr>
                      </pic:pic>
                    </a:graphicData>
                  </a:graphic>
                </wp:anchor>
              </w:drawing>
            </w:r>
          </w:p>
        </w:tc>
        <w:tc>
          <w:tcPr>
            <w:tcW w:w="8080" w:type="dxa"/>
            <w:gridSpan w:val="2"/>
            <w:tcBorders>
              <w:top w:val="single" w:sz="4" w:space="0" w:color="auto"/>
              <w:bottom w:val="single" w:sz="4" w:space="0" w:color="auto"/>
            </w:tcBorders>
            <w:tcMar>
              <w:left w:w="57" w:type="dxa"/>
              <w:bottom w:w="57" w:type="dxa"/>
              <w:right w:w="57" w:type="dxa"/>
            </w:tcMar>
            <w:vAlign w:val="center"/>
          </w:tcPr>
          <w:p w:rsidR="001730D1" w:rsidRDefault="001730D1" w:rsidP="00B973F4">
            <w:pPr>
              <w:spacing w:before="120" w:after="80"/>
              <w:jc w:val="center"/>
              <w:rPr>
                <w:b/>
                <w:sz w:val="28"/>
              </w:rPr>
            </w:pPr>
          </w:p>
          <w:p w:rsidR="00054570" w:rsidRPr="0042615C" w:rsidRDefault="00054570" w:rsidP="00054570">
            <w:pPr>
              <w:spacing w:after="40"/>
              <w:jc w:val="center"/>
              <w:rPr>
                <w:b/>
                <w:sz w:val="28"/>
              </w:rPr>
            </w:pPr>
            <w:r w:rsidRPr="0042615C">
              <w:rPr>
                <w:b/>
                <w:sz w:val="28"/>
              </w:rPr>
              <w:t>BELGISCH INSTITUUT VOOR POSTDIENSTEN</w:t>
            </w:r>
          </w:p>
          <w:p w:rsidR="001730D1" w:rsidRPr="00054570" w:rsidRDefault="00054570" w:rsidP="00054570">
            <w:pPr>
              <w:spacing w:after="40"/>
              <w:jc w:val="center"/>
              <w:rPr>
                <w:b/>
                <w:sz w:val="28"/>
              </w:rPr>
            </w:pPr>
            <w:r w:rsidRPr="0042615C">
              <w:rPr>
                <w:b/>
                <w:sz w:val="28"/>
              </w:rPr>
              <w:t>EN TELECOMMUNICATIE</w:t>
            </w:r>
          </w:p>
          <w:p w:rsidR="001A0AC2" w:rsidRPr="00054570" w:rsidRDefault="001A0AC2" w:rsidP="00B973F4">
            <w:pPr>
              <w:jc w:val="center"/>
              <w:rPr>
                <w:b/>
                <w:sz w:val="28"/>
              </w:rPr>
            </w:pPr>
          </w:p>
          <w:p w:rsidR="0086481B" w:rsidRPr="00054570" w:rsidRDefault="0086481B" w:rsidP="00B973F4">
            <w:pPr>
              <w:spacing w:after="80"/>
              <w:jc w:val="center"/>
            </w:pPr>
          </w:p>
        </w:tc>
      </w:tr>
      <w:tr w:rsidR="005143D1" w:rsidRPr="004D596D" w:rsidTr="006D7E88">
        <w:tc>
          <w:tcPr>
            <w:tcW w:w="4854" w:type="dxa"/>
            <w:gridSpan w:val="2"/>
            <w:tcBorders>
              <w:top w:val="single" w:sz="4" w:space="0" w:color="auto"/>
            </w:tcBorders>
          </w:tcPr>
          <w:p w:rsidR="005143D1" w:rsidRPr="00054570" w:rsidRDefault="005143D1" w:rsidP="009F52BF"/>
        </w:tc>
        <w:tc>
          <w:tcPr>
            <w:tcW w:w="4786" w:type="dxa"/>
            <w:tcBorders>
              <w:top w:val="single" w:sz="4" w:space="0" w:color="auto"/>
            </w:tcBorders>
          </w:tcPr>
          <w:p w:rsidR="005143D1" w:rsidRPr="00054570" w:rsidRDefault="005143D1" w:rsidP="009F52BF"/>
        </w:tc>
      </w:tr>
      <w:tr w:rsidR="005143D1" w:rsidRPr="004D596D" w:rsidTr="006D7E88">
        <w:tc>
          <w:tcPr>
            <w:tcW w:w="4854" w:type="dxa"/>
            <w:gridSpan w:val="2"/>
          </w:tcPr>
          <w:p w:rsidR="005143D1" w:rsidRPr="00054570" w:rsidRDefault="005143D1" w:rsidP="009F52BF"/>
        </w:tc>
        <w:tc>
          <w:tcPr>
            <w:tcW w:w="4786" w:type="dxa"/>
          </w:tcPr>
          <w:p w:rsidR="005143D1" w:rsidRPr="00054570" w:rsidRDefault="005143D1" w:rsidP="009F52BF"/>
        </w:tc>
      </w:tr>
      <w:tr w:rsidR="005143D1" w:rsidRPr="004D596D" w:rsidTr="006D7E88">
        <w:tc>
          <w:tcPr>
            <w:tcW w:w="4854" w:type="dxa"/>
            <w:gridSpan w:val="2"/>
          </w:tcPr>
          <w:p w:rsidR="005143D1" w:rsidRPr="00054570" w:rsidRDefault="005143D1" w:rsidP="009F52BF"/>
        </w:tc>
        <w:tc>
          <w:tcPr>
            <w:tcW w:w="4786" w:type="dxa"/>
          </w:tcPr>
          <w:p w:rsidR="005143D1" w:rsidRPr="00054570" w:rsidRDefault="005143D1" w:rsidP="009F52BF"/>
        </w:tc>
      </w:tr>
      <w:tr w:rsidR="005143D1" w:rsidRPr="004D596D" w:rsidTr="006D7E88">
        <w:tc>
          <w:tcPr>
            <w:tcW w:w="4854" w:type="dxa"/>
            <w:gridSpan w:val="2"/>
          </w:tcPr>
          <w:p w:rsidR="005143D1" w:rsidRPr="00054570" w:rsidRDefault="005143D1" w:rsidP="009F52BF"/>
        </w:tc>
        <w:tc>
          <w:tcPr>
            <w:tcW w:w="4786" w:type="dxa"/>
          </w:tcPr>
          <w:p w:rsidR="005143D1" w:rsidRPr="00054570" w:rsidRDefault="005143D1" w:rsidP="009F52BF"/>
        </w:tc>
      </w:tr>
      <w:tr w:rsidR="005143D1" w:rsidRPr="004D596D" w:rsidTr="006D7E88">
        <w:tc>
          <w:tcPr>
            <w:tcW w:w="4854" w:type="dxa"/>
            <w:gridSpan w:val="2"/>
          </w:tcPr>
          <w:p w:rsidR="005143D1" w:rsidRPr="00054570" w:rsidRDefault="005143D1" w:rsidP="009F52BF"/>
        </w:tc>
        <w:tc>
          <w:tcPr>
            <w:tcW w:w="4786" w:type="dxa"/>
          </w:tcPr>
          <w:p w:rsidR="005143D1" w:rsidRPr="00054570" w:rsidRDefault="005143D1" w:rsidP="009F52BF"/>
        </w:tc>
      </w:tr>
      <w:tr w:rsidR="005143D1" w:rsidRPr="004D596D" w:rsidTr="006D7E88">
        <w:tc>
          <w:tcPr>
            <w:tcW w:w="4854" w:type="dxa"/>
            <w:gridSpan w:val="2"/>
          </w:tcPr>
          <w:p w:rsidR="005143D1" w:rsidRPr="00054570" w:rsidRDefault="005143D1" w:rsidP="009F52BF"/>
        </w:tc>
        <w:tc>
          <w:tcPr>
            <w:tcW w:w="4786" w:type="dxa"/>
          </w:tcPr>
          <w:p w:rsidR="005143D1" w:rsidRPr="00054570" w:rsidRDefault="005143D1" w:rsidP="009F52BF"/>
        </w:tc>
      </w:tr>
      <w:tr w:rsidR="005143D1" w:rsidRPr="004D596D" w:rsidTr="006D7E88">
        <w:tc>
          <w:tcPr>
            <w:tcW w:w="4854" w:type="dxa"/>
            <w:gridSpan w:val="2"/>
          </w:tcPr>
          <w:p w:rsidR="005143D1" w:rsidRPr="00054570" w:rsidRDefault="005143D1" w:rsidP="009F52BF"/>
        </w:tc>
        <w:tc>
          <w:tcPr>
            <w:tcW w:w="4786" w:type="dxa"/>
          </w:tcPr>
          <w:p w:rsidR="005143D1" w:rsidRPr="00054570" w:rsidRDefault="005143D1" w:rsidP="009F52BF"/>
        </w:tc>
      </w:tr>
      <w:tr w:rsidR="005143D1" w:rsidRPr="004D596D" w:rsidTr="006D7E88">
        <w:tc>
          <w:tcPr>
            <w:tcW w:w="4854" w:type="dxa"/>
            <w:gridSpan w:val="2"/>
          </w:tcPr>
          <w:p w:rsidR="005143D1" w:rsidRPr="00054570" w:rsidRDefault="005143D1" w:rsidP="009F52BF"/>
        </w:tc>
        <w:tc>
          <w:tcPr>
            <w:tcW w:w="4786" w:type="dxa"/>
          </w:tcPr>
          <w:p w:rsidR="005143D1" w:rsidRPr="00054570" w:rsidRDefault="005143D1" w:rsidP="009F52BF"/>
        </w:tc>
      </w:tr>
      <w:tr w:rsidR="005143D1" w:rsidRPr="004D596D" w:rsidTr="006D7E88">
        <w:tc>
          <w:tcPr>
            <w:tcW w:w="4854" w:type="dxa"/>
            <w:gridSpan w:val="2"/>
          </w:tcPr>
          <w:p w:rsidR="005143D1" w:rsidRPr="00054570" w:rsidRDefault="005143D1" w:rsidP="009F52BF"/>
        </w:tc>
        <w:tc>
          <w:tcPr>
            <w:tcW w:w="4786" w:type="dxa"/>
          </w:tcPr>
          <w:p w:rsidR="005143D1" w:rsidRPr="00054570" w:rsidRDefault="005143D1" w:rsidP="009F52BF"/>
        </w:tc>
      </w:tr>
      <w:tr w:rsidR="005143D1" w:rsidRPr="00EB4A0F" w:rsidTr="006D7E88">
        <w:tc>
          <w:tcPr>
            <w:tcW w:w="4854" w:type="dxa"/>
            <w:gridSpan w:val="2"/>
          </w:tcPr>
          <w:p w:rsidR="005143D1" w:rsidRPr="00EB4A0F" w:rsidRDefault="00054570" w:rsidP="001C45BC">
            <w:r w:rsidRPr="00317CBF">
              <w:t>Kenmerk</w:t>
            </w:r>
            <w:r w:rsidR="00DA6B76" w:rsidRPr="00EB4A0F">
              <w:t xml:space="preserve">: </w:t>
            </w:r>
          </w:p>
        </w:tc>
        <w:tc>
          <w:tcPr>
            <w:tcW w:w="4786" w:type="dxa"/>
          </w:tcPr>
          <w:p w:rsidR="005143D1" w:rsidRPr="00EB4A0F" w:rsidRDefault="005143D1" w:rsidP="009F52BF"/>
        </w:tc>
      </w:tr>
      <w:tr w:rsidR="005143D1" w:rsidRPr="00EB4A0F" w:rsidTr="006D7E88">
        <w:tc>
          <w:tcPr>
            <w:tcW w:w="4854" w:type="dxa"/>
            <w:gridSpan w:val="2"/>
          </w:tcPr>
          <w:p w:rsidR="005143D1" w:rsidRPr="00EB4A0F" w:rsidRDefault="005143D1" w:rsidP="009F52BF"/>
        </w:tc>
        <w:tc>
          <w:tcPr>
            <w:tcW w:w="4786" w:type="dxa"/>
          </w:tcPr>
          <w:p w:rsidR="005143D1" w:rsidRPr="00EB4A0F" w:rsidRDefault="005143D1" w:rsidP="009F52BF"/>
        </w:tc>
      </w:tr>
      <w:tr w:rsidR="005143D1" w:rsidRPr="004D596D" w:rsidTr="006D7E88">
        <w:trPr>
          <w:cantSplit/>
        </w:trPr>
        <w:tc>
          <w:tcPr>
            <w:tcW w:w="9640" w:type="dxa"/>
            <w:gridSpan w:val="3"/>
          </w:tcPr>
          <w:p w:rsidR="005143D1" w:rsidRPr="00054570" w:rsidRDefault="005143D1" w:rsidP="009F52BF">
            <w:bookmarkStart w:id="0" w:name="OLE_LINK1"/>
          </w:p>
          <w:p w:rsidR="005143D1" w:rsidRPr="00054570" w:rsidRDefault="005143D1" w:rsidP="009F52BF"/>
          <w:p w:rsidR="005143D1" w:rsidRPr="00054570" w:rsidRDefault="005143D1" w:rsidP="009F52BF"/>
          <w:p w:rsidR="005143D1" w:rsidRPr="00054570" w:rsidRDefault="005143D1" w:rsidP="00054570">
            <w:pPr>
              <w:jc w:val="center"/>
            </w:pPr>
          </w:p>
          <w:bookmarkEnd w:id="0"/>
          <w:p w:rsidR="00C743A9" w:rsidRDefault="001C45BC" w:rsidP="00A42AEB">
            <w:pPr>
              <w:jc w:val="center"/>
              <w:rPr>
                <w:b/>
                <w:sz w:val="28"/>
              </w:rPr>
            </w:pPr>
            <w:r>
              <w:rPr>
                <w:b/>
                <w:sz w:val="28"/>
              </w:rPr>
              <w:t xml:space="preserve">BESLUIT VAN DE RAAD VAN HET BIPT </w:t>
            </w:r>
          </w:p>
          <w:p w:rsidR="00C743A9" w:rsidRDefault="001C45BC" w:rsidP="00A42AEB">
            <w:pPr>
              <w:jc w:val="center"/>
              <w:rPr>
                <w:b/>
                <w:sz w:val="28"/>
              </w:rPr>
            </w:pPr>
            <w:r>
              <w:rPr>
                <w:b/>
                <w:sz w:val="28"/>
              </w:rPr>
              <w:t xml:space="preserve">VAN  </w:t>
            </w:r>
            <w:r w:rsidR="009516BD">
              <w:rPr>
                <w:b/>
                <w:sz w:val="28"/>
              </w:rPr>
              <w:t>28</w:t>
            </w:r>
            <w:r w:rsidR="00074194">
              <w:rPr>
                <w:b/>
                <w:sz w:val="28"/>
              </w:rPr>
              <w:t xml:space="preserve"> </w:t>
            </w:r>
            <w:r w:rsidR="00CA6C94">
              <w:rPr>
                <w:b/>
                <w:sz w:val="28"/>
              </w:rPr>
              <w:t>JANUARI</w:t>
            </w:r>
            <w:r w:rsidR="00074194">
              <w:rPr>
                <w:b/>
                <w:sz w:val="28"/>
              </w:rPr>
              <w:t xml:space="preserve"> 201</w:t>
            </w:r>
            <w:r w:rsidR="00892831">
              <w:rPr>
                <w:b/>
                <w:sz w:val="28"/>
              </w:rPr>
              <w:t>4</w:t>
            </w:r>
            <w:r>
              <w:rPr>
                <w:b/>
                <w:sz w:val="28"/>
              </w:rPr>
              <w:t xml:space="preserve">  </w:t>
            </w:r>
          </w:p>
          <w:p w:rsidR="00732B96" w:rsidRDefault="00732B96" w:rsidP="00732B96">
            <w:pPr>
              <w:jc w:val="center"/>
              <w:rPr>
                <w:b/>
                <w:sz w:val="28"/>
              </w:rPr>
            </w:pPr>
            <w:r>
              <w:rPr>
                <w:b/>
                <w:sz w:val="28"/>
              </w:rPr>
              <w:t xml:space="preserve">TOT </w:t>
            </w:r>
            <w:r w:rsidR="00890AA3">
              <w:rPr>
                <w:b/>
                <w:sz w:val="28"/>
              </w:rPr>
              <w:t xml:space="preserve">HET </w:t>
            </w:r>
            <w:r>
              <w:rPr>
                <w:b/>
                <w:sz w:val="28"/>
              </w:rPr>
              <w:t>OPLEGG</w:t>
            </w:r>
            <w:r w:rsidR="00890AA3">
              <w:rPr>
                <w:b/>
                <w:sz w:val="28"/>
              </w:rPr>
              <w:t>EN</w:t>
            </w:r>
            <w:r>
              <w:rPr>
                <w:b/>
                <w:sz w:val="28"/>
              </w:rPr>
              <w:t xml:space="preserve"> VAN EEN ADMINISTRATIEVE BOETE AAN </w:t>
            </w:r>
            <w:r w:rsidR="00892831">
              <w:rPr>
                <w:b/>
                <w:sz w:val="28"/>
              </w:rPr>
              <w:t>SCHEDOM DOMMEL</w:t>
            </w:r>
            <w:r>
              <w:rPr>
                <w:b/>
                <w:sz w:val="28"/>
              </w:rPr>
              <w:t xml:space="preserve"> WEGENS HET NIET NALEVEN VAN </w:t>
            </w:r>
            <w:r w:rsidR="00892831" w:rsidRPr="00892831">
              <w:rPr>
                <w:b/>
                <w:sz w:val="28"/>
              </w:rPr>
              <w:t xml:space="preserve">DE ARTIKELEN 108, § 1, b), 3de EN 5de ONDERDEEL, 108, § 1, f), 108, § 2, </w:t>
            </w:r>
            <w:r w:rsidR="00892831">
              <w:rPr>
                <w:b/>
                <w:sz w:val="28"/>
              </w:rPr>
              <w:t xml:space="preserve">110, § 1 </w:t>
            </w:r>
            <w:r w:rsidR="00B25F0C">
              <w:rPr>
                <w:b/>
                <w:sz w:val="28"/>
              </w:rPr>
              <w:t>EN</w:t>
            </w:r>
            <w:r w:rsidR="00892831" w:rsidRPr="00892831">
              <w:rPr>
                <w:b/>
                <w:sz w:val="28"/>
              </w:rPr>
              <w:t xml:space="preserve"> 111/3, §§ 1 </w:t>
            </w:r>
            <w:r w:rsidR="00890AA3">
              <w:rPr>
                <w:b/>
                <w:sz w:val="28"/>
              </w:rPr>
              <w:t>EN</w:t>
            </w:r>
            <w:r w:rsidR="00892831" w:rsidRPr="00892831">
              <w:rPr>
                <w:b/>
                <w:sz w:val="28"/>
              </w:rPr>
              <w:t xml:space="preserve"> 3 </w:t>
            </w:r>
            <w:r>
              <w:rPr>
                <w:b/>
                <w:sz w:val="28"/>
              </w:rPr>
              <w:t xml:space="preserve">VAN DE WET VAN 13 JUNI 2005 BETREFFENDE DE ELEKTRONISCHE COMMUNICATIE  </w:t>
            </w:r>
          </w:p>
          <w:p w:rsidR="00A42AEB" w:rsidRDefault="00A42AEB" w:rsidP="00A42AEB">
            <w:pPr>
              <w:jc w:val="center"/>
              <w:rPr>
                <w:b/>
                <w:sz w:val="28"/>
              </w:rPr>
            </w:pPr>
          </w:p>
          <w:p w:rsidR="001B4BC2" w:rsidRPr="00AB65F3" w:rsidRDefault="001B4BC2" w:rsidP="00A42AEB">
            <w:pPr>
              <w:jc w:val="center"/>
              <w:rPr>
                <w:b/>
                <w:sz w:val="28"/>
              </w:rPr>
            </w:pPr>
            <w:r>
              <w:rPr>
                <w:b/>
                <w:sz w:val="28"/>
              </w:rPr>
              <w:t>Niet vertrouwelijke versie</w:t>
            </w:r>
          </w:p>
          <w:p w:rsidR="005143D1" w:rsidRPr="004D596D" w:rsidRDefault="005143D1" w:rsidP="009F52BF"/>
          <w:p w:rsidR="005143D1" w:rsidRPr="004D596D" w:rsidRDefault="005143D1" w:rsidP="009F52BF"/>
          <w:p w:rsidR="005143D1" w:rsidRPr="004D596D" w:rsidRDefault="005143D1" w:rsidP="009F52BF"/>
          <w:p w:rsidR="005143D1" w:rsidRPr="002C06DD" w:rsidRDefault="005143D1" w:rsidP="001C45BC"/>
        </w:tc>
      </w:tr>
    </w:tbl>
    <w:p w:rsidR="005143D1" w:rsidRPr="002C06DD" w:rsidRDefault="005143D1" w:rsidP="009F52BF"/>
    <w:p w:rsidR="005846E2" w:rsidRPr="002C06DD" w:rsidRDefault="005846E2" w:rsidP="005846E2"/>
    <w:p w:rsidR="005846E2" w:rsidRPr="002C06DD" w:rsidRDefault="005846E2" w:rsidP="005846E2">
      <w:pPr>
        <w:sectPr w:rsidR="005846E2" w:rsidRPr="002C06DD" w:rsidSect="0056743F">
          <w:footerReference w:type="default" r:id="rId15"/>
          <w:footerReference w:type="first" r:id="rId16"/>
          <w:type w:val="continuous"/>
          <w:pgSz w:w="11906" w:h="16838" w:code="9"/>
          <w:pgMar w:top="1134" w:right="1134" w:bottom="1134" w:left="1701" w:header="720" w:footer="720" w:gutter="0"/>
          <w:cols w:space="720"/>
          <w:titlePg/>
          <w:docGrid w:linePitch="299"/>
        </w:sectPr>
      </w:pPr>
    </w:p>
    <w:p w:rsidR="006D7E88" w:rsidRPr="002C06DD" w:rsidRDefault="006D7E88">
      <w:pPr>
        <w:jc w:val="left"/>
      </w:pPr>
      <w:r w:rsidRPr="002C06DD">
        <w:lastRenderedPageBreak/>
        <w:br w:type="page"/>
      </w:r>
    </w:p>
    <w:p w:rsidR="005846E2" w:rsidRPr="002C06DD" w:rsidRDefault="005846E2" w:rsidP="005846E2"/>
    <w:p w:rsidR="006D7E88" w:rsidRPr="00291D6C" w:rsidRDefault="006D7E88" w:rsidP="006D7E88">
      <w:pPr>
        <w:jc w:val="center"/>
        <w:rPr>
          <w:b/>
          <w:sz w:val="28"/>
        </w:rPr>
      </w:pPr>
      <w:bookmarkStart w:id="1" w:name="_Toc276629281"/>
      <w:r w:rsidRPr="00291D6C">
        <w:rPr>
          <w:b/>
          <w:sz w:val="28"/>
        </w:rPr>
        <w:t>INHOUDSOPGAVE</w:t>
      </w:r>
      <w:bookmarkEnd w:id="1"/>
    </w:p>
    <w:p w:rsidR="006D7E88" w:rsidRPr="00D21D66" w:rsidRDefault="006D7E88" w:rsidP="006D7E88">
      <w:pPr>
        <w:rPr>
          <w:rFonts w:ascii="Times New Roman" w:hAnsi="Times New Roman"/>
        </w:rPr>
      </w:pPr>
    </w:p>
    <w:p w:rsidR="006D7E88" w:rsidRPr="00D21D66" w:rsidRDefault="006D7E88" w:rsidP="006D7E88">
      <w:pPr>
        <w:rPr>
          <w:rFonts w:ascii="Times New Roman" w:hAnsi="Times New Roman"/>
        </w:rPr>
      </w:pPr>
    </w:p>
    <w:p w:rsidR="00C96DB1" w:rsidRDefault="00D122A6">
      <w:pPr>
        <w:pStyle w:val="Inhopg1"/>
        <w:tabs>
          <w:tab w:val="left" w:pos="400"/>
        </w:tabs>
        <w:rPr>
          <w:rFonts w:asciiTheme="minorHAnsi" w:eastAsiaTheme="minorEastAsia" w:hAnsiTheme="minorHAnsi" w:cstheme="minorBidi"/>
          <w:noProof/>
          <w:lang w:eastAsia="nl-BE"/>
        </w:rPr>
      </w:pPr>
      <w:r w:rsidRPr="00091758">
        <w:rPr>
          <w:rFonts w:ascii="Times New Roman" w:hAnsi="Times New Roman"/>
          <w:sz w:val="24"/>
        </w:rPr>
        <w:fldChar w:fldCharType="begin"/>
      </w:r>
      <w:r w:rsidR="006D7E88" w:rsidRPr="00D21D66">
        <w:rPr>
          <w:rFonts w:ascii="Times New Roman" w:hAnsi="Times New Roman"/>
          <w:sz w:val="24"/>
        </w:rPr>
        <w:instrText xml:space="preserve"> TOC \o "1-5" \u </w:instrText>
      </w:r>
      <w:r w:rsidRPr="00091758">
        <w:rPr>
          <w:rFonts w:ascii="Times New Roman" w:hAnsi="Times New Roman"/>
          <w:sz w:val="24"/>
        </w:rPr>
        <w:fldChar w:fldCharType="separate"/>
      </w:r>
      <w:r w:rsidR="00C96DB1" w:rsidRPr="00382530">
        <w:rPr>
          <w:rFonts w:asciiTheme="minorHAnsi" w:eastAsiaTheme="majorEastAsia" w:hAnsiTheme="minorHAnsi" w:cstheme="minorHAnsi"/>
          <w:noProof/>
          <w:color w:val="365F91" w:themeColor="accent1" w:themeShade="BF"/>
          <w:lang w:val="nl-NL"/>
        </w:rPr>
        <w:t>1.</w:t>
      </w:r>
      <w:r w:rsidR="00C96DB1">
        <w:rPr>
          <w:rFonts w:asciiTheme="minorHAnsi" w:eastAsiaTheme="minorEastAsia" w:hAnsiTheme="minorHAnsi" w:cstheme="minorBidi"/>
          <w:noProof/>
          <w:lang w:eastAsia="nl-BE"/>
        </w:rPr>
        <w:tab/>
      </w:r>
      <w:r w:rsidR="00C96DB1" w:rsidRPr="00382530">
        <w:rPr>
          <w:rFonts w:asciiTheme="minorHAnsi" w:eastAsiaTheme="majorEastAsia" w:hAnsiTheme="minorHAnsi" w:cstheme="minorHAnsi"/>
          <w:noProof/>
          <w:color w:val="365F91" w:themeColor="accent1" w:themeShade="BF"/>
          <w:lang w:val="nl-NL"/>
        </w:rPr>
        <w:t>VOORWERP</w:t>
      </w:r>
      <w:r w:rsidR="00C96DB1">
        <w:rPr>
          <w:noProof/>
        </w:rPr>
        <w:tab/>
      </w:r>
      <w:r w:rsidR="00C96DB1">
        <w:rPr>
          <w:noProof/>
        </w:rPr>
        <w:fldChar w:fldCharType="begin"/>
      </w:r>
      <w:r w:rsidR="00C96DB1">
        <w:rPr>
          <w:noProof/>
        </w:rPr>
        <w:instrText xml:space="preserve"> PAGEREF _Toc376423467 \h </w:instrText>
      </w:r>
      <w:r w:rsidR="00C96DB1">
        <w:rPr>
          <w:noProof/>
        </w:rPr>
      </w:r>
      <w:r w:rsidR="00C96DB1">
        <w:rPr>
          <w:noProof/>
        </w:rPr>
        <w:fldChar w:fldCharType="separate"/>
      </w:r>
      <w:r w:rsidR="008A5283">
        <w:rPr>
          <w:noProof/>
        </w:rPr>
        <w:t>3</w:t>
      </w:r>
      <w:r w:rsidR="00C96DB1">
        <w:rPr>
          <w:noProof/>
        </w:rPr>
        <w:fldChar w:fldCharType="end"/>
      </w:r>
    </w:p>
    <w:p w:rsidR="00C96DB1" w:rsidRDefault="00C96DB1">
      <w:pPr>
        <w:pStyle w:val="Inhopg1"/>
        <w:tabs>
          <w:tab w:val="left" w:pos="400"/>
        </w:tabs>
        <w:rPr>
          <w:rFonts w:asciiTheme="minorHAnsi" w:eastAsiaTheme="minorEastAsia" w:hAnsiTheme="minorHAnsi" w:cstheme="minorBidi"/>
          <w:noProof/>
          <w:lang w:eastAsia="nl-BE"/>
        </w:rPr>
      </w:pPr>
      <w:r w:rsidRPr="00382530">
        <w:rPr>
          <w:rFonts w:asciiTheme="minorHAnsi" w:eastAsiaTheme="majorEastAsia" w:hAnsiTheme="minorHAnsi" w:cstheme="minorHAnsi"/>
          <w:noProof/>
          <w:color w:val="365F91" w:themeColor="accent1" w:themeShade="BF"/>
          <w:lang w:val="nl-NL"/>
        </w:rPr>
        <w:t>2.</w:t>
      </w:r>
      <w:r>
        <w:rPr>
          <w:rFonts w:asciiTheme="minorHAnsi" w:eastAsiaTheme="minorEastAsia" w:hAnsiTheme="minorHAnsi" w:cstheme="minorBidi"/>
          <w:noProof/>
          <w:lang w:eastAsia="nl-BE"/>
        </w:rPr>
        <w:tab/>
      </w:r>
      <w:r w:rsidRPr="00382530">
        <w:rPr>
          <w:rFonts w:asciiTheme="minorHAnsi" w:eastAsiaTheme="majorEastAsia" w:hAnsiTheme="minorHAnsi" w:cstheme="minorHAnsi"/>
          <w:noProof/>
          <w:color w:val="365F91" w:themeColor="accent1" w:themeShade="BF"/>
          <w:lang w:val="nl-NL"/>
        </w:rPr>
        <w:t>FEITEN, JURIDISCHE CONTEXT EN RETROACTA</w:t>
      </w:r>
      <w:r>
        <w:rPr>
          <w:noProof/>
        </w:rPr>
        <w:tab/>
      </w:r>
      <w:r>
        <w:rPr>
          <w:noProof/>
        </w:rPr>
        <w:fldChar w:fldCharType="begin"/>
      </w:r>
      <w:r>
        <w:rPr>
          <w:noProof/>
        </w:rPr>
        <w:instrText xml:space="preserve"> PAGEREF _Toc376423468 \h </w:instrText>
      </w:r>
      <w:r>
        <w:rPr>
          <w:noProof/>
        </w:rPr>
      </w:r>
      <w:r>
        <w:rPr>
          <w:noProof/>
        </w:rPr>
        <w:fldChar w:fldCharType="separate"/>
      </w:r>
      <w:r w:rsidR="008A5283">
        <w:rPr>
          <w:noProof/>
        </w:rPr>
        <w:t>3</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2.1. Feiten</w:t>
      </w:r>
      <w:r>
        <w:rPr>
          <w:noProof/>
        </w:rPr>
        <w:tab/>
      </w:r>
      <w:r>
        <w:rPr>
          <w:noProof/>
        </w:rPr>
        <w:fldChar w:fldCharType="begin"/>
      </w:r>
      <w:r>
        <w:rPr>
          <w:noProof/>
        </w:rPr>
        <w:instrText xml:space="preserve"> PAGEREF _Toc376423469 \h </w:instrText>
      </w:r>
      <w:r>
        <w:rPr>
          <w:noProof/>
        </w:rPr>
      </w:r>
      <w:r>
        <w:rPr>
          <w:noProof/>
        </w:rPr>
        <w:fldChar w:fldCharType="separate"/>
      </w:r>
      <w:r w:rsidR="008A5283">
        <w:rPr>
          <w:noProof/>
        </w:rPr>
        <w:t>3</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Calibri" w:hAnsi="Calibri" w:cs="Calibri"/>
          <w:b/>
          <w:bCs/>
          <w:noProof/>
          <w:color w:val="4F81BD"/>
          <w:lang w:val="nl-NL" w:eastAsia="fr-FR"/>
        </w:rPr>
        <w:t>2.2.1. Aangaande de in omloop zijnde versies van de algemene voorwaarden van Dommel</w:t>
      </w:r>
      <w:r>
        <w:rPr>
          <w:noProof/>
        </w:rPr>
        <w:tab/>
      </w:r>
      <w:r>
        <w:rPr>
          <w:noProof/>
        </w:rPr>
        <w:fldChar w:fldCharType="begin"/>
      </w:r>
      <w:r>
        <w:rPr>
          <w:noProof/>
        </w:rPr>
        <w:instrText xml:space="preserve"> PAGEREF _Toc376423470 \h </w:instrText>
      </w:r>
      <w:r>
        <w:rPr>
          <w:noProof/>
        </w:rPr>
      </w:r>
      <w:r>
        <w:rPr>
          <w:noProof/>
        </w:rPr>
        <w:fldChar w:fldCharType="separate"/>
      </w:r>
      <w:r w:rsidR="008A5283">
        <w:rPr>
          <w:noProof/>
        </w:rPr>
        <w:t>3</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Calibri" w:hAnsi="Calibri" w:cs="Calibri"/>
          <w:b/>
          <w:bCs/>
          <w:noProof/>
          <w:color w:val="4F81BD"/>
          <w:lang w:val="nl-NL" w:eastAsia="fr-FR"/>
        </w:rPr>
        <w:t>1.2.2. Aangaande een eerdere brief van het BIPT aan Dommel m.b.t. de overeenstemming van de algemene voorwaarden van Dommel met artikel 108, WEC</w:t>
      </w:r>
      <w:r>
        <w:rPr>
          <w:noProof/>
        </w:rPr>
        <w:tab/>
      </w:r>
      <w:r>
        <w:rPr>
          <w:noProof/>
        </w:rPr>
        <w:fldChar w:fldCharType="begin"/>
      </w:r>
      <w:r>
        <w:rPr>
          <w:noProof/>
        </w:rPr>
        <w:instrText xml:space="preserve"> PAGEREF _Toc376423471 \h </w:instrText>
      </w:r>
      <w:r>
        <w:rPr>
          <w:noProof/>
        </w:rPr>
      </w:r>
      <w:r>
        <w:rPr>
          <w:noProof/>
        </w:rPr>
        <w:fldChar w:fldCharType="separate"/>
      </w:r>
      <w:r w:rsidR="008A5283">
        <w:rPr>
          <w:noProof/>
        </w:rPr>
        <w:t>4</w:t>
      </w:r>
      <w:r>
        <w:rPr>
          <w:noProof/>
        </w:rPr>
        <w:fldChar w:fldCharType="end"/>
      </w:r>
    </w:p>
    <w:p w:rsidR="00C96DB1" w:rsidRDefault="00C96DB1">
      <w:pPr>
        <w:pStyle w:val="Inhopg1"/>
        <w:rPr>
          <w:rFonts w:asciiTheme="minorHAnsi" w:eastAsiaTheme="minorEastAsia" w:hAnsiTheme="minorHAnsi" w:cstheme="minorBidi"/>
          <w:noProof/>
          <w:lang w:eastAsia="nl-BE"/>
        </w:rPr>
      </w:pPr>
      <w:r w:rsidRPr="00382530">
        <w:rPr>
          <w:rFonts w:ascii="Calibri" w:hAnsi="Calibri" w:cs="Calibri"/>
          <w:b/>
          <w:bCs/>
          <w:noProof/>
          <w:color w:val="365F91"/>
          <w:lang w:val="nl-NL" w:eastAsia="fr-FR"/>
        </w:rPr>
        <w:t>2.3. Juridische context</w:t>
      </w:r>
      <w:r>
        <w:rPr>
          <w:noProof/>
        </w:rPr>
        <w:tab/>
      </w:r>
      <w:r>
        <w:rPr>
          <w:noProof/>
        </w:rPr>
        <w:fldChar w:fldCharType="begin"/>
      </w:r>
      <w:r>
        <w:rPr>
          <w:noProof/>
        </w:rPr>
        <w:instrText xml:space="preserve"> PAGEREF _Toc376423472 \h </w:instrText>
      </w:r>
      <w:r>
        <w:rPr>
          <w:noProof/>
        </w:rPr>
      </w:r>
      <w:r>
        <w:rPr>
          <w:noProof/>
        </w:rPr>
        <w:fldChar w:fldCharType="separate"/>
      </w:r>
      <w:r w:rsidR="008A5283">
        <w:rPr>
          <w:noProof/>
        </w:rPr>
        <w:t>4</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Calibri" w:hAnsi="Calibri" w:cs="Calibri"/>
          <w:b/>
          <w:bCs/>
          <w:noProof/>
          <w:color w:val="4F81BD"/>
          <w:lang w:val="nl-NL" w:eastAsia="fr-FR"/>
        </w:rPr>
        <w:t>2.3.1. Algemeen</w:t>
      </w:r>
      <w:r>
        <w:rPr>
          <w:noProof/>
        </w:rPr>
        <w:tab/>
      </w:r>
      <w:r>
        <w:rPr>
          <w:noProof/>
        </w:rPr>
        <w:fldChar w:fldCharType="begin"/>
      </w:r>
      <w:r>
        <w:rPr>
          <w:noProof/>
        </w:rPr>
        <w:instrText xml:space="preserve"> PAGEREF _Toc376423473 \h </w:instrText>
      </w:r>
      <w:r>
        <w:rPr>
          <w:noProof/>
        </w:rPr>
      </w:r>
      <w:r>
        <w:rPr>
          <w:noProof/>
        </w:rPr>
        <w:fldChar w:fldCharType="separate"/>
      </w:r>
      <w:r w:rsidR="008A5283">
        <w:rPr>
          <w:noProof/>
        </w:rPr>
        <w:t>4</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Calibri" w:hAnsi="Calibri" w:cs="Calibri"/>
          <w:b/>
          <w:bCs/>
          <w:noProof/>
          <w:color w:val="4F81BD"/>
          <w:lang w:val="nl-NL" w:eastAsia="fr-FR"/>
        </w:rPr>
        <w:t>2.3.2. Ten gronde</w:t>
      </w:r>
      <w:r>
        <w:rPr>
          <w:noProof/>
        </w:rPr>
        <w:tab/>
      </w:r>
      <w:r>
        <w:rPr>
          <w:noProof/>
        </w:rPr>
        <w:fldChar w:fldCharType="begin"/>
      </w:r>
      <w:r>
        <w:rPr>
          <w:noProof/>
        </w:rPr>
        <w:instrText xml:space="preserve"> PAGEREF _Toc376423474 \h </w:instrText>
      </w:r>
      <w:r>
        <w:rPr>
          <w:noProof/>
        </w:rPr>
      </w:r>
      <w:r>
        <w:rPr>
          <w:noProof/>
        </w:rPr>
        <w:fldChar w:fldCharType="separate"/>
      </w:r>
      <w:r w:rsidR="008A5283">
        <w:rPr>
          <w:noProof/>
        </w:rPr>
        <w:t>5</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ascii="Calibri" w:hAnsi="Calibri" w:cs="Calibri"/>
          <w:b/>
          <w:bCs/>
          <w:noProof/>
          <w:color w:val="8DB3E2"/>
          <w:lang w:eastAsia="fr-FR"/>
        </w:rPr>
        <w:t>2.3.2.1. Artikel 108 WEC</w:t>
      </w:r>
      <w:r>
        <w:rPr>
          <w:noProof/>
        </w:rPr>
        <w:tab/>
      </w:r>
      <w:r>
        <w:rPr>
          <w:noProof/>
        </w:rPr>
        <w:fldChar w:fldCharType="begin"/>
      </w:r>
      <w:r>
        <w:rPr>
          <w:noProof/>
        </w:rPr>
        <w:instrText xml:space="preserve"> PAGEREF _Toc376423475 \h </w:instrText>
      </w:r>
      <w:r>
        <w:rPr>
          <w:noProof/>
        </w:rPr>
      </w:r>
      <w:r>
        <w:rPr>
          <w:noProof/>
        </w:rPr>
        <w:fldChar w:fldCharType="separate"/>
      </w:r>
      <w:r w:rsidR="008A5283">
        <w:rPr>
          <w:noProof/>
        </w:rPr>
        <w:t>5</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ascii="Calibri" w:hAnsi="Calibri" w:cs="Calibri"/>
          <w:b/>
          <w:bCs/>
          <w:noProof/>
          <w:color w:val="8DB3E2"/>
          <w:lang w:eastAsia="fr-FR"/>
        </w:rPr>
        <w:t>2.3.2.2. Artikel 110, § 1, WEC</w:t>
      </w:r>
      <w:r>
        <w:rPr>
          <w:noProof/>
        </w:rPr>
        <w:tab/>
      </w:r>
      <w:r>
        <w:rPr>
          <w:noProof/>
        </w:rPr>
        <w:fldChar w:fldCharType="begin"/>
      </w:r>
      <w:r>
        <w:rPr>
          <w:noProof/>
        </w:rPr>
        <w:instrText xml:space="preserve"> PAGEREF _Toc376423476 \h </w:instrText>
      </w:r>
      <w:r>
        <w:rPr>
          <w:noProof/>
        </w:rPr>
      </w:r>
      <w:r>
        <w:rPr>
          <w:noProof/>
        </w:rPr>
        <w:fldChar w:fldCharType="separate"/>
      </w:r>
      <w:r w:rsidR="008A5283">
        <w:rPr>
          <w:noProof/>
        </w:rPr>
        <w:t>6</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ascii="Calibri" w:hAnsi="Calibri" w:cs="Calibri"/>
          <w:b/>
          <w:bCs/>
          <w:noProof/>
          <w:color w:val="8DB3E2"/>
          <w:lang w:eastAsia="fr-FR"/>
        </w:rPr>
        <w:t>2.3.2.3. Artikel 111/3, WEC</w:t>
      </w:r>
      <w:r>
        <w:rPr>
          <w:noProof/>
        </w:rPr>
        <w:tab/>
      </w:r>
      <w:r>
        <w:rPr>
          <w:noProof/>
        </w:rPr>
        <w:fldChar w:fldCharType="begin"/>
      </w:r>
      <w:r>
        <w:rPr>
          <w:noProof/>
        </w:rPr>
        <w:instrText xml:space="preserve"> PAGEREF _Toc376423477 \h </w:instrText>
      </w:r>
      <w:r>
        <w:rPr>
          <w:noProof/>
        </w:rPr>
      </w:r>
      <w:r>
        <w:rPr>
          <w:noProof/>
        </w:rPr>
        <w:fldChar w:fldCharType="separate"/>
      </w:r>
      <w:r w:rsidR="008A5283">
        <w:rPr>
          <w:noProof/>
        </w:rPr>
        <w:t>6</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2.4. Gevolgde procedure</w:t>
      </w:r>
      <w:r>
        <w:rPr>
          <w:noProof/>
        </w:rPr>
        <w:tab/>
      </w:r>
      <w:r>
        <w:rPr>
          <w:noProof/>
        </w:rPr>
        <w:fldChar w:fldCharType="begin"/>
      </w:r>
      <w:r>
        <w:rPr>
          <w:noProof/>
        </w:rPr>
        <w:instrText xml:space="preserve"> PAGEREF _Toc376423478 \h </w:instrText>
      </w:r>
      <w:r>
        <w:rPr>
          <w:noProof/>
        </w:rPr>
      </w:r>
      <w:r>
        <w:rPr>
          <w:noProof/>
        </w:rPr>
        <w:fldChar w:fldCharType="separate"/>
      </w:r>
      <w:r w:rsidR="008A5283">
        <w:rPr>
          <w:noProof/>
        </w:rPr>
        <w:t>7</w:t>
      </w:r>
      <w:r>
        <w:rPr>
          <w:noProof/>
        </w:rPr>
        <w:fldChar w:fldCharType="end"/>
      </w:r>
    </w:p>
    <w:p w:rsidR="00C96DB1" w:rsidRDefault="00C96DB1">
      <w:pPr>
        <w:pStyle w:val="Inhopg1"/>
        <w:tabs>
          <w:tab w:val="left" w:pos="400"/>
        </w:tabs>
        <w:rPr>
          <w:rFonts w:asciiTheme="minorHAnsi" w:eastAsiaTheme="minorEastAsia" w:hAnsiTheme="minorHAnsi" w:cstheme="minorBidi"/>
          <w:noProof/>
          <w:lang w:eastAsia="nl-BE"/>
        </w:rPr>
      </w:pPr>
      <w:r w:rsidRPr="00382530">
        <w:rPr>
          <w:rFonts w:asciiTheme="minorHAnsi" w:eastAsiaTheme="majorEastAsia" w:hAnsiTheme="minorHAnsi" w:cstheme="minorHAnsi"/>
          <w:noProof/>
          <w:color w:val="365F91" w:themeColor="accent1" w:themeShade="BF"/>
          <w:lang w:val="nl-NL"/>
        </w:rPr>
        <w:t>3.</w:t>
      </w:r>
      <w:r>
        <w:rPr>
          <w:rFonts w:asciiTheme="minorHAnsi" w:eastAsiaTheme="minorEastAsia" w:hAnsiTheme="minorHAnsi" w:cstheme="minorBidi"/>
          <w:noProof/>
          <w:lang w:eastAsia="nl-BE"/>
        </w:rPr>
        <w:tab/>
      </w:r>
      <w:r w:rsidRPr="00382530">
        <w:rPr>
          <w:rFonts w:asciiTheme="minorHAnsi" w:eastAsiaTheme="majorEastAsia" w:hAnsiTheme="minorHAnsi" w:cstheme="minorHAnsi"/>
          <w:noProof/>
          <w:color w:val="365F91" w:themeColor="accent1" w:themeShade="BF"/>
          <w:lang w:val="nl-NL"/>
        </w:rPr>
        <w:t>WETTELIJKE BASIS</w:t>
      </w:r>
      <w:r>
        <w:rPr>
          <w:noProof/>
        </w:rPr>
        <w:tab/>
      </w:r>
      <w:r>
        <w:rPr>
          <w:noProof/>
        </w:rPr>
        <w:fldChar w:fldCharType="begin"/>
      </w:r>
      <w:r>
        <w:rPr>
          <w:noProof/>
        </w:rPr>
        <w:instrText xml:space="preserve"> PAGEREF _Toc376423479 \h </w:instrText>
      </w:r>
      <w:r>
        <w:rPr>
          <w:noProof/>
        </w:rPr>
      </w:r>
      <w:r>
        <w:rPr>
          <w:noProof/>
        </w:rPr>
        <w:fldChar w:fldCharType="separate"/>
      </w:r>
      <w:r w:rsidR="008A5283">
        <w:rPr>
          <w:noProof/>
        </w:rPr>
        <w:t>7</w:t>
      </w:r>
      <w:r>
        <w:rPr>
          <w:noProof/>
        </w:rPr>
        <w:fldChar w:fldCharType="end"/>
      </w:r>
    </w:p>
    <w:p w:rsidR="00C96DB1" w:rsidRDefault="00C96DB1">
      <w:pPr>
        <w:pStyle w:val="Inhopg1"/>
        <w:tabs>
          <w:tab w:val="left" w:pos="400"/>
        </w:tabs>
        <w:rPr>
          <w:rFonts w:asciiTheme="minorHAnsi" w:eastAsiaTheme="minorEastAsia" w:hAnsiTheme="minorHAnsi" w:cstheme="minorBidi"/>
          <w:noProof/>
          <w:lang w:eastAsia="nl-BE"/>
        </w:rPr>
      </w:pPr>
      <w:r w:rsidRPr="00382530">
        <w:rPr>
          <w:rFonts w:asciiTheme="minorHAnsi" w:eastAsiaTheme="majorEastAsia" w:hAnsiTheme="minorHAnsi" w:cstheme="minorHAnsi"/>
          <w:noProof/>
          <w:color w:val="365F91" w:themeColor="accent1" w:themeShade="BF"/>
          <w:lang w:val="nl-NL"/>
        </w:rPr>
        <w:t>4.</w:t>
      </w:r>
      <w:r>
        <w:rPr>
          <w:rFonts w:asciiTheme="minorHAnsi" w:eastAsiaTheme="minorEastAsia" w:hAnsiTheme="minorHAnsi" w:cstheme="minorBidi"/>
          <w:noProof/>
          <w:lang w:eastAsia="nl-BE"/>
        </w:rPr>
        <w:tab/>
      </w:r>
      <w:r w:rsidRPr="00382530">
        <w:rPr>
          <w:rFonts w:asciiTheme="minorHAnsi" w:eastAsiaTheme="majorEastAsia" w:hAnsiTheme="minorHAnsi" w:cstheme="minorHAnsi"/>
          <w:noProof/>
          <w:color w:val="365F91" w:themeColor="accent1" w:themeShade="BF"/>
          <w:lang w:val="nl-NL"/>
        </w:rPr>
        <w:t>ANALYSE VAN HET BIPT</w:t>
      </w:r>
      <w:r>
        <w:rPr>
          <w:noProof/>
        </w:rPr>
        <w:tab/>
      </w:r>
      <w:r>
        <w:rPr>
          <w:noProof/>
        </w:rPr>
        <w:fldChar w:fldCharType="begin"/>
      </w:r>
      <w:r>
        <w:rPr>
          <w:noProof/>
        </w:rPr>
        <w:instrText xml:space="preserve"> PAGEREF _Toc376423480 \h </w:instrText>
      </w:r>
      <w:r>
        <w:rPr>
          <w:noProof/>
        </w:rPr>
      </w:r>
      <w:r>
        <w:rPr>
          <w:noProof/>
        </w:rPr>
        <w:fldChar w:fldCharType="separate"/>
      </w:r>
      <w:r w:rsidR="008A5283">
        <w:rPr>
          <w:noProof/>
        </w:rPr>
        <w:t>8</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4.1. Meegedeelde grief</w:t>
      </w:r>
      <w:r>
        <w:rPr>
          <w:noProof/>
        </w:rPr>
        <w:tab/>
      </w:r>
      <w:r>
        <w:rPr>
          <w:noProof/>
        </w:rPr>
        <w:fldChar w:fldCharType="begin"/>
      </w:r>
      <w:r>
        <w:rPr>
          <w:noProof/>
        </w:rPr>
        <w:instrText xml:space="preserve"> PAGEREF _Toc376423481 \h </w:instrText>
      </w:r>
      <w:r>
        <w:rPr>
          <w:noProof/>
        </w:rPr>
      </w:r>
      <w:r>
        <w:rPr>
          <w:noProof/>
        </w:rPr>
        <w:fldChar w:fldCharType="separate"/>
      </w:r>
      <w:r w:rsidR="008A5283">
        <w:rPr>
          <w:noProof/>
        </w:rPr>
        <w:t>8</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4.2. Standpunt van Dommel ten aanzien van de meegedeelde grieven en beoordeling door het BIPT</w:t>
      </w:r>
      <w:r>
        <w:rPr>
          <w:noProof/>
        </w:rPr>
        <w:tab/>
      </w:r>
      <w:r>
        <w:rPr>
          <w:noProof/>
        </w:rPr>
        <w:fldChar w:fldCharType="begin"/>
      </w:r>
      <w:r>
        <w:rPr>
          <w:noProof/>
        </w:rPr>
        <w:instrText xml:space="preserve"> PAGEREF _Toc376423482 \h </w:instrText>
      </w:r>
      <w:r>
        <w:rPr>
          <w:noProof/>
        </w:rPr>
      </w:r>
      <w:r>
        <w:rPr>
          <w:noProof/>
        </w:rPr>
        <w:fldChar w:fldCharType="separate"/>
      </w:r>
      <w:r w:rsidR="008A5283">
        <w:rPr>
          <w:noProof/>
        </w:rPr>
        <w:t>9</w:t>
      </w:r>
      <w:r>
        <w:rPr>
          <w:noProof/>
        </w:rPr>
        <w:fldChar w:fldCharType="end"/>
      </w:r>
    </w:p>
    <w:p w:rsidR="00C96DB1" w:rsidRPr="00C96DB1" w:rsidRDefault="00C96DB1" w:rsidP="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4.2.1. Motivering van de meegedeelde grie</w:t>
      </w:r>
      <w:r>
        <w:rPr>
          <w:rFonts w:cs="Calibri"/>
          <w:noProof/>
          <w:color w:val="8DB3E2" w:themeColor="text2" w:themeTint="66"/>
        </w:rPr>
        <w:t>ven</w:t>
      </w:r>
      <w:r>
        <w:rPr>
          <w:noProof/>
        </w:rPr>
        <w:tab/>
      </w:r>
      <w:r>
        <w:rPr>
          <w:noProof/>
        </w:rPr>
        <w:fldChar w:fldCharType="begin"/>
      </w:r>
      <w:r>
        <w:rPr>
          <w:noProof/>
        </w:rPr>
        <w:instrText xml:space="preserve"> PAGEREF _Toc376423483 \h </w:instrText>
      </w:r>
      <w:r>
        <w:rPr>
          <w:noProof/>
        </w:rPr>
      </w:r>
      <w:r>
        <w:rPr>
          <w:noProof/>
        </w:rPr>
        <w:fldChar w:fldCharType="separate"/>
      </w:r>
      <w:r w:rsidR="008A5283">
        <w:rPr>
          <w:noProof/>
        </w:rPr>
        <w:t>9</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4.2.2. Standpunt van Dommel</w:t>
      </w:r>
      <w:r>
        <w:rPr>
          <w:noProof/>
        </w:rPr>
        <w:tab/>
      </w:r>
      <w:r>
        <w:rPr>
          <w:noProof/>
        </w:rPr>
        <w:fldChar w:fldCharType="begin"/>
      </w:r>
      <w:r>
        <w:rPr>
          <w:noProof/>
        </w:rPr>
        <w:instrText xml:space="preserve"> PAGEREF _Toc376423491 \h </w:instrText>
      </w:r>
      <w:r>
        <w:rPr>
          <w:noProof/>
        </w:rPr>
      </w:r>
      <w:r>
        <w:rPr>
          <w:noProof/>
        </w:rPr>
        <w:fldChar w:fldCharType="separate"/>
      </w:r>
      <w:r w:rsidR="008A5283">
        <w:rPr>
          <w:noProof/>
        </w:rPr>
        <w:t>20</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4.2.3. Beoordeling door het BIPT</w:t>
      </w:r>
      <w:r>
        <w:rPr>
          <w:noProof/>
        </w:rPr>
        <w:tab/>
      </w:r>
      <w:r>
        <w:rPr>
          <w:noProof/>
        </w:rPr>
        <w:fldChar w:fldCharType="begin"/>
      </w:r>
      <w:r>
        <w:rPr>
          <w:noProof/>
        </w:rPr>
        <w:instrText xml:space="preserve"> PAGEREF _Toc376423492 \h </w:instrText>
      </w:r>
      <w:r>
        <w:rPr>
          <w:noProof/>
        </w:rPr>
      </w:r>
      <w:r>
        <w:rPr>
          <w:noProof/>
        </w:rPr>
        <w:fldChar w:fldCharType="separate"/>
      </w:r>
      <w:r w:rsidR="008A5283">
        <w:rPr>
          <w:noProof/>
        </w:rPr>
        <w:t>21</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4.3. Besluit betreffende de naleving van de artikelen 108, § 1, b), 3de en 5de onderdeel, 108, § 1, f), 108, § 2, 110, § 1 en 111/3, §§ 1 en 3, WEC</w:t>
      </w:r>
      <w:r>
        <w:rPr>
          <w:noProof/>
        </w:rPr>
        <w:tab/>
      </w:r>
      <w:r>
        <w:rPr>
          <w:noProof/>
        </w:rPr>
        <w:fldChar w:fldCharType="begin"/>
      </w:r>
      <w:r>
        <w:rPr>
          <w:noProof/>
        </w:rPr>
        <w:instrText xml:space="preserve"> PAGEREF _Toc376423493 \h </w:instrText>
      </w:r>
      <w:r>
        <w:rPr>
          <w:noProof/>
        </w:rPr>
      </w:r>
      <w:r>
        <w:rPr>
          <w:noProof/>
        </w:rPr>
        <w:fldChar w:fldCharType="separate"/>
      </w:r>
      <w:r w:rsidR="008A5283">
        <w:rPr>
          <w:noProof/>
        </w:rPr>
        <w:t>22</w:t>
      </w:r>
      <w:r>
        <w:rPr>
          <w:noProof/>
        </w:rPr>
        <w:fldChar w:fldCharType="end"/>
      </w:r>
    </w:p>
    <w:p w:rsidR="00C96DB1" w:rsidRDefault="00C96DB1">
      <w:pPr>
        <w:pStyle w:val="Inhopg1"/>
        <w:tabs>
          <w:tab w:val="left" w:pos="400"/>
        </w:tabs>
        <w:rPr>
          <w:rFonts w:asciiTheme="minorHAnsi" w:eastAsiaTheme="minorEastAsia" w:hAnsiTheme="minorHAnsi" w:cstheme="minorBidi"/>
          <w:noProof/>
          <w:lang w:eastAsia="nl-BE"/>
        </w:rPr>
      </w:pPr>
      <w:r w:rsidRPr="00382530">
        <w:rPr>
          <w:rFonts w:asciiTheme="minorHAnsi" w:eastAsiaTheme="majorEastAsia" w:hAnsiTheme="minorHAnsi" w:cstheme="minorHAnsi"/>
          <w:noProof/>
          <w:color w:val="365F91" w:themeColor="accent1" w:themeShade="BF"/>
          <w:lang w:val="nl-NL"/>
        </w:rPr>
        <w:t>5.</w:t>
      </w:r>
      <w:r>
        <w:rPr>
          <w:rFonts w:asciiTheme="minorHAnsi" w:eastAsiaTheme="minorEastAsia" w:hAnsiTheme="minorHAnsi" w:cstheme="minorBidi"/>
          <w:noProof/>
          <w:lang w:eastAsia="nl-BE"/>
        </w:rPr>
        <w:tab/>
      </w:r>
      <w:r w:rsidRPr="00382530">
        <w:rPr>
          <w:rFonts w:asciiTheme="minorHAnsi" w:eastAsiaTheme="majorEastAsia" w:hAnsiTheme="minorHAnsi" w:cstheme="minorHAnsi"/>
          <w:noProof/>
          <w:color w:val="365F91" w:themeColor="accent1" w:themeShade="BF"/>
          <w:lang w:val="nl-NL"/>
        </w:rPr>
        <w:t>MOTIVERING VAN HET BIPT BETREFFENDE HET OPLEGGEN VAN DE BOETE EN DE BEPALING VAN HET BEDRAG ERVAN</w:t>
      </w:r>
      <w:r>
        <w:rPr>
          <w:noProof/>
        </w:rPr>
        <w:tab/>
      </w:r>
      <w:r>
        <w:rPr>
          <w:noProof/>
        </w:rPr>
        <w:fldChar w:fldCharType="begin"/>
      </w:r>
      <w:r>
        <w:rPr>
          <w:noProof/>
        </w:rPr>
        <w:instrText xml:space="preserve"> PAGEREF _Toc376423494 \h </w:instrText>
      </w:r>
      <w:r>
        <w:rPr>
          <w:noProof/>
        </w:rPr>
      </w:r>
      <w:r>
        <w:rPr>
          <w:noProof/>
        </w:rPr>
        <w:fldChar w:fldCharType="separate"/>
      </w:r>
      <w:r w:rsidR="008A5283">
        <w:rPr>
          <w:noProof/>
        </w:rPr>
        <w:t>23</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5.1. Beoogd bedrag van de administratieve boete meegedeeld aan Dommel</w:t>
      </w:r>
      <w:r>
        <w:rPr>
          <w:noProof/>
        </w:rPr>
        <w:tab/>
      </w:r>
      <w:r>
        <w:rPr>
          <w:noProof/>
        </w:rPr>
        <w:fldChar w:fldCharType="begin"/>
      </w:r>
      <w:r>
        <w:rPr>
          <w:noProof/>
        </w:rPr>
        <w:instrText xml:space="preserve"> PAGEREF _Toc376423495 \h </w:instrText>
      </w:r>
      <w:r>
        <w:rPr>
          <w:noProof/>
        </w:rPr>
      </w:r>
      <w:r>
        <w:rPr>
          <w:noProof/>
        </w:rPr>
        <w:fldChar w:fldCharType="separate"/>
      </w:r>
      <w:r w:rsidR="008A5283">
        <w:rPr>
          <w:noProof/>
        </w:rPr>
        <w:t>23</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5.2. Standpunt van Dommel ten aanzien van het beoogd bedrag van de administratieve boete</w:t>
      </w:r>
      <w:r>
        <w:rPr>
          <w:noProof/>
        </w:rPr>
        <w:tab/>
      </w:r>
      <w:r>
        <w:rPr>
          <w:noProof/>
        </w:rPr>
        <w:fldChar w:fldCharType="begin"/>
      </w:r>
      <w:r>
        <w:rPr>
          <w:noProof/>
        </w:rPr>
        <w:instrText xml:space="preserve"> PAGEREF _Toc376423496 \h </w:instrText>
      </w:r>
      <w:r>
        <w:rPr>
          <w:noProof/>
        </w:rPr>
      </w:r>
      <w:r>
        <w:rPr>
          <w:noProof/>
        </w:rPr>
        <w:fldChar w:fldCharType="separate"/>
      </w:r>
      <w:r w:rsidR="008A5283">
        <w:rPr>
          <w:noProof/>
        </w:rPr>
        <w:t>23</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5.3. Motivering betreffende het opleggen van een boete</w:t>
      </w:r>
      <w:r>
        <w:rPr>
          <w:noProof/>
        </w:rPr>
        <w:tab/>
      </w:r>
      <w:r>
        <w:rPr>
          <w:noProof/>
        </w:rPr>
        <w:fldChar w:fldCharType="begin"/>
      </w:r>
      <w:r>
        <w:rPr>
          <w:noProof/>
        </w:rPr>
        <w:instrText xml:space="preserve"> PAGEREF _Toc376423497 \h </w:instrText>
      </w:r>
      <w:r>
        <w:rPr>
          <w:noProof/>
        </w:rPr>
      </w:r>
      <w:r>
        <w:rPr>
          <w:noProof/>
        </w:rPr>
        <w:fldChar w:fldCharType="separate"/>
      </w:r>
      <w:r w:rsidR="008A5283">
        <w:rPr>
          <w:noProof/>
        </w:rPr>
        <w:t>23</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5.4. Motivering betreffende het bedrag van de boete</w:t>
      </w:r>
      <w:r>
        <w:rPr>
          <w:noProof/>
        </w:rPr>
        <w:tab/>
      </w:r>
      <w:r>
        <w:rPr>
          <w:noProof/>
        </w:rPr>
        <w:fldChar w:fldCharType="begin"/>
      </w:r>
      <w:r>
        <w:rPr>
          <w:noProof/>
        </w:rPr>
        <w:instrText xml:space="preserve"> PAGEREF _Toc376423498 \h </w:instrText>
      </w:r>
      <w:r>
        <w:rPr>
          <w:noProof/>
        </w:rPr>
      </w:r>
      <w:r>
        <w:rPr>
          <w:noProof/>
        </w:rPr>
        <w:fldChar w:fldCharType="separate"/>
      </w:r>
      <w:r w:rsidR="008A5283">
        <w:rPr>
          <w:noProof/>
        </w:rPr>
        <w:t>24</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5.4.1. Bepaling van het basisbedrag</w:t>
      </w:r>
      <w:r>
        <w:rPr>
          <w:noProof/>
        </w:rPr>
        <w:tab/>
      </w:r>
      <w:r>
        <w:rPr>
          <w:noProof/>
        </w:rPr>
        <w:fldChar w:fldCharType="begin"/>
      </w:r>
      <w:r>
        <w:rPr>
          <w:noProof/>
        </w:rPr>
        <w:instrText xml:space="preserve"> PAGEREF _Toc376423499 \h </w:instrText>
      </w:r>
      <w:r>
        <w:rPr>
          <w:noProof/>
        </w:rPr>
      </w:r>
      <w:r>
        <w:rPr>
          <w:noProof/>
        </w:rPr>
        <w:fldChar w:fldCharType="separate"/>
      </w:r>
      <w:r w:rsidR="008A5283">
        <w:rPr>
          <w:noProof/>
        </w:rPr>
        <w:t>26</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5.4.1.1. Principe van proportionaliteit en omzet op de betrokken markt</w:t>
      </w:r>
      <w:r>
        <w:rPr>
          <w:noProof/>
        </w:rPr>
        <w:tab/>
      </w:r>
      <w:r>
        <w:rPr>
          <w:noProof/>
        </w:rPr>
        <w:fldChar w:fldCharType="begin"/>
      </w:r>
      <w:r>
        <w:rPr>
          <w:noProof/>
        </w:rPr>
        <w:instrText xml:space="preserve"> PAGEREF _Toc376423500 \h </w:instrText>
      </w:r>
      <w:r>
        <w:rPr>
          <w:noProof/>
        </w:rPr>
      </w:r>
      <w:r>
        <w:rPr>
          <w:noProof/>
        </w:rPr>
        <w:fldChar w:fldCharType="separate"/>
      </w:r>
      <w:r w:rsidR="008A5283">
        <w:rPr>
          <w:noProof/>
        </w:rPr>
        <w:t>26</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5.4.1.2. Ernst van de overtreding</w:t>
      </w:r>
      <w:r>
        <w:rPr>
          <w:noProof/>
        </w:rPr>
        <w:tab/>
      </w:r>
      <w:r>
        <w:rPr>
          <w:noProof/>
        </w:rPr>
        <w:fldChar w:fldCharType="begin"/>
      </w:r>
      <w:r>
        <w:rPr>
          <w:noProof/>
        </w:rPr>
        <w:instrText xml:space="preserve"> PAGEREF _Toc376423501 \h </w:instrText>
      </w:r>
      <w:r>
        <w:rPr>
          <w:noProof/>
        </w:rPr>
      </w:r>
      <w:r>
        <w:rPr>
          <w:noProof/>
        </w:rPr>
        <w:fldChar w:fldCharType="separate"/>
      </w:r>
      <w:r w:rsidR="008A5283">
        <w:rPr>
          <w:noProof/>
        </w:rPr>
        <w:t>26</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5.4.1.3. Relatieve omvang van de onderneming</w:t>
      </w:r>
      <w:r>
        <w:rPr>
          <w:noProof/>
        </w:rPr>
        <w:tab/>
      </w:r>
      <w:r>
        <w:rPr>
          <w:noProof/>
        </w:rPr>
        <w:fldChar w:fldCharType="begin"/>
      </w:r>
      <w:r>
        <w:rPr>
          <w:noProof/>
        </w:rPr>
        <w:instrText xml:space="preserve"> PAGEREF _Toc376423502 \h </w:instrText>
      </w:r>
      <w:r>
        <w:rPr>
          <w:noProof/>
        </w:rPr>
      </w:r>
      <w:r>
        <w:rPr>
          <w:noProof/>
        </w:rPr>
        <w:fldChar w:fldCharType="separate"/>
      </w:r>
      <w:r w:rsidR="008A5283">
        <w:rPr>
          <w:noProof/>
        </w:rPr>
        <w:t>27</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5.4.1.4. Duur</w:t>
      </w:r>
      <w:r>
        <w:rPr>
          <w:noProof/>
        </w:rPr>
        <w:tab/>
      </w:r>
      <w:r>
        <w:rPr>
          <w:noProof/>
        </w:rPr>
        <w:fldChar w:fldCharType="begin"/>
      </w:r>
      <w:r>
        <w:rPr>
          <w:noProof/>
        </w:rPr>
        <w:instrText xml:space="preserve"> PAGEREF _Toc376423503 \h </w:instrText>
      </w:r>
      <w:r>
        <w:rPr>
          <w:noProof/>
        </w:rPr>
      </w:r>
      <w:r>
        <w:rPr>
          <w:noProof/>
        </w:rPr>
        <w:fldChar w:fldCharType="separate"/>
      </w:r>
      <w:r w:rsidR="008A5283">
        <w:rPr>
          <w:noProof/>
        </w:rPr>
        <w:t>27</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5.4.2. Boeteverhogende en -verlagende factoren</w:t>
      </w:r>
      <w:r>
        <w:rPr>
          <w:noProof/>
        </w:rPr>
        <w:tab/>
      </w:r>
      <w:r>
        <w:rPr>
          <w:noProof/>
        </w:rPr>
        <w:fldChar w:fldCharType="begin"/>
      </w:r>
      <w:r>
        <w:rPr>
          <w:noProof/>
        </w:rPr>
        <w:instrText xml:space="preserve"> PAGEREF _Toc376423504 \h </w:instrText>
      </w:r>
      <w:r>
        <w:rPr>
          <w:noProof/>
        </w:rPr>
      </w:r>
      <w:r>
        <w:rPr>
          <w:noProof/>
        </w:rPr>
        <w:fldChar w:fldCharType="separate"/>
      </w:r>
      <w:r w:rsidR="008A5283">
        <w:rPr>
          <w:noProof/>
        </w:rPr>
        <w:t>28</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5.4.2.1. Verzwarende omstandigheden</w:t>
      </w:r>
      <w:r>
        <w:rPr>
          <w:noProof/>
        </w:rPr>
        <w:tab/>
      </w:r>
      <w:r>
        <w:rPr>
          <w:noProof/>
        </w:rPr>
        <w:fldChar w:fldCharType="begin"/>
      </w:r>
      <w:r>
        <w:rPr>
          <w:noProof/>
        </w:rPr>
        <w:instrText xml:space="preserve"> PAGEREF _Toc376423505 \h </w:instrText>
      </w:r>
      <w:r>
        <w:rPr>
          <w:noProof/>
        </w:rPr>
      </w:r>
      <w:r>
        <w:rPr>
          <w:noProof/>
        </w:rPr>
        <w:fldChar w:fldCharType="separate"/>
      </w:r>
      <w:r w:rsidR="008A5283">
        <w:rPr>
          <w:noProof/>
        </w:rPr>
        <w:t>28</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5.4.2.2. Verzachtende omstandigheden</w:t>
      </w:r>
      <w:r>
        <w:rPr>
          <w:noProof/>
        </w:rPr>
        <w:tab/>
      </w:r>
      <w:r>
        <w:rPr>
          <w:noProof/>
        </w:rPr>
        <w:fldChar w:fldCharType="begin"/>
      </w:r>
      <w:r>
        <w:rPr>
          <w:noProof/>
        </w:rPr>
        <w:instrText xml:space="preserve"> PAGEREF _Toc376423506 \h </w:instrText>
      </w:r>
      <w:r>
        <w:rPr>
          <w:noProof/>
        </w:rPr>
      </w:r>
      <w:r>
        <w:rPr>
          <w:noProof/>
        </w:rPr>
        <w:fldChar w:fldCharType="separate"/>
      </w:r>
      <w:r w:rsidR="008A5283">
        <w:rPr>
          <w:noProof/>
        </w:rPr>
        <w:t>28</w:t>
      </w:r>
      <w:r>
        <w:rPr>
          <w:noProof/>
        </w:rPr>
        <w:fldChar w:fldCharType="end"/>
      </w:r>
    </w:p>
    <w:p w:rsidR="00C96DB1" w:rsidRDefault="00C96DB1">
      <w:pPr>
        <w:pStyle w:val="Inhopg3"/>
        <w:tabs>
          <w:tab w:val="right" w:leader="dot" w:pos="9061"/>
        </w:tabs>
        <w:rPr>
          <w:rFonts w:asciiTheme="minorHAnsi" w:eastAsiaTheme="minorEastAsia" w:hAnsiTheme="minorHAnsi" w:cstheme="minorBidi"/>
          <w:i w:val="0"/>
          <w:noProof/>
          <w:spacing w:val="0"/>
          <w:lang w:eastAsia="nl-BE"/>
        </w:rPr>
      </w:pPr>
      <w:r w:rsidRPr="00382530">
        <w:rPr>
          <w:rFonts w:cs="Calibri"/>
          <w:noProof/>
          <w:color w:val="8DB3E2" w:themeColor="text2" w:themeTint="66"/>
        </w:rPr>
        <w:t>5.4.2.3. Noodzaak om de boete een afschrikkend karakter te geven</w:t>
      </w:r>
      <w:r>
        <w:rPr>
          <w:noProof/>
        </w:rPr>
        <w:tab/>
      </w:r>
      <w:r>
        <w:rPr>
          <w:noProof/>
        </w:rPr>
        <w:fldChar w:fldCharType="begin"/>
      </w:r>
      <w:r>
        <w:rPr>
          <w:noProof/>
        </w:rPr>
        <w:instrText xml:space="preserve"> PAGEREF _Toc376423507 \h </w:instrText>
      </w:r>
      <w:r>
        <w:rPr>
          <w:noProof/>
        </w:rPr>
      </w:r>
      <w:r>
        <w:rPr>
          <w:noProof/>
        </w:rPr>
        <w:fldChar w:fldCharType="separate"/>
      </w:r>
      <w:r w:rsidR="008A5283">
        <w:rPr>
          <w:noProof/>
        </w:rPr>
        <w:t>29</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5.5 Besluit betreffende de boete</w:t>
      </w:r>
      <w:r>
        <w:rPr>
          <w:noProof/>
        </w:rPr>
        <w:tab/>
      </w:r>
      <w:r>
        <w:rPr>
          <w:noProof/>
        </w:rPr>
        <w:fldChar w:fldCharType="begin"/>
      </w:r>
      <w:r>
        <w:rPr>
          <w:noProof/>
        </w:rPr>
        <w:instrText xml:space="preserve"> PAGEREF _Toc376423508 \h </w:instrText>
      </w:r>
      <w:r>
        <w:rPr>
          <w:noProof/>
        </w:rPr>
      </w:r>
      <w:r>
        <w:rPr>
          <w:noProof/>
        </w:rPr>
        <w:fldChar w:fldCharType="separate"/>
      </w:r>
      <w:r w:rsidR="008A5283">
        <w:rPr>
          <w:noProof/>
        </w:rPr>
        <w:t>29</w:t>
      </w:r>
      <w:r>
        <w:rPr>
          <w:noProof/>
        </w:rPr>
        <w:fldChar w:fldCharType="end"/>
      </w:r>
    </w:p>
    <w:p w:rsidR="00C96DB1" w:rsidRDefault="00C96DB1">
      <w:pPr>
        <w:pStyle w:val="Inhopg2"/>
        <w:tabs>
          <w:tab w:val="right" w:leader="dot" w:pos="9061"/>
        </w:tabs>
        <w:rPr>
          <w:rFonts w:asciiTheme="minorHAnsi" w:eastAsiaTheme="minorEastAsia" w:hAnsiTheme="minorHAnsi" w:cstheme="minorBidi"/>
          <w:smallCaps w:val="0"/>
          <w:noProof/>
          <w:spacing w:val="0"/>
          <w:lang w:eastAsia="nl-BE"/>
        </w:rPr>
      </w:pPr>
      <w:r w:rsidRPr="00382530">
        <w:rPr>
          <w:rFonts w:asciiTheme="minorHAnsi" w:eastAsiaTheme="majorEastAsia" w:hAnsiTheme="minorHAnsi" w:cstheme="minorHAnsi"/>
          <w:noProof/>
          <w:color w:val="4F81BD" w:themeColor="accent1"/>
          <w:lang w:val="nl-NL"/>
        </w:rPr>
        <w:t>5.6 Slotopmerking</w:t>
      </w:r>
      <w:r>
        <w:rPr>
          <w:noProof/>
        </w:rPr>
        <w:tab/>
      </w:r>
      <w:r>
        <w:rPr>
          <w:noProof/>
        </w:rPr>
        <w:fldChar w:fldCharType="begin"/>
      </w:r>
      <w:r>
        <w:rPr>
          <w:noProof/>
        </w:rPr>
        <w:instrText xml:space="preserve"> PAGEREF _Toc376423509 \h </w:instrText>
      </w:r>
      <w:r>
        <w:rPr>
          <w:noProof/>
        </w:rPr>
      </w:r>
      <w:r>
        <w:rPr>
          <w:noProof/>
        </w:rPr>
        <w:fldChar w:fldCharType="separate"/>
      </w:r>
      <w:r w:rsidR="008A5283">
        <w:rPr>
          <w:noProof/>
        </w:rPr>
        <w:t>29</w:t>
      </w:r>
      <w:r>
        <w:rPr>
          <w:noProof/>
        </w:rPr>
        <w:fldChar w:fldCharType="end"/>
      </w:r>
    </w:p>
    <w:p w:rsidR="00C96DB1" w:rsidRDefault="00C96DB1">
      <w:pPr>
        <w:pStyle w:val="Inhopg1"/>
        <w:tabs>
          <w:tab w:val="left" w:pos="600"/>
        </w:tabs>
        <w:rPr>
          <w:rFonts w:asciiTheme="minorHAnsi" w:eastAsiaTheme="minorEastAsia" w:hAnsiTheme="minorHAnsi" w:cstheme="minorBidi"/>
          <w:noProof/>
          <w:lang w:eastAsia="nl-BE"/>
        </w:rPr>
      </w:pPr>
      <w:r w:rsidRPr="00382530">
        <w:rPr>
          <w:rFonts w:ascii="Calibri,Bold" w:hAnsi="Calibri,Bold" w:cs="Calibri,Bold"/>
          <w:noProof/>
          <w:color w:val="365F92"/>
          <w:lang w:eastAsia="fr-BE"/>
        </w:rPr>
        <w:t>6.</w:t>
      </w:r>
      <w:r>
        <w:rPr>
          <w:rFonts w:asciiTheme="minorHAnsi" w:eastAsiaTheme="minorEastAsia" w:hAnsiTheme="minorHAnsi" w:cstheme="minorBidi"/>
          <w:noProof/>
          <w:lang w:eastAsia="nl-BE"/>
        </w:rPr>
        <w:tab/>
      </w:r>
      <w:r w:rsidRPr="00382530">
        <w:rPr>
          <w:rFonts w:asciiTheme="minorHAnsi" w:eastAsiaTheme="majorEastAsia" w:hAnsiTheme="minorHAnsi" w:cstheme="minorHAnsi"/>
          <w:noProof/>
          <w:color w:val="365F91" w:themeColor="accent1" w:themeShade="BF"/>
          <w:lang w:val="nl-NL"/>
        </w:rPr>
        <w:t>BESLUIT</w:t>
      </w:r>
      <w:r>
        <w:rPr>
          <w:noProof/>
        </w:rPr>
        <w:tab/>
      </w:r>
      <w:r>
        <w:rPr>
          <w:noProof/>
        </w:rPr>
        <w:fldChar w:fldCharType="begin"/>
      </w:r>
      <w:r>
        <w:rPr>
          <w:noProof/>
        </w:rPr>
        <w:instrText xml:space="preserve"> PAGEREF _Toc376423510 \h </w:instrText>
      </w:r>
      <w:r>
        <w:rPr>
          <w:noProof/>
        </w:rPr>
      </w:r>
      <w:r>
        <w:rPr>
          <w:noProof/>
        </w:rPr>
        <w:fldChar w:fldCharType="separate"/>
      </w:r>
      <w:r w:rsidR="008A5283">
        <w:rPr>
          <w:noProof/>
        </w:rPr>
        <w:t>30</w:t>
      </w:r>
      <w:r>
        <w:rPr>
          <w:noProof/>
        </w:rPr>
        <w:fldChar w:fldCharType="end"/>
      </w:r>
    </w:p>
    <w:p w:rsidR="00C96DB1" w:rsidRDefault="00C96DB1">
      <w:pPr>
        <w:pStyle w:val="Inhopg1"/>
        <w:tabs>
          <w:tab w:val="left" w:pos="400"/>
        </w:tabs>
        <w:rPr>
          <w:rFonts w:asciiTheme="minorHAnsi" w:eastAsiaTheme="minorEastAsia" w:hAnsiTheme="minorHAnsi" w:cstheme="minorBidi"/>
          <w:noProof/>
          <w:lang w:eastAsia="nl-BE"/>
        </w:rPr>
      </w:pPr>
      <w:r w:rsidRPr="00382530">
        <w:rPr>
          <w:rFonts w:asciiTheme="minorHAnsi" w:eastAsiaTheme="majorEastAsia" w:hAnsiTheme="minorHAnsi" w:cstheme="minorHAnsi"/>
          <w:noProof/>
          <w:color w:val="365F91" w:themeColor="accent1" w:themeShade="BF"/>
          <w:lang w:val="nl-NL"/>
        </w:rPr>
        <w:t>7.</w:t>
      </w:r>
      <w:r>
        <w:rPr>
          <w:rFonts w:asciiTheme="minorHAnsi" w:eastAsiaTheme="minorEastAsia" w:hAnsiTheme="minorHAnsi" w:cstheme="minorBidi"/>
          <w:noProof/>
          <w:lang w:eastAsia="nl-BE"/>
        </w:rPr>
        <w:tab/>
      </w:r>
      <w:r w:rsidRPr="00382530">
        <w:rPr>
          <w:rFonts w:asciiTheme="minorHAnsi" w:eastAsiaTheme="majorEastAsia" w:hAnsiTheme="minorHAnsi" w:cstheme="minorHAnsi"/>
          <w:noProof/>
          <w:color w:val="365F91" w:themeColor="accent1" w:themeShade="BF"/>
          <w:lang w:val="nl-NL"/>
        </w:rPr>
        <w:t>KENNISGEVING EN PUBLICATIE VAN HET BESLUIT</w:t>
      </w:r>
      <w:r>
        <w:rPr>
          <w:noProof/>
        </w:rPr>
        <w:tab/>
      </w:r>
      <w:r>
        <w:rPr>
          <w:noProof/>
        </w:rPr>
        <w:fldChar w:fldCharType="begin"/>
      </w:r>
      <w:r>
        <w:rPr>
          <w:noProof/>
        </w:rPr>
        <w:instrText xml:space="preserve"> PAGEREF _Toc376423520 \h </w:instrText>
      </w:r>
      <w:r>
        <w:rPr>
          <w:noProof/>
        </w:rPr>
      </w:r>
      <w:r>
        <w:rPr>
          <w:noProof/>
        </w:rPr>
        <w:fldChar w:fldCharType="separate"/>
      </w:r>
      <w:r w:rsidR="008A5283">
        <w:rPr>
          <w:noProof/>
        </w:rPr>
        <w:t>30</w:t>
      </w:r>
      <w:r>
        <w:rPr>
          <w:noProof/>
        </w:rPr>
        <w:fldChar w:fldCharType="end"/>
      </w:r>
    </w:p>
    <w:p w:rsidR="00C96DB1" w:rsidRDefault="00C96DB1">
      <w:pPr>
        <w:pStyle w:val="Inhopg1"/>
        <w:tabs>
          <w:tab w:val="left" w:pos="400"/>
        </w:tabs>
        <w:rPr>
          <w:rFonts w:asciiTheme="minorHAnsi" w:eastAsiaTheme="minorEastAsia" w:hAnsiTheme="minorHAnsi" w:cstheme="minorBidi"/>
          <w:noProof/>
          <w:lang w:eastAsia="nl-BE"/>
        </w:rPr>
      </w:pPr>
      <w:r w:rsidRPr="00382530">
        <w:rPr>
          <w:rFonts w:asciiTheme="minorHAnsi" w:eastAsiaTheme="majorEastAsia" w:hAnsiTheme="minorHAnsi" w:cstheme="minorHAnsi"/>
          <w:noProof/>
          <w:color w:val="365F91" w:themeColor="accent1" w:themeShade="BF"/>
          <w:lang w:val="nl-NL"/>
        </w:rPr>
        <w:t>8.</w:t>
      </w:r>
      <w:r>
        <w:rPr>
          <w:rFonts w:asciiTheme="minorHAnsi" w:eastAsiaTheme="minorEastAsia" w:hAnsiTheme="minorHAnsi" w:cstheme="minorBidi"/>
          <w:noProof/>
          <w:lang w:eastAsia="nl-BE"/>
        </w:rPr>
        <w:tab/>
      </w:r>
      <w:r w:rsidRPr="00382530">
        <w:rPr>
          <w:rFonts w:asciiTheme="minorHAnsi" w:eastAsiaTheme="majorEastAsia" w:hAnsiTheme="minorHAnsi" w:cstheme="minorHAnsi"/>
          <w:noProof/>
          <w:color w:val="365F91" w:themeColor="accent1" w:themeShade="BF"/>
          <w:lang w:val="nl-NL"/>
        </w:rPr>
        <w:t>BEROEPSMOGELIJKHEDEN</w:t>
      </w:r>
      <w:r>
        <w:rPr>
          <w:noProof/>
        </w:rPr>
        <w:tab/>
      </w:r>
      <w:r>
        <w:rPr>
          <w:noProof/>
        </w:rPr>
        <w:fldChar w:fldCharType="begin"/>
      </w:r>
      <w:r>
        <w:rPr>
          <w:noProof/>
        </w:rPr>
        <w:instrText xml:space="preserve"> PAGEREF _Toc376423521 \h </w:instrText>
      </w:r>
      <w:r>
        <w:rPr>
          <w:noProof/>
        </w:rPr>
      </w:r>
      <w:r>
        <w:rPr>
          <w:noProof/>
        </w:rPr>
        <w:fldChar w:fldCharType="separate"/>
      </w:r>
      <w:r w:rsidR="008A5283">
        <w:rPr>
          <w:noProof/>
        </w:rPr>
        <w:t>31</w:t>
      </w:r>
      <w:r>
        <w:rPr>
          <w:noProof/>
        </w:rPr>
        <w:fldChar w:fldCharType="end"/>
      </w:r>
    </w:p>
    <w:p w:rsidR="006D7E88" w:rsidRPr="00D21D66" w:rsidRDefault="00D122A6" w:rsidP="006D7E88">
      <w:pPr>
        <w:sectPr w:rsidR="006D7E88" w:rsidRPr="00D21D66" w:rsidSect="00373832">
          <w:footerReference w:type="default" r:id="rId17"/>
          <w:type w:val="continuous"/>
          <w:pgSz w:w="11906" w:h="16838"/>
          <w:pgMar w:top="1134" w:right="1134" w:bottom="1134" w:left="1701" w:header="720" w:footer="567" w:gutter="0"/>
          <w:pgNumType w:start="1"/>
          <w:cols w:space="720"/>
          <w:titlePg/>
          <w:docGrid w:linePitch="299"/>
        </w:sectPr>
      </w:pPr>
      <w:r w:rsidRPr="00091758">
        <w:rPr>
          <w:rFonts w:ascii="Times New Roman" w:hAnsi="Times New Roman"/>
        </w:rPr>
        <w:fldChar w:fldCharType="end"/>
      </w:r>
    </w:p>
    <w:p w:rsidR="006D7E88" w:rsidRPr="00291D6C" w:rsidRDefault="006D7E88" w:rsidP="006D7E88">
      <w:pPr>
        <w:jc w:val="left"/>
        <w:rPr>
          <w:rFonts w:ascii="Calibri" w:hAnsi="Calibri"/>
          <w:b/>
          <w:bCs/>
          <w:noProof/>
          <w:color w:val="365F91"/>
          <w:sz w:val="28"/>
          <w:szCs w:val="28"/>
          <w:lang w:eastAsia="fr-BE"/>
        </w:rPr>
      </w:pPr>
      <w:r w:rsidRPr="00291D6C">
        <w:lastRenderedPageBreak/>
        <w:br w:type="page"/>
      </w:r>
    </w:p>
    <w:p w:rsidR="00732B96" w:rsidRPr="00B6662E" w:rsidRDefault="00732B96" w:rsidP="00732B96">
      <w:pPr>
        <w:pStyle w:val="Kop1"/>
        <w:rPr>
          <w:rFonts w:asciiTheme="minorHAnsi" w:eastAsiaTheme="majorEastAsia" w:hAnsiTheme="minorHAnsi" w:cstheme="minorHAnsi"/>
          <w:b w:val="0"/>
          <w:bCs w:val="0"/>
          <w:color w:val="365F91" w:themeColor="accent1" w:themeShade="BF"/>
          <w:lang w:val="nl-NL"/>
        </w:rPr>
      </w:pPr>
      <w:bookmarkStart w:id="2" w:name="_Toc343614659"/>
      <w:bookmarkStart w:id="3" w:name="_Toc376423467"/>
      <w:bookmarkEnd w:id="2"/>
      <w:r w:rsidRPr="00B6662E">
        <w:rPr>
          <w:rFonts w:asciiTheme="minorHAnsi" w:eastAsiaTheme="majorEastAsia" w:hAnsiTheme="minorHAnsi" w:cstheme="minorHAnsi"/>
          <w:color w:val="365F91" w:themeColor="accent1" w:themeShade="BF"/>
          <w:lang w:val="nl-NL"/>
        </w:rPr>
        <w:lastRenderedPageBreak/>
        <w:t>VOORWERP</w:t>
      </w:r>
      <w:bookmarkEnd w:id="3"/>
    </w:p>
    <w:p w:rsidR="00732B96" w:rsidRDefault="00732B96" w:rsidP="00732B96">
      <w:pPr>
        <w:spacing w:line="276" w:lineRule="auto"/>
        <w:rPr>
          <w:szCs w:val="24"/>
          <w:lang w:val="nl-NL"/>
        </w:rPr>
      </w:pPr>
    </w:p>
    <w:p w:rsidR="00732B96" w:rsidRPr="005454B1" w:rsidRDefault="00732B96" w:rsidP="00DC3143">
      <w:pPr>
        <w:pStyle w:val="Lijstalinea"/>
        <w:numPr>
          <w:ilvl w:val="0"/>
          <w:numId w:val="5"/>
        </w:numPr>
        <w:spacing w:line="276" w:lineRule="auto"/>
        <w:rPr>
          <w:szCs w:val="24"/>
          <w:lang w:val="nl-NL"/>
        </w:rPr>
      </w:pPr>
      <w:r w:rsidRPr="005454B1">
        <w:rPr>
          <w:szCs w:val="24"/>
          <w:lang w:val="nl-NL"/>
        </w:rPr>
        <w:t>Dit besluit heeft tot doel te bepalen of de meegedeelde grieven omtrent de niet-naleving</w:t>
      </w:r>
    </w:p>
    <w:p w:rsidR="00732B96" w:rsidRPr="005454B1" w:rsidRDefault="00732B96" w:rsidP="00074194">
      <w:pPr>
        <w:pStyle w:val="Lijstalinea"/>
        <w:numPr>
          <w:ilvl w:val="0"/>
          <w:numId w:val="0"/>
        </w:numPr>
        <w:spacing w:line="276" w:lineRule="auto"/>
        <w:ind w:left="720"/>
        <w:rPr>
          <w:szCs w:val="24"/>
          <w:lang w:val="nl-NL"/>
        </w:rPr>
      </w:pPr>
      <w:r w:rsidRPr="005454B1">
        <w:rPr>
          <w:szCs w:val="24"/>
          <w:lang w:val="nl-NL"/>
        </w:rPr>
        <w:t xml:space="preserve">van </w:t>
      </w:r>
      <w:r w:rsidR="00892831">
        <w:rPr>
          <w:szCs w:val="24"/>
          <w:lang w:val="nl-NL"/>
        </w:rPr>
        <w:t xml:space="preserve">de artikelen </w:t>
      </w:r>
      <w:r w:rsidR="00892831" w:rsidRPr="00892831">
        <w:rPr>
          <w:szCs w:val="24"/>
          <w:lang w:val="nl-NL"/>
        </w:rPr>
        <w:t xml:space="preserve">108, § 1, b), 3de en 5de onderdeel, 108, § 1, f), 108, § 2, </w:t>
      </w:r>
      <w:r w:rsidR="00892831">
        <w:rPr>
          <w:szCs w:val="24"/>
          <w:lang w:val="nl-NL"/>
        </w:rPr>
        <w:t xml:space="preserve">110, § 1 </w:t>
      </w:r>
      <w:r w:rsidR="00AE20BB">
        <w:rPr>
          <w:szCs w:val="24"/>
          <w:lang w:val="nl-NL"/>
        </w:rPr>
        <w:t>en 111/3, §§ 1 en 3,</w:t>
      </w:r>
      <w:r w:rsidR="00892831" w:rsidRPr="00892831">
        <w:rPr>
          <w:szCs w:val="24"/>
          <w:lang w:val="nl-NL"/>
        </w:rPr>
        <w:t xml:space="preserve"> </w:t>
      </w:r>
      <w:r w:rsidRPr="005454B1">
        <w:rPr>
          <w:szCs w:val="24"/>
          <w:lang w:val="nl-NL"/>
        </w:rPr>
        <w:t>van de wet van 13 juni 2005 betreffen</w:t>
      </w:r>
      <w:r w:rsidR="00890AA3">
        <w:rPr>
          <w:szCs w:val="24"/>
          <w:lang w:val="nl-NL"/>
        </w:rPr>
        <w:t xml:space="preserve">de de elektronische communicatie </w:t>
      </w:r>
      <w:r w:rsidRPr="005454B1">
        <w:rPr>
          <w:szCs w:val="24"/>
          <w:lang w:val="nl-NL"/>
        </w:rPr>
        <w:t xml:space="preserve">(hierna genoemd “WEC”) definitief kunnen worden weerhouden ten aanzien van </w:t>
      </w:r>
      <w:r w:rsidR="00892831">
        <w:rPr>
          <w:szCs w:val="24"/>
          <w:lang w:val="nl-NL"/>
        </w:rPr>
        <w:t>Schedom Dommel (hierna genoemd : “Dommel”)</w:t>
      </w:r>
      <w:r w:rsidRPr="005454B1">
        <w:rPr>
          <w:szCs w:val="24"/>
          <w:lang w:val="nl-NL"/>
        </w:rPr>
        <w:t xml:space="preserve">  en, indien dat het geval is, te bepalen of er overeenkomstig artikel 21 van de wet van 17 januari 2003 met betrekking tot het statuut van de regulator van de Belgische post- en telecommunicatiesector (hierna genoemd : “de BIPT-wet”) een administratieve boete opgelegd moet worden aan </w:t>
      </w:r>
      <w:r w:rsidR="00892831">
        <w:rPr>
          <w:szCs w:val="24"/>
          <w:lang w:val="nl-NL"/>
        </w:rPr>
        <w:t>Dommel</w:t>
      </w:r>
      <w:r w:rsidRPr="005454B1">
        <w:rPr>
          <w:szCs w:val="24"/>
          <w:lang w:val="nl-NL"/>
        </w:rPr>
        <w:t>.</w:t>
      </w:r>
    </w:p>
    <w:p w:rsidR="00732B96" w:rsidRPr="00A27826" w:rsidRDefault="00732B96" w:rsidP="00074194">
      <w:pPr>
        <w:pStyle w:val="Lijstalinea"/>
        <w:numPr>
          <w:ilvl w:val="0"/>
          <w:numId w:val="0"/>
        </w:numPr>
        <w:ind w:left="720"/>
      </w:pPr>
    </w:p>
    <w:p w:rsidR="00732B96" w:rsidRPr="00B12E73" w:rsidRDefault="00732B96" w:rsidP="00732B96">
      <w:pPr>
        <w:pStyle w:val="Kop1"/>
        <w:rPr>
          <w:rFonts w:asciiTheme="minorHAnsi" w:eastAsiaTheme="majorEastAsia" w:hAnsiTheme="minorHAnsi" w:cstheme="minorHAnsi"/>
          <w:color w:val="365F91" w:themeColor="accent1" w:themeShade="BF"/>
          <w:lang w:val="nl-NL"/>
        </w:rPr>
      </w:pPr>
      <w:bookmarkStart w:id="4" w:name="_Toc376423468"/>
      <w:r w:rsidRPr="00525E11">
        <w:rPr>
          <w:rFonts w:asciiTheme="minorHAnsi" w:eastAsiaTheme="majorEastAsia" w:hAnsiTheme="minorHAnsi" w:cstheme="minorHAnsi"/>
          <w:color w:val="365F91" w:themeColor="accent1" w:themeShade="BF"/>
          <w:lang w:val="nl-NL"/>
        </w:rPr>
        <w:t>FEITEN</w:t>
      </w:r>
      <w:r>
        <w:rPr>
          <w:rFonts w:asciiTheme="minorHAnsi" w:eastAsiaTheme="majorEastAsia" w:hAnsiTheme="minorHAnsi" w:cstheme="minorHAnsi"/>
          <w:color w:val="365F91" w:themeColor="accent1" w:themeShade="BF"/>
          <w:lang w:val="nl-NL"/>
        </w:rPr>
        <w:t>, JURIDISCHE CONTEXT EN RETROACTA</w:t>
      </w:r>
      <w:bookmarkEnd w:id="4"/>
      <w:r>
        <w:rPr>
          <w:rFonts w:asciiTheme="minorHAnsi" w:eastAsiaTheme="majorEastAsia" w:hAnsiTheme="minorHAnsi" w:cstheme="minorHAnsi"/>
          <w:color w:val="365F91" w:themeColor="accent1" w:themeShade="BF"/>
          <w:lang w:val="nl-NL"/>
        </w:rPr>
        <w:t xml:space="preserve"> </w:t>
      </w:r>
      <w:r w:rsidRPr="00525E11">
        <w:rPr>
          <w:rFonts w:asciiTheme="minorHAnsi" w:eastAsiaTheme="majorEastAsia" w:hAnsiTheme="minorHAnsi" w:cstheme="minorHAnsi"/>
          <w:color w:val="365F91" w:themeColor="accent1" w:themeShade="BF"/>
          <w:lang w:val="nl-NL"/>
        </w:rPr>
        <w:t xml:space="preserve"> </w:t>
      </w:r>
    </w:p>
    <w:p w:rsidR="00732B96" w:rsidRPr="00B12E73" w:rsidRDefault="00732B96" w:rsidP="00732B96">
      <w:pPr>
        <w:pStyle w:val="Kop2"/>
        <w:rPr>
          <w:rFonts w:asciiTheme="minorHAnsi" w:eastAsiaTheme="majorEastAsia" w:hAnsiTheme="minorHAnsi" w:cstheme="minorHAnsi"/>
          <w:i/>
          <w:iCs/>
          <w:color w:val="4F81BD" w:themeColor="accent1"/>
          <w:lang w:val="nl-NL"/>
        </w:rPr>
      </w:pPr>
      <w:bookmarkStart w:id="5" w:name="_Toc376423469"/>
      <w:r w:rsidRPr="00B12E73">
        <w:rPr>
          <w:rFonts w:asciiTheme="minorHAnsi" w:eastAsiaTheme="majorEastAsia" w:hAnsiTheme="minorHAnsi" w:cstheme="minorHAnsi"/>
          <w:color w:val="4F81BD" w:themeColor="accent1"/>
          <w:lang w:val="nl-NL"/>
        </w:rPr>
        <w:t xml:space="preserve">2.1. </w:t>
      </w:r>
      <w:r>
        <w:rPr>
          <w:rFonts w:asciiTheme="minorHAnsi" w:eastAsiaTheme="majorEastAsia" w:hAnsiTheme="minorHAnsi" w:cstheme="minorHAnsi"/>
          <w:color w:val="4F81BD" w:themeColor="accent1"/>
          <w:lang w:val="nl-NL"/>
        </w:rPr>
        <w:t>Feiten</w:t>
      </w:r>
      <w:bookmarkEnd w:id="5"/>
      <w:r>
        <w:rPr>
          <w:rFonts w:asciiTheme="minorHAnsi" w:eastAsiaTheme="majorEastAsia" w:hAnsiTheme="minorHAnsi" w:cstheme="minorHAnsi"/>
          <w:color w:val="4F81BD" w:themeColor="accent1"/>
          <w:lang w:val="nl-NL"/>
        </w:rPr>
        <w:t xml:space="preserve"> </w:t>
      </w:r>
      <w:r w:rsidRPr="00B12E73">
        <w:rPr>
          <w:rFonts w:asciiTheme="minorHAnsi" w:eastAsiaTheme="majorEastAsia" w:hAnsiTheme="minorHAnsi" w:cstheme="minorHAnsi"/>
          <w:color w:val="4F81BD" w:themeColor="accent1"/>
          <w:lang w:val="nl-NL"/>
        </w:rPr>
        <w:t xml:space="preserve"> </w:t>
      </w:r>
    </w:p>
    <w:p w:rsidR="00892831" w:rsidRPr="00892831" w:rsidRDefault="006E448A" w:rsidP="00892831">
      <w:pPr>
        <w:keepNext/>
        <w:keepLines/>
        <w:spacing w:before="240"/>
        <w:outlineLvl w:val="1"/>
        <w:rPr>
          <w:rFonts w:ascii="Calibri" w:hAnsi="Calibri" w:cs="Calibri"/>
          <w:b/>
          <w:bCs/>
          <w:color w:val="4F81BD"/>
          <w:sz w:val="24"/>
          <w:szCs w:val="24"/>
          <w:lang w:val="nl-NL" w:eastAsia="fr-FR"/>
        </w:rPr>
      </w:pPr>
      <w:bookmarkStart w:id="6" w:name="_Toc369854096"/>
      <w:bookmarkStart w:id="7" w:name="_Toc376423470"/>
      <w:r>
        <w:rPr>
          <w:rFonts w:ascii="Calibri" w:hAnsi="Calibri" w:cs="Calibri"/>
          <w:b/>
          <w:bCs/>
          <w:color w:val="4F81BD"/>
          <w:sz w:val="24"/>
          <w:szCs w:val="24"/>
          <w:lang w:val="nl-NL" w:eastAsia="fr-FR"/>
        </w:rPr>
        <w:t>2</w:t>
      </w:r>
      <w:r w:rsidR="00892831" w:rsidRPr="00892831">
        <w:rPr>
          <w:rFonts w:ascii="Calibri" w:hAnsi="Calibri" w:cs="Calibri"/>
          <w:b/>
          <w:bCs/>
          <w:color w:val="4F81BD"/>
          <w:sz w:val="24"/>
          <w:szCs w:val="24"/>
          <w:lang w:val="nl-NL" w:eastAsia="fr-FR"/>
        </w:rPr>
        <w:t>.2.1. Aangaande de in omloop zijnde versies van de algemene voorwaarden van Dommel</w:t>
      </w:r>
      <w:bookmarkEnd w:id="6"/>
      <w:bookmarkEnd w:id="7"/>
    </w:p>
    <w:p w:rsidR="00892831" w:rsidRPr="00892831" w:rsidRDefault="00892831" w:rsidP="00892831">
      <w:pPr>
        <w:keepLines/>
        <w:rPr>
          <w:szCs w:val="20"/>
          <w:lang w:val="nl-NL" w:eastAsia="fr-FR"/>
        </w:rPr>
      </w:pPr>
    </w:p>
    <w:p w:rsidR="00892831" w:rsidRPr="00892831" w:rsidRDefault="00892831" w:rsidP="00DC3143">
      <w:pPr>
        <w:pStyle w:val="Lijstalinea"/>
        <w:numPr>
          <w:ilvl w:val="0"/>
          <w:numId w:val="5"/>
        </w:numPr>
        <w:spacing w:line="276" w:lineRule="auto"/>
        <w:rPr>
          <w:szCs w:val="24"/>
          <w:lang w:val="nl-NL"/>
        </w:rPr>
      </w:pPr>
      <w:r w:rsidRPr="00892831">
        <w:rPr>
          <w:szCs w:val="24"/>
          <w:lang w:val="nl-NL"/>
        </w:rPr>
        <w:t>Op 14 februari 2013 bezorgde een klant van Dommel het BIPT de algemene voorwaarden (“Kaderovereenkomst diensten schedom nv/sa”</w:t>
      </w:r>
      <w:r w:rsidRPr="00BC74DA">
        <w:rPr>
          <w:rStyle w:val="Voetnootmarkering"/>
          <w:rFonts w:asciiTheme="majorHAnsi" w:hAnsiTheme="majorHAnsi" w:cs="Times New Roman"/>
          <w:noProof w:val="0"/>
          <w:szCs w:val="22"/>
          <w:lang w:eastAsia="en-US"/>
        </w:rPr>
        <w:footnoteReference w:id="1"/>
      </w:r>
      <w:r w:rsidRPr="00892831">
        <w:rPr>
          <w:szCs w:val="24"/>
          <w:lang w:val="nl-NL"/>
        </w:rPr>
        <w:t>) die deel uitmaakten van zijn contract. Het ging om de versie “v4.0 (30/03/2011)”, hierna genoemd “algemene voorwaarden van 2011”</w:t>
      </w:r>
      <w:r>
        <w:rPr>
          <w:szCs w:val="24"/>
          <w:lang w:val="nl-NL"/>
        </w:rPr>
        <w:t>.</w:t>
      </w:r>
    </w:p>
    <w:p w:rsidR="00892831" w:rsidRPr="00892831" w:rsidRDefault="00892831" w:rsidP="00892831">
      <w:pPr>
        <w:keepLines/>
        <w:rPr>
          <w:szCs w:val="20"/>
          <w:lang w:val="nl-NL" w:eastAsia="fr-FR"/>
        </w:rPr>
      </w:pPr>
    </w:p>
    <w:p w:rsidR="00892831" w:rsidRPr="00892831" w:rsidRDefault="00892831" w:rsidP="00DC3143">
      <w:pPr>
        <w:pStyle w:val="Lijstalinea"/>
        <w:numPr>
          <w:ilvl w:val="0"/>
          <w:numId w:val="5"/>
        </w:numPr>
        <w:spacing w:line="276" w:lineRule="auto"/>
        <w:rPr>
          <w:szCs w:val="24"/>
          <w:lang w:val="nl-NL"/>
        </w:rPr>
      </w:pPr>
      <w:r w:rsidRPr="00892831">
        <w:rPr>
          <w:szCs w:val="24"/>
          <w:lang w:val="nl-NL"/>
        </w:rPr>
        <w:t>Vastgesteld kon worden dat deze versie van de algemene voorwaarden klaarblijkelijk dateerde uit 2011 en op verschillende punten niet in overeenstemming was met de WEC</w:t>
      </w:r>
      <w:r w:rsidRPr="00892831">
        <w:rPr>
          <w:rStyle w:val="Voetnootmarkering"/>
          <w:rFonts w:asciiTheme="majorHAnsi" w:hAnsiTheme="majorHAnsi" w:cs="Times New Roman"/>
          <w:noProof w:val="0"/>
          <w:szCs w:val="22"/>
          <w:lang w:eastAsia="en-US"/>
        </w:rPr>
        <w:footnoteReference w:id="2"/>
      </w:r>
      <w:r w:rsidRPr="00892831">
        <w:rPr>
          <w:szCs w:val="24"/>
          <w:lang w:val="nl-NL"/>
        </w:rPr>
        <w:t xml:space="preserve">. </w:t>
      </w:r>
    </w:p>
    <w:p w:rsidR="00892831" w:rsidRPr="00892831" w:rsidRDefault="00892831" w:rsidP="00892831">
      <w:pPr>
        <w:keepLines/>
        <w:rPr>
          <w:szCs w:val="20"/>
          <w:lang w:val="nl-NL" w:eastAsia="fr-FR"/>
        </w:rPr>
      </w:pPr>
    </w:p>
    <w:p w:rsidR="00892831" w:rsidRPr="00892831" w:rsidRDefault="00892831" w:rsidP="00DC3143">
      <w:pPr>
        <w:pStyle w:val="Lijstalinea"/>
        <w:numPr>
          <w:ilvl w:val="0"/>
          <w:numId w:val="5"/>
        </w:numPr>
        <w:spacing w:line="276" w:lineRule="auto"/>
        <w:rPr>
          <w:szCs w:val="24"/>
          <w:lang w:val="nl-NL"/>
        </w:rPr>
      </w:pPr>
      <w:r w:rsidRPr="00892831">
        <w:rPr>
          <w:szCs w:val="24"/>
          <w:lang w:val="nl-NL"/>
        </w:rPr>
        <w:t>Bij het doorzoeken van de website van Dommel</w:t>
      </w:r>
      <w:r w:rsidRPr="00892831">
        <w:rPr>
          <w:rStyle w:val="Voetnootmarkering"/>
          <w:rFonts w:asciiTheme="majorHAnsi" w:hAnsiTheme="majorHAnsi" w:cs="Times New Roman"/>
          <w:noProof w:val="0"/>
          <w:szCs w:val="22"/>
          <w:lang w:eastAsia="en-US"/>
        </w:rPr>
        <w:footnoteReference w:id="3"/>
      </w:r>
      <w:r w:rsidRPr="00892831">
        <w:rPr>
          <w:szCs w:val="24"/>
          <w:lang w:val="nl-NL"/>
        </w:rPr>
        <w:t xml:space="preserve"> werden geen algemene voorwaarden gevonden zodat het onduidelijk was of de algemene voorwaarden van 2011 al dan niet de meest actuele versie was van de algemene voorwaarden van Dommel. </w:t>
      </w:r>
    </w:p>
    <w:p w:rsidR="00892831" w:rsidRPr="00892831" w:rsidRDefault="00892831" w:rsidP="00892831">
      <w:pPr>
        <w:keepLines/>
        <w:rPr>
          <w:szCs w:val="20"/>
          <w:lang w:val="nl-NL" w:eastAsia="fr-FR"/>
        </w:rPr>
      </w:pPr>
    </w:p>
    <w:p w:rsidR="00892831" w:rsidRPr="00892831" w:rsidRDefault="00892831" w:rsidP="00DC3143">
      <w:pPr>
        <w:pStyle w:val="Lijstalinea"/>
        <w:numPr>
          <w:ilvl w:val="0"/>
          <w:numId w:val="5"/>
        </w:numPr>
        <w:spacing w:line="276" w:lineRule="auto"/>
        <w:rPr>
          <w:szCs w:val="24"/>
          <w:lang w:val="nl-NL"/>
        </w:rPr>
      </w:pPr>
      <w:r w:rsidRPr="00892831">
        <w:rPr>
          <w:szCs w:val="24"/>
          <w:lang w:val="nl-NL"/>
        </w:rPr>
        <w:t xml:space="preserve">Op 13 mei 2013 stuurde het BIPT een e-mail naar Dommel met de vraag waar op de website van Dommel de algemene voorwaarden te vinden waren. </w:t>
      </w:r>
    </w:p>
    <w:p w:rsidR="00892831" w:rsidRPr="00892831" w:rsidRDefault="00892831" w:rsidP="00892831">
      <w:pPr>
        <w:keepLines/>
        <w:rPr>
          <w:szCs w:val="20"/>
          <w:lang w:val="nl-NL" w:eastAsia="fr-FR"/>
        </w:rPr>
      </w:pPr>
    </w:p>
    <w:p w:rsidR="00892831" w:rsidRPr="00892831" w:rsidRDefault="00892831" w:rsidP="00DC3143">
      <w:pPr>
        <w:pStyle w:val="Lijstalinea"/>
        <w:numPr>
          <w:ilvl w:val="0"/>
          <w:numId w:val="5"/>
        </w:numPr>
        <w:spacing w:line="276" w:lineRule="auto"/>
        <w:rPr>
          <w:szCs w:val="24"/>
          <w:lang w:val="nl-NL"/>
        </w:rPr>
      </w:pPr>
      <w:r w:rsidRPr="00892831">
        <w:rPr>
          <w:szCs w:val="24"/>
          <w:lang w:val="nl-NL"/>
        </w:rPr>
        <w:t xml:space="preserve">Op 22 mei 2013 meldde Dommel dat deze documenten op de volgende link konden gevonden worden : </w:t>
      </w:r>
      <w:hyperlink r:id="rId18" w:history="1">
        <w:r w:rsidRPr="00892831">
          <w:rPr>
            <w:szCs w:val="24"/>
            <w:lang w:val="nl-NL"/>
          </w:rPr>
          <w:t>http://www.dommel.com/nl/contracten/contract.pdf</w:t>
        </w:r>
      </w:hyperlink>
      <w:r w:rsidRPr="00892831">
        <w:rPr>
          <w:szCs w:val="24"/>
          <w:lang w:val="nl-NL"/>
        </w:rPr>
        <w:t>.</w:t>
      </w:r>
    </w:p>
    <w:p w:rsidR="00892831" w:rsidRPr="00892831" w:rsidRDefault="00892831" w:rsidP="00892831">
      <w:pPr>
        <w:pStyle w:val="Lijstalinea"/>
        <w:numPr>
          <w:ilvl w:val="0"/>
          <w:numId w:val="0"/>
        </w:numPr>
        <w:spacing w:line="276" w:lineRule="auto"/>
        <w:ind w:left="720"/>
        <w:rPr>
          <w:szCs w:val="24"/>
          <w:lang w:val="nl-NL"/>
        </w:rPr>
      </w:pPr>
    </w:p>
    <w:p w:rsidR="00892831" w:rsidRPr="00892831" w:rsidRDefault="00892831" w:rsidP="00DC3143">
      <w:pPr>
        <w:pStyle w:val="Lijstalinea"/>
        <w:numPr>
          <w:ilvl w:val="0"/>
          <w:numId w:val="5"/>
        </w:numPr>
        <w:spacing w:line="276" w:lineRule="auto"/>
        <w:rPr>
          <w:szCs w:val="24"/>
          <w:lang w:val="nl-NL"/>
        </w:rPr>
      </w:pPr>
      <w:r w:rsidRPr="00892831">
        <w:rPr>
          <w:szCs w:val="24"/>
          <w:lang w:val="nl-NL"/>
        </w:rPr>
        <w:lastRenderedPageBreak/>
        <w:t xml:space="preserve">Op deze link bevonden zich als enig document de algemene voorwaarden versie “v3.4 (30/11/2005)”. Deze versie dateert klaarblijkelijk uit 2005 en is evenmin in overeenstemming  met de bepalingen inzake consumentenbescherming van de WEC.  </w:t>
      </w:r>
    </w:p>
    <w:p w:rsidR="00892831" w:rsidRPr="00892831" w:rsidRDefault="00892831" w:rsidP="00892831">
      <w:pPr>
        <w:keepLines/>
        <w:rPr>
          <w:szCs w:val="20"/>
          <w:lang w:val="nl-NL" w:eastAsia="fr-FR"/>
        </w:rPr>
      </w:pPr>
    </w:p>
    <w:p w:rsidR="00892831" w:rsidRPr="00892831" w:rsidRDefault="00892831" w:rsidP="00DC3143">
      <w:pPr>
        <w:pStyle w:val="Lijstalinea"/>
        <w:numPr>
          <w:ilvl w:val="0"/>
          <w:numId w:val="5"/>
        </w:numPr>
        <w:spacing w:line="276" w:lineRule="auto"/>
        <w:rPr>
          <w:szCs w:val="24"/>
          <w:lang w:val="nl-NL"/>
        </w:rPr>
      </w:pPr>
      <w:r w:rsidRPr="00892831">
        <w:rPr>
          <w:szCs w:val="24"/>
          <w:lang w:val="nl-NL"/>
        </w:rPr>
        <w:t>Op 29 mei 2013 ontving het BIPT na een vraag in die zin aan Dommel de meest actuele versie van de algemene voorwaarden.</w:t>
      </w:r>
    </w:p>
    <w:p w:rsidR="00892831" w:rsidRPr="00892831" w:rsidRDefault="00892831" w:rsidP="00892831">
      <w:pPr>
        <w:keepLines/>
        <w:rPr>
          <w:szCs w:val="20"/>
          <w:lang w:val="nl-NL" w:eastAsia="fr-FR"/>
        </w:rPr>
      </w:pPr>
    </w:p>
    <w:p w:rsidR="00892831" w:rsidRPr="00892831" w:rsidRDefault="00892831" w:rsidP="00DC3143">
      <w:pPr>
        <w:pStyle w:val="Lijstalinea"/>
        <w:numPr>
          <w:ilvl w:val="0"/>
          <w:numId w:val="5"/>
        </w:numPr>
        <w:spacing w:line="276" w:lineRule="auto"/>
        <w:rPr>
          <w:szCs w:val="24"/>
          <w:lang w:val="nl-NL"/>
        </w:rPr>
      </w:pPr>
      <w:r w:rsidRPr="00892831">
        <w:rPr>
          <w:szCs w:val="24"/>
          <w:lang w:val="nl-NL"/>
        </w:rPr>
        <w:t>Deze versie heeft als kenmerk “v4.0 (02/04/2013)” en dateert van 2013. Aangenomen kan worden dat deze versie de meest actuele is. Desondanks kan vastgesteld worden dat verschillende passages niet in overeenstemming zijn met de artikelen 108 e.v., WEC</w:t>
      </w:r>
      <w:r w:rsidR="006E448A">
        <w:rPr>
          <w:rStyle w:val="Voetnootmarkering"/>
          <w:szCs w:val="24"/>
          <w:lang w:val="nl-NL"/>
        </w:rPr>
        <w:footnoteReference w:id="4"/>
      </w:r>
      <w:r w:rsidRPr="00892831">
        <w:rPr>
          <w:szCs w:val="24"/>
          <w:lang w:val="nl-NL"/>
        </w:rPr>
        <w:t xml:space="preserve">. </w:t>
      </w:r>
    </w:p>
    <w:p w:rsidR="00892831" w:rsidRPr="00892831" w:rsidRDefault="00892831" w:rsidP="00732B96">
      <w:pPr>
        <w:spacing w:line="276" w:lineRule="auto"/>
        <w:rPr>
          <w:rFonts w:asciiTheme="majorHAnsi" w:hAnsiTheme="majorHAnsi"/>
          <w:lang w:val="nl-NL"/>
        </w:rPr>
      </w:pPr>
    </w:p>
    <w:p w:rsidR="00BC74DA" w:rsidRPr="005744AC" w:rsidRDefault="00BC74DA" w:rsidP="00BC74DA">
      <w:pPr>
        <w:keepNext/>
        <w:keepLines/>
        <w:spacing w:before="240"/>
        <w:outlineLvl w:val="1"/>
        <w:rPr>
          <w:rFonts w:ascii="Calibri" w:hAnsi="Calibri" w:cs="Calibri"/>
          <w:b/>
          <w:bCs/>
          <w:color w:val="4F81BD"/>
          <w:sz w:val="24"/>
          <w:szCs w:val="24"/>
          <w:lang w:val="nl-NL" w:eastAsia="fr-FR"/>
        </w:rPr>
      </w:pPr>
      <w:bookmarkStart w:id="8" w:name="_Toc369854097"/>
      <w:bookmarkStart w:id="9" w:name="_Toc376423471"/>
      <w:r w:rsidRPr="005744AC">
        <w:rPr>
          <w:rFonts w:ascii="Calibri" w:hAnsi="Calibri" w:cs="Calibri"/>
          <w:b/>
          <w:bCs/>
          <w:color w:val="4F81BD"/>
          <w:sz w:val="24"/>
          <w:szCs w:val="24"/>
          <w:lang w:val="nl-NL" w:eastAsia="fr-FR"/>
        </w:rPr>
        <w:t xml:space="preserve">1.2.2. Aangaande een eerdere brief van het BIPT aan Dommel m.b.t. de overeenstemming van de algemene voorwaarden </w:t>
      </w:r>
      <w:r>
        <w:rPr>
          <w:rFonts w:ascii="Calibri" w:hAnsi="Calibri" w:cs="Calibri"/>
          <w:b/>
          <w:bCs/>
          <w:color w:val="4F81BD"/>
          <w:sz w:val="24"/>
          <w:szCs w:val="24"/>
          <w:lang w:val="nl-NL" w:eastAsia="fr-FR"/>
        </w:rPr>
        <w:t>van Dommel met artikel 108, WEC</w:t>
      </w:r>
      <w:bookmarkEnd w:id="8"/>
      <w:bookmarkEnd w:id="9"/>
      <w:r w:rsidRPr="005744AC">
        <w:rPr>
          <w:rFonts w:ascii="Calibri" w:hAnsi="Calibri" w:cs="Calibri"/>
          <w:b/>
          <w:bCs/>
          <w:color w:val="4F81BD"/>
          <w:sz w:val="24"/>
          <w:szCs w:val="24"/>
          <w:lang w:val="nl-NL" w:eastAsia="fr-FR"/>
        </w:rPr>
        <w:t xml:space="preserve"> </w:t>
      </w:r>
    </w:p>
    <w:p w:rsidR="00892831" w:rsidRPr="00BC74DA" w:rsidRDefault="00892831" w:rsidP="00732B96">
      <w:pPr>
        <w:spacing w:line="276" w:lineRule="auto"/>
        <w:rPr>
          <w:rFonts w:asciiTheme="majorHAnsi" w:hAnsiTheme="majorHAnsi"/>
          <w:lang w:val="nl-NL"/>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Op 23 december 2011 verstuurde het BIPT Dommel een brief waarin het BIPT het vermoeden opperde dat de algemene voorwaarden van Dommel niet in overeenstemming waren met het toenmalige artikel 108, WEC. </w:t>
      </w:r>
    </w:p>
    <w:p w:rsidR="00BC74DA" w:rsidRPr="00BC74DA" w:rsidRDefault="00BC74DA" w:rsidP="00BC74DA">
      <w:pPr>
        <w:keepLines/>
        <w:rPr>
          <w:szCs w:val="20"/>
          <w:lang w:val="nl-NL"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Op deze brief volgde een correspondentie tussen Dommel en de diensten van het BIPT en werd een vergadering belegd teneinde de algemene voorwaarden van Dommel aan te passen aan de vigerende wetgeving inzake consumentenbescherming. </w:t>
      </w:r>
    </w:p>
    <w:p w:rsidR="00BC74DA" w:rsidRPr="00BC74DA" w:rsidRDefault="00BC74DA" w:rsidP="00BC74DA">
      <w:pPr>
        <w:keepLines/>
        <w:rPr>
          <w:szCs w:val="20"/>
          <w:lang w:val="nl-NL"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Op 17 februari 2012  bezorgde Dommel het BIPT een draft van de nieuwe versie van de algemene voorwaarden. </w:t>
      </w:r>
      <w:r w:rsidR="005C7449">
        <w:rPr>
          <w:szCs w:val="24"/>
          <w:lang w:val="nl-NL"/>
        </w:rPr>
        <w:t>Deze draft werd door een medewerker van het BIPT becommentarieerd en gecorrigeerd.</w:t>
      </w:r>
    </w:p>
    <w:p w:rsidR="00BC74DA" w:rsidRPr="00BC74DA" w:rsidRDefault="00BC74DA" w:rsidP="00BC74DA">
      <w:pPr>
        <w:keepLines/>
        <w:rPr>
          <w:szCs w:val="20"/>
          <w:lang w:val="nl-NL"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Na bespreking hiervan bezorgde Dommel op 12 juni 2012 een tweede draft van de algemene voorwaarden aan het BIPT. </w:t>
      </w:r>
    </w:p>
    <w:p w:rsidR="00BC74DA" w:rsidRPr="00BC74DA" w:rsidRDefault="00BC74DA" w:rsidP="00BC74DA">
      <w:pPr>
        <w:keepLines/>
        <w:rPr>
          <w:szCs w:val="20"/>
          <w:lang w:val="nl-NL"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Niettemin heeft Dommel een aantal bepalingen die foutief waren in de algemene voorwaarden van 2005 en </w:t>
      </w:r>
      <w:r w:rsidR="002B5384">
        <w:rPr>
          <w:szCs w:val="24"/>
          <w:lang w:val="nl-NL"/>
        </w:rPr>
        <w:t xml:space="preserve">die </w:t>
      </w:r>
      <w:r w:rsidRPr="00BC74DA">
        <w:rPr>
          <w:szCs w:val="24"/>
          <w:lang w:val="nl-NL"/>
        </w:rPr>
        <w:t xml:space="preserve">gecorrigeerd werden in de draftversies, opnieuw in de foutieve vorm opgenomen in de laatste versie van de algemene voorwaarden. Hierop zal verder in </w:t>
      </w:r>
      <w:r w:rsidR="005C7449">
        <w:rPr>
          <w:szCs w:val="24"/>
          <w:lang w:val="nl-NL"/>
        </w:rPr>
        <w:t>dit besluit</w:t>
      </w:r>
      <w:r w:rsidRPr="00BC74DA">
        <w:rPr>
          <w:szCs w:val="24"/>
          <w:lang w:val="nl-NL"/>
        </w:rPr>
        <w:t xml:space="preserve"> nader worden ingegaan. </w:t>
      </w:r>
    </w:p>
    <w:p w:rsidR="00732B96" w:rsidRPr="00A27826" w:rsidRDefault="00732B96" w:rsidP="00074194">
      <w:pPr>
        <w:pStyle w:val="Lijstalinea"/>
        <w:numPr>
          <w:ilvl w:val="0"/>
          <w:numId w:val="0"/>
        </w:numPr>
        <w:ind w:left="720"/>
      </w:pPr>
    </w:p>
    <w:p w:rsidR="00BC74DA" w:rsidRPr="00463EF6" w:rsidRDefault="005C7449" w:rsidP="00BC74DA">
      <w:pPr>
        <w:keepNext/>
        <w:keepLines/>
        <w:spacing w:before="480"/>
        <w:outlineLvl w:val="0"/>
        <w:rPr>
          <w:rFonts w:ascii="Calibri" w:hAnsi="Calibri" w:cs="Calibri"/>
          <w:b/>
          <w:bCs/>
          <w:color w:val="365F91"/>
          <w:kern w:val="32"/>
          <w:sz w:val="26"/>
          <w:szCs w:val="26"/>
          <w:lang w:val="nl-NL" w:eastAsia="fr-FR"/>
        </w:rPr>
      </w:pPr>
      <w:bookmarkStart w:id="10" w:name="_Toc369854098"/>
      <w:bookmarkStart w:id="11" w:name="_Toc376423472"/>
      <w:r>
        <w:rPr>
          <w:rFonts w:ascii="Calibri" w:hAnsi="Calibri" w:cs="Calibri"/>
          <w:b/>
          <w:bCs/>
          <w:color w:val="365F91"/>
          <w:sz w:val="26"/>
          <w:szCs w:val="26"/>
          <w:lang w:val="nl-NL" w:eastAsia="fr-FR"/>
        </w:rPr>
        <w:t>2</w:t>
      </w:r>
      <w:r w:rsidR="00BC74DA" w:rsidRPr="00463EF6">
        <w:rPr>
          <w:rFonts w:ascii="Calibri" w:hAnsi="Calibri" w:cs="Calibri"/>
          <w:b/>
          <w:bCs/>
          <w:color w:val="365F91"/>
          <w:sz w:val="26"/>
          <w:szCs w:val="26"/>
          <w:lang w:val="nl-NL" w:eastAsia="fr-FR"/>
        </w:rPr>
        <w:t>.3. Juridische context</w:t>
      </w:r>
      <w:bookmarkEnd w:id="10"/>
      <w:bookmarkEnd w:id="11"/>
    </w:p>
    <w:p w:rsidR="00BC74DA" w:rsidRPr="00463EF6" w:rsidRDefault="005C7449" w:rsidP="00BC74DA">
      <w:pPr>
        <w:keepNext/>
        <w:keepLines/>
        <w:spacing w:before="240"/>
        <w:outlineLvl w:val="1"/>
        <w:rPr>
          <w:rFonts w:ascii="Calibri" w:hAnsi="Calibri" w:cs="Calibri"/>
          <w:b/>
          <w:bCs/>
          <w:color w:val="4F81BD"/>
          <w:lang w:val="nl-NL" w:eastAsia="fr-FR"/>
        </w:rPr>
      </w:pPr>
      <w:bookmarkStart w:id="12" w:name="_Toc369854099"/>
      <w:bookmarkStart w:id="13" w:name="_Toc376423473"/>
      <w:r>
        <w:rPr>
          <w:rFonts w:ascii="Calibri" w:hAnsi="Calibri" w:cs="Calibri"/>
          <w:b/>
          <w:bCs/>
          <w:color w:val="4F81BD"/>
          <w:sz w:val="24"/>
          <w:szCs w:val="24"/>
          <w:lang w:val="nl-NL" w:eastAsia="fr-FR"/>
        </w:rPr>
        <w:t>2</w:t>
      </w:r>
      <w:r w:rsidR="00BC74DA" w:rsidRPr="005744AC">
        <w:rPr>
          <w:rFonts w:ascii="Calibri" w:hAnsi="Calibri" w:cs="Calibri"/>
          <w:b/>
          <w:bCs/>
          <w:color w:val="4F81BD"/>
          <w:sz w:val="24"/>
          <w:szCs w:val="24"/>
          <w:lang w:val="nl-NL" w:eastAsia="fr-FR"/>
        </w:rPr>
        <w:t>.3.1. Algemeen</w:t>
      </w:r>
      <w:bookmarkEnd w:id="12"/>
      <w:bookmarkEnd w:id="13"/>
    </w:p>
    <w:p w:rsidR="00BC74DA" w:rsidRPr="00275D03" w:rsidRDefault="00BC74DA" w:rsidP="00BC74DA">
      <w:pPr>
        <w:keepLines/>
        <w:rPr>
          <w:szCs w:val="20"/>
          <w:lang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Krachtens artikel 14, § 1, 3°, van de </w:t>
      </w:r>
      <w:r w:rsidR="002B5384">
        <w:rPr>
          <w:szCs w:val="24"/>
          <w:lang w:val="nl-NL"/>
        </w:rPr>
        <w:t xml:space="preserve">BIPT-wet </w:t>
      </w:r>
      <w:r w:rsidRPr="00BC74DA">
        <w:rPr>
          <w:szCs w:val="24"/>
          <w:lang w:val="nl-NL"/>
        </w:rPr>
        <w:t>houdt het BIPT toezicht op de naleving van de WEC.</w:t>
      </w:r>
    </w:p>
    <w:p w:rsidR="00BC74DA" w:rsidRPr="00275D03" w:rsidRDefault="00BC74DA" w:rsidP="00BC74DA">
      <w:pPr>
        <w:keepLines/>
        <w:rPr>
          <w:szCs w:val="20"/>
          <w:lang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lastRenderedPageBreak/>
        <w:t xml:space="preserve">Artikel 8, 2°, WEC, legt het BIPT de taak op om de consument een hoog niveau van bescherming te waarborgen bij zijn relaties met leveranciers van elektronische communicatiediensten. </w:t>
      </w:r>
    </w:p>
    <w:p w:rsidR="00BC74DA" w:rsidRPr="00275D03" w:rsidRDefault="00BC74DA" w:rsidP="00BC74DA">
      <w:pPr>
        <w:keepLines/>
        <w:rPr>
          <w:szCs w:val="20"/>
          <w:lang w:eastAsia="fr-FR"/>
        </w:rPr>
      </w:pPr>
    </w:p>
    <w:p w:rsidR="00BC74DA" w:rsidRPr="005744AC" w:rsidRDefault="005C7449" w:rsidP="00BC74DA">
      <w:pPr>
        <w:keepNext/>
        <w:keepLines/>
        <w:spacing w:before="240"/>
        <w:outlineLvl w:val="1"/>
        <w:rPr>
          <w:rFonts w:ascii="Calibri" w:hAnsi="Calibri" w:cs="Calibri"/>
          <w:b/>
          <w:bCs/>
          <w:color w:val="4F81BD"/>
          <w:sz w:val="24"/>
          <w:szCs w:val="24"/>
          <w:lang w:val="nl-NL" w:eastAsia="fr-FR"/>
        </w:rPr>
      </w:pPr>
      <w:bookmarkStart w:id="14" w:name="_Toc369854100"/>
      <w:bookmarkStart w:id="15" w:name="_Toc376423474"/>
      <w:r>
        <w:rPr>
          <w:rFonts w:ascii="Calibri" w:hAnsi="Calibri" w:cs="Calibri"/>
          <w:b/>
          <w:bCs/>
          <w:color w:val="4F81BD"/>
          <w:sz w:val="24"/>
          <w:szCs w:val="24"/>
          <w:lang w:val="nl-NL" w:eastAsia="fr-FR"/>
        </w:rPr>
        <w:t>2</w:t>
      </w:r>
      <w:r w:rsidR="00BC74DA" w:rsidRPr="005744AC">
        <w:rPr>
          <w:rFonts w:ascii="Calibri" w:hAnsi="Calibri" w:cs="Calibri"/>
          <w:b/>
          <w:bCs/>
          <w:color w:val="4F81BD"/>
          <w:sz w:val="24"/>
          <w:szCs w:val="24"/>
          <w:lang w:val="nl-NL" w:eastAsia="fr-FR"/>
        </w:rPr>
        <w:t>.3.2. Ten gronde</w:t>
      </w:r>
      <w:bookmarkEnd w:id="14"/>
      <w:bookmarkEnd w:id="15"/>
    </w:p>
    <w:p w:rsidR="00BC74DA" w:rsidRPr="00463EF6" w:rsidRDefault="005C7449" w:rsidP="00BC74DA">
      <w:pPr>
        <w:keepNext/>
        <w:keepLines/>
        <w:spacing w:before="120"/>
        <w:outlineLvl w:val="2"/>
        <w:rPr>
          <w:rFonts w:ascii="Calibri" w:hAnsi="Calibri" w:cs="Calibri"/>
          <w:b/>
          <w:bCs/>
          <w:color w:val="8DB3E2"/>
          <w:lang w:eastAsia="fr-FR"/>
        </w:rPr>
      </w:pPr>
      <w:bookmarkStart w:id="16" w:name="_Toc369854101"/>
      <w:bookmarkStart w:id="17" w:name="_Toc376423475"/>
      <w:r>
        <w:rPr>
          <w:rFonts w:ascii="Calibri" w:hAnsi="Calibri" w:cs="Calibri"/>
          <w:b/>
          <w:bCs/>
          <w:color w:val="8DB3E2"/>
          <w:lang w:eastAsia="fr-FR"/>
        </w:rPr>
        <w:t>2</w:t>
      </w:r>
      <w:r w:rsidR="00BC74DA" w:rsidRPr="00463EF6">
        <w:rPr>
          <w:rFonts w:ascii="Calibri" w:hAnsi="Calibri" w:cs="Calibri"/>
          <w:b/>
          <w:bCs/>
          <w:color w:val="8DB3E2"/>
          <w:lang w:eastAsia="fr-FR"/>
        </w:rPr>
        <w:t>.3.2.1. Artikel 108 WEC</w:t>
      </w:r>
      <w:bookmarkEnd w:id="16"/>
      <w:bookmarkEnd w:id="17"/>
    </w:p>
    <w:p w:rsidR="00BC74DA" w:rsidRPr="00275D03" w:rsidRDefault="00BC74DA" w:rsidP="00BC74DA">
      <w:pPr>
        <w:keepLines/>
        <w:rPr>
          <w:szCs w:val="20"/>
          <w:highlight w:val="yellow"/>
          <w:lang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Artikel 108, WEC, bepaalt : </w:t>
      </w:r>
    </w:p>
    <w:p w:rsidR="00BC74DA" w:rsidRPr="00275D03" w:rsidRDefault="00BC74DA" w:rsidP="00BC74DA">
      <w:pPr>
        <w:keepLines/>
        <w:rPr>
          <w:szCs w:val="20"/>
          <w:highlight w:val="yellow"/>
          <w:lang w:eastAsia="fr-FR"/>
        </w:rPr>
      </w:pPr>
    </w:p>
    <w:p w:rsidR="00BC74DA" w:rsidRPr="00275D03" w:rsidRDefault="00BC74DA" w:rsidP="00BC74DA">
      <w:pPr>
        <w:keepLines/>
        <w:ind w:left="709"/>
        <w:rPr>
          <w:rFonts w:cs="Bookman-Light"/>
          <w:i/>
        </w:rPr>
      </w:pPr>
      <w:r w:rsidRPr="00275D03">
        <w:rPr>
          <w:rFonts w:cs="Bookman-Light"/>
          <w:i/>
        </w:rPr>
        <w:t>Art. 108.</w:t>
      </w:r>
      <w:r w:rsidR="002B5384">
        <w:rPr>
          <w:rFonts w:cs="Bookman-Light"/>
          <w:i/>
        </w:rPr>
        <w:t xml:space="preserve"> </w:t>
      </w:r>
      <w:r w:rsidRPr="00275D03">
        <w:rPr>
          <w:rFonts w:cs="Bookman-Light"/>
          <w:i/>
        </w:rPr>
        <w:t>§ 1. Ieder contract dat gesloten wordt tussen een abonnee en een operator  tot het leveren van een aansluiting tot het openbare elektronische-communicatienetwerk of tot het leveren van openbare elektronische-communicatiediensten bevat op zijn minst de volgende inlichtingen  in een heldere, gedetailleerde en gemakkelijk toegankelijke vorm :</w:t>
      </w:r>
    </w:p>
    <w:p w:rsidR="00BC74DA" w:rsidRPr="00275D03" w:rsidRDefault="00BC74DA" w:rsidP="00BC74DA">
      <w:pPr>
        <w:keepLines/>
        <w:ind w:firstLine="709"/>
        <w:rPr>
          <w:rFonts w:cs="Bookman-Light"/>
          <w:i/>
        </w:rPr>
      </w:pPr>
      <w:r w:rsidRPr="00275D03">
        <w:rPr>
          <w:rFonts w:cs="Bookman-Light"/>
          <w:i/>
        </w:rPr>
        <w:t>(…)</w:t>
      </w:r>
    </w:p>
    <w:p w:rsidR="00BC74DA" w:rsidRPr="00275D03" w:rsidRDefault="00BC74DA" w:rsidP="00BC74DA">
      <w:pPr>
        <w:keepLines/>
        <w:ind w:firstLine="709"/>
        <w:rPr>
          <w:rFonts w:cs="Bookman-Light"/>
          <w:i/>
        </w:rPr>
      </w:pPr>
      <w:r w:rsidRPr="00275D03">
        <w:rPr>
          <w:rFonts w:cs="Bookman-Light"/>
          <w:i/>
        </w:rPr>
        <w:t>b) de verstrekte diensten met name :</w:t>
      </w:r>
    </w:p>
    <w:p w:rsidR="00BC74DA" w:rsidRPr="00275D03" w:rsidRDefault="00BC74DA" w:rsidP="00BC74DA">
      <w:pPr>
        <w:keepLines/>
        <w:ind w:firstLine="709"/>
        <w:rPr>
          <w:rFonts w:cs="Bookman-Light"/>
          <w:i/>
        </w:rPr>
      </w:pPr>
      <w:r w:rsidRPr="00275D03">
        <w:rPr>
          <w:rFonts w:cs="Bookman-Light"/>
          <w:i/>
        </w:rPr>
        <w:t>(…)</w:t>
      </w:r>
    </w:p>
    <w:p w:rsidR="00BC74DA" w:rsidRPr="00275D03" w:rsidRDefault="00BC74DA" w:rsidP="00BC74DA">
      <w:pPr>
        <w:keepLines/>
        <w:ind w:left="709"/>
        <w:rPr>
          <w:rFonts w:cs="Bookman-Light"/>
          <w:i/>
        </w:rPr>
      </w:pPr>
      <w:r w:rsidRPr="00275D03">
        <w:rPr>
          <w:rFonts w:cs="Bookman-Light"/>
          <w:i/>
        </w:rPr>
        <w:t>- de minimumkwaliteitsniveaus van de geboden diensten, te weten de wachttijd bij eerste aansluiting en, in voorkomend geval, andere parameters voor de kwaliteit van de dienst, zoals gedefinieerd door het Instituut;</w:t>
      </w:r>
    </w:p>
    <w:p w:rsidR="00BC74DA" w:rsidRPr="00275D03" w:rsidRDefault="00BC74DA" w:rsidP="00BC74DA">
      <w:pPr>
        <w:keepLines/>
        <w:ind w:firstLine="709"/>
        <w:rPr>
          <w:rFonts w:cs="Bookman-Light"/>
          <w:i/>
        </w:rPr>
      </w:pPr>
      <w:r w:rsidRPr="00275D03">
        <w:rPr>
          <w:rFonts w:cs="Bookman-Light"/>
          <w:i/>
        </w:rPr>
        <w:t>(…)</w:t>
      </w:r>
    </w:p>
    <w:p w:rsidR="00BC74DA" w:rsidRPr="00275D03" w:rsidRDefault="00BC74DA" w:rsidP="00BC74DA">
      <w:pPr>
        <w:keepLines/>
        <w:ind w:left="709"/>
        <w:rPr>
          <w:rFonts w:cs="Bookman-Light"/>
          <w:i/>
        </w:rPr>
      </w:pPr>
      <w:r w:rsidRPr="00275D03">
        <w:rPr>
          <w:rFonts w:cs="Bookman-Light"/>
          <w:i/>
        </w:rPr>
        <w:t xml:space="preserve">- het type van de aangeboden onderhoudsdiensten en de verstrekte </w:t>
      </w:r>
      <w:proofErr w:type="spellStart"/>
      <w:r w:rsidRPr="00275D03">
        <w:rPr>
          <w:rFonts w:cs="Bookman-Light"/>
          <w:i/>
        </w:rPr>
        <w:t>klantondersteuningsdiensten</w:t>
      </w:r>
      <w:proofErr w:type="spellEnd"/>
      <w:r w:rsidRPr="00275D03">
        <w:rPr>
          <w:rFonts w:cs="Bookman-Light"/>
          <w:i/>
        </w:rPr>
        <w:t xml:space="preserve"> alsmede de wijzen waarop met deze diensten contact kan worden opgenomen;</w:t>
      </w:r>
    </w:p>
    <w:p w:rsidR="00BC74DA" w:rsidRPr="00275D03" w:rsidRDefault="00BC74DA" w:rsidP="00BC74DA">
      <w:pPr>
        <w:keepLines/>
        <w:ind w:firstLine="709"/>
        <w:rPr>
          <w:rFonts w:cs="Bookman-Light"/>
          <w:i/>
        </w:rPr>
      </w:pPr>
      <w:r w:rsidRPr="00275D03">
        <w:rPr>
          <w:rFonts w:cs="Bookman-Light"/>
          <w:i/>
        </w:rPr>
        <w:t>(…)</w:t>
      </w:r>
    </w:p>
    <w:p w:rsidR="00BC74DA" w:rsidRPr="00275D03" w:rsidRDefault="00BC74DA" w:rsidP="00BC74DA">
      <w:pPr>
        <w:keepLines/>
        <w:ind w:left="709"/>
        <w:rPr>
          <w:rFonts w:cs="Bookman-Light"/>
          <w:i/>
        </w:rPr>
      </w:pPr>
      <w:r w:rsidRPr="00275D03">
        <w:rPr>
          <w:rFonts w:cs="Bookman-Light"/>
          <w:i/>
        </w:rPr>
        <w:t>d) het detail van de toegepaste tarieven en de middelen voor het verkrijgen van actuele informatie over alle geldende tarieven en onderhoudskosten, aangeboden betalingsmethoden en eventuele verschillen qua kosten als gevolg van de betalingsmethode;</w:t>
      </w:r>
    </w:p>
    <w:p w:rsidR="00BC74DA" w:rsidRPr="00275D03" w:rsidRDefault="00BC74DA" w:rsidP="00BC74DA">
      <w:pPr>
        <w:keepLines/>
        <w:ind w:left="709"/>
        <w:rPr>
          <w:rFonts w:cs="Bookman-Light"/>
          <w:i/>
        </w:rPr>
      </w:pPr>
      <w:r w:rsidRPr="00275D03">
        <w:rPr>
          <w:rFonts w:cs="Bookman-Light"/>
          <w:i/>
        </w:rPr>
        <w:t>e) de looptijd van het contract, de voorwaarden voor verlenging of beëindiging van de diensten en van het contract inclusief :</w:t>
      </w:r>
    </w:p>
    <w:p w:rsidR="00BC74DA" w:rsidRPr="00275D03" w:rsidRDefault="00BC74DA" w:rsidP="00BC74DA">
      <w:pPr>
        <w:keepLines/>
        <w:ind w:firstLine="709"/>
        <w:rPr>
          <w:rFonts w:cs="Bookman-Light"/>
          <w:i/>
        </w:rPr>
      </w:pPr>
      <w:r w:rsidRPr="00275D03">
        <w:rPr>
          <w:rFonts w:cs="Bookman-Light"/>
          <w:i/>
        </w:rPr>
        <w:t>(…)</w:t>
      </w:r>
    </w:p>
    <w:p w:rsidR="00BC74DA" w:rsidRDefault="00BC74DA" w:rsidP="00BC74DA">
      <w:pPr>
        <w:keepLines/>
        <w:ind w:left="709"/>
        <w:rPr>
          <w:rFonts w:cs="Bookman-Light"/>
          <w:i/>
        </w:rPr>
      </w:pPr>
      <w:r w:rsidRPr="00275D03">
        <w:rPr>
          <w:rFonts w:cs="Bookman-Light"/>
          <w:i/>
        </w:rPr>
        <w:t>- in voorkomend geval, alle kosten die bij de beëindiging van het contract verschuldigd zijn, inclusief elke terugvordering van kosten met betrekking tot eindapparatuur; indien de verkrijging van eindapparatuur gebonden is aan het inschrijven op een abonnement van bepaalde duur, wordt er een aflossingstabel toegevoegd, waarin de restwaarde van het eindapparaat gedurende elke maand van de looptijd van het contract van bepaalde duur wordt gepreciseerd. Voor het berekenen van de maandelijkse waardevermindering van de eindapparatuur wordt een lineaire afschrijvingsmethode gebruikt; de aflossingstabel met de restwaarde van het eindapparaat kan een maximale afschrijvingslooptijd van vierentwintig maanden niet overschrijden</w:t>
      </w:r>
    </w:p>
    <w:p w:rsidR="00BC74DA" w:rsidRPr="00275D03" w:rsidRDefault="00BC74DA" w:rsidP="00BC74DA">
      <w:pPr>
        <w:keepLines/>
        <w:ind w:left="709"/>
        <w:rPr>
          <w:rFonts w:cs="Bookman-Light"/>
          <w:i/>
        </w:rPr>
      </w:pPr>
      <w:r w:rsidRPr="00275D03">
        <w:rPr>
          <w:rFonts w:cs="Bookman-Light"/>
          <w:i/>
        </w:rPr>
        <w:t>f) de voorwaarden en de nadere regels voor schadevergoeding en terugbetaling die eventueel van toepassing zijn ingeval niet aan de elementen vermeld in b) wordt voldaan;</w:t>
      </w:r>
    </w:p>
    <w:p w:rsidR="00BC74DA" w:rsidRPr="00275D03" w:rsidRDefault="00BC74DA" w:rsidP="00BC74DA">
      <w:pPr>
        <w:keepLines/>
        <w:ind w:firstLine="709"/>
        <w:rPr>
          <w:rFonts w:cs="Bookman-Light"/>
          <w:i/>
        </w:rPr>
      </w:pPr>
      <w:r w:rsidRPr="00275D03">
        <w:rPr>
          <w:rFonts w:cs="Bookman-Light"/>
          <w:i/>
        </w:rPr>
        <w:t>(…)</w:t>
      </w:r>
    </w:p>
    <w:p w:rsidR="00BC74DA" w:rsidRPr="00275D03" w:rsidRDefault="00BC74DA" w:rsidP="00BC74DA">
      <w:pPr>
        <w:keepLines/>
        <w:ind w:left="709"/>
        <w:rPr>
          <w:rFonts w:cs="Bookman-Light"/>
          <w:i/>
        </w:rPr>
      </w:pPr>
      <w:r w:rsidRPr="00275D03">
        <w:rPr>
          <w:rFonts w:cs="Bookman-Light"/>
          <w:i/>
        </w:rPr>
        <w:t>Onverminderd de toepassing van paragraaf 2, wordt het in deze paragraaf bedoelde contract bijgewerkt, telkens wanneer er wijzigingen aangebracht worden aan de in het eerste lid vermelde inlichtingen.</w:t>
      </w:r>
    </w:p>
    <w:p w:rsidR="00BC74DA" w:rsidRPr="00275D03" w:rsidRDefault="00BC74DA" w:rsidP="00BC74DA">
      <w:pPr>
        <w:keepLines/>
        <w:ind w:firstLine="709"/>
        <w:rPr>
          <w:rFonts w:cs="Bookman-Light"/>
          <w:i/>
        </w:rPr>
      </w:pPr>
      <w:r w:rsidRPr="00275D03">
        <w:rPr>
          <w:rFonts w:cs="Bookman-Light"/>
          <w:i/>
        </w:rPr>
        <w:t>(…)</w:t>
      </w:r>
    </w:p>
    <w:p w:rsidR="00BC74DA" w:rsidRPr="00275D03" w:rsidRDefault="00BC74DA" w:rsidP="00BC74DA">
      <w:pPr>
        <w:keepLines/>
        <w:ind w:left="709"/>
        <w:rPr>
          <w:rFonts w:cs="Bookman-Light"/>
          <w:i/>
        </w:rPr>
      </w:pPr>
      <w:r w:rsidRPr="00275D03">
        <w:rPr>
          <w:rFonts w:cs="Bookman-Light"/>
          <w:i/>
        </w:rPr>
        <w:lastRenderedPageBreak/>
        <w:t>§ 2. Onverminderd de toepassing van hoofdstuk 3, afdeling 6 van de wet van 6 april 2010 betreffende marktpraktijken en consumentenbescherming, hebben de abonnees het recht om bij kennisgeving van voorgestelde wijzigingen aan een beding van het afgesloten contract ]1 het contract zonder boete op te zeggen. De abonnees worden tijdig en ten minste één maand vooraf naar behoren individueel ter kennis gesteld van dergelijke wijzigingen en worden tegelijkertijd op de hoogte gesteld van hun recht om zonder boete het contract op te zeggen uiterlijk de laatste dag van de maand die volgt op de inwerkingtreding van de wijzigingen indien zij de nieuwe voorwaarden niet aanvaarden.</w:t>
      </w:r>
    </w:p>
    <w:p w:rsidR="00BC74DA" w:rsidRPr="00275D03" w:rsidRDefault="00BC74DA" w:rsidP="00BC74DA">
      <w:pPr>
        <w:keepLines/>
        <w:ind w:left="709"/>
        <w:rPr>
          <w:rFonts w:cs="Bookman-Light"/>
          <w:i/>
        </w:rPr>
      </w:pPr>
      <w:r w:rsidRPr="00275D03">
        <w:rPr>
          <w:rFonts w:cs="Bookman-Light"/>
          <w:i/>
        </w:rPr>
        <w:t>In geval van een tariefverhoging heeft de abonnee het recht om zonder boete het contract op te zeggen uiterlijk de laatste dag van de maand die volgt op de ontvangst van de eerste factuur na de inwerkingtreding van de wijzigingen.</w:t>
      </w:r>
    </w:p>
    <w:p w:rsidR="00BC74DA" w:rsidRPr="00275D03" w:rsidRDefault="00BC74DA" w:rsidP="00BC74DA">
      <w:pPr>
        <w:keepLines/>
        <w:rPr>
          <w:szCs w:val="20"/>
          <w:lang w:eastAsia="fr-FR"/>
        </w:rPr>
      </w:pPr>
    </w:p>
    <w:p w:rsidR="00BC74DA" w:rsidRPr="00463EF6" w:rsidRDefault="005C7449" w:rsidP="00BC74DA">
      <w:pPr>
        <w:keepNext/>
        <w:keepLines/>
        <w:spacing w:before="120"/>
        <w:outlineLvl w:val="2"/>
        <w:rPr>
          <w:rFonts w:ascii="Calibri" w:hAnsi="Calibri" w:cs="Calibri"/>
          <w:b/>
          <w:bCs/>
          <w:color w:val="8DB3E2"/>
          <w:lang w:eastAsia="fr-FR"/>
        </w:rPr>
      </w:pPr>
      <w:bookmarkStart w:id="18" w:name="_Toc369854102"/>
      <w:bookmarkStart w:id="19" w:name="_Toc376423476"/>
      <w:r>
        <w:rPr>
          <w:rFonts w:ascii="Calibri" w:hAnsi="Calibri" w:cs="Calibri"/>
          <w:b/>
          <w:bCs/>
          <w:color w:val="8DB3E2"/>
          <w:lang w:eastAsia="fr-FR"/>
        </w:rPr>
        <w:t>2</w:t>
      </w:r>
      <w:r w:rsidR="00BC74DA" w:rsidRPr="00463EF6">
        <w:rPr>
          <w:rFonts w:ascii="Calibri" w:hAnsi="Calibri" w:cs="Calibri"/>
          <w:b/>
          <w:bCs/>
          <w:color w:val="8DB3E2"/>
          <w:lang w:eastAsia="fr-FR"/>
        </w:rPr>
        <w:t>.3.2.2. Artikel 110, § 1, WEC</w:t>
      </w:r>
      <w:bookmarkEnd w:id="18"/>
      <w:bookmarkEnd w:id="19"/>
    </w:p>
    <w:p w:rsidR="00BC74DA" w:rsidRPr="00275D03" w:rsidRDefault="00BC74DA" w:rsidP="00BC74DA">
      <w:pPr>
        <w:keepLines/>
        <w:rPr>
          <w:szCs w:val="20"/>
          <w:lang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Artikel 110, § 1, WEC bepaalt : </w:t>
      </w:r>
    </w:p>
    <w:p w:rsidR="00BC74DA" w:rsidRPr="00275D03" w:rsidRDefault="00BC74DA" w:rsidP="00BC74DA">
      <w:pPr>
        <w:keepLines/>
        <w:rPr>
          <w:szCs w:val="20"/>
          <w:lang w:eastAsia="fr-FR"/>
        </w:rPr>
      </w:pPr>
    </w:p>
    <w:p w:rsidR="00BC74DA" w:rsidRPr="00275D03" w:rsidRDefault="00BC74DA" w:rsidP="005C7449">
      <w:pPr>
        <w:keepLines/>
        <w:ind w:left="709"/>
        <w:rPr>
          <w:rFonts w:cs="Bookman-Light"/>
          <w:i/>
        </w:rPr>
      </w:pPr>
      <w:r w:rsidRPr="00275D03">
        <w:rPr>
          <w:rFonts w:cs="Bookman-Light"/>
          <w:i/>
        </w:rPr>
        <w:t>Art. 110.</w:t>
      </w:r>
      <w:r w:rsidR="002B5384">
        <w:rPr>
          <w:rFonts w:cs="Bookman-Light"/>
          <w:i/>
        </w:rPr>
        <w:t xml:space="preserve"> </w:t>
      </w:r>
      <w:r w:rsidRPr="00275D03">
        <w:rPr>
          <w:rFonts w:cs="Bookman-Light"/>
          <w:i/>
        </w:rPr>
        <w:t>§ 1. De operatoren verstrekken de abonnees met een maximum van vijf nummers met uitzondering van de nummers voor de M2M-diensten gratis een gespecificeerde basisfactuur waarvan het niveau van specificatie door de minister wordt vastgesteld na advies van het Instituut.  Deze factuur wordt ten minste één keer om de drie maanden aan de abonnees verstrekt, zonder dat aan de abonnee daarvoor extra kosten kunnen worden aangerekend.</w:t>
      </w:r>
    </w:p>
    <w:p w:rsidR="00BC74DA" w:rsidRPr="00275D03" w:rsidRDefault="00BC74DA" w:rsidP="00BC74DA">
      <w:pPr>
        <w:keepLines/>
        <w:rPr>
          <w:szCs w:val="20"/>
          <w:lang w:eastAsia="fr-FR"/>
        </w:rPr>
      </w:pPr>
    </w:p>
    <w:p w:rsidR="00BC74DA" w:rsidRPr="00463EF6" w:rsidRDefault="005C7449" w:rsidP="00BC74DA">
      <w:pPr>
        <w:keepNext/>
        <w:keepLines/>
        <w:spacing w:before="120"/>
        <w:outlineLvl w:val="2"/>
        <w:rPr>
          <w:rFonts w:ascii="Calibri" w:hAnsi="Calibri" w:cs="Calibri"/>
          <w:b/>
          <w:bCs/>
          <w:color w:val="8DB3E2"/>
          <w:lang w:eastAsia="fr-FR"/>
        </w:rPr>
      </w:pPr>
      <w:bookmarkStart w:id="20" w:name="_Toc369854103"/>
      <w:bookmarkStart w:id="21" w:name="_Toc376423477"/>
      <w:r>
        <w:rPr>
          <w:rFonts w:ascii="Calibri" w:hAnsi="Calibri" w:cs="Calibri"/>
          <w:b/>
          <w:bCs/>
          <w:color w:val="8DB3E2"/>
          <w:lang w:eastAsia="fr-FR"/>
        </w:rPr>
        <w:t>2</w:t>
      </w:r>
      <w:r w:rsidR="00BC74DA" w:rsidRPr="00463EF6">
        <w:rPr>
          <w:rFonts w:ascii="Calibri" w:hAnsi="Calibri" w:cs="Calibri"/>
          <w:b/>
          <w:bCs/>
          <w:color w:val="8DB3E2"/>
          <w:lang w:eastAsia="fr-FR"/>
        </w:rPr>
        <w:t>.3.2.3. Artikel 111/3, WEC</w:t>
      </w:r>
      <w:bookmarkEnd w:id="20"/>
      <w:bookmarkEnd w:id="21"/>
    </w:p>
    <w:p w:rsidR="00BC74DA" w:rsidRPr="00275D03" w:rsidRDefault="00BC74DA" w:rsidP="00BC74DA">
      <w:pPr>
        <w:keepLines/>
        <w:rPr>
          <w:szCs w:val="20"/>
          <w:lang w:eastAsia="fr-FR"/>
        </w:rPr>
      </w:pPr>
    </w:p>
    <w:p w:rsidR="00BC74DA" w:rsidRPr="00BC74DA" w:rsidRDefault="00BC74DA" w:rsidP="00DC3143">
      <w:pPr>
        <w:pStyle w:val="Lijstalinea"/>
        <w:numPr>
          <w:ilvl w:val="0"/>
          <w:numId w:val="5"/>
        </w:numPr>
        <w:spacing w:line="276" w:lineRule="auto"/>
        <w:rPr>
          <w:szCs w:val="24"/>
          <w:lang w:val="nl-NL"/>
        </w:rPr>
      </w:pPr>
      <w:r w:rsidRPr="00BC74DA">
        <w:rPr>
          <w:szCs w:val="24"/>
          <w:lang w:val="nl-NL"/>
        </w:rPr>
        <w:t xml:space="preserve">Artikel 111/3, WEC bepaalt : </w:t>
      </w:r>
    </w:p>
    <w:p w:rsidR="00BC74DA" w:rsidRPr="00275D03" w:rsidRDefault="00BC74DA" w:rsidP="00BC74DA">
      <w:pPr>
        <w:keepLines/>
        <w:rPr>
          <w:szCs w:val="20"/>
          <w:lang w:eastAsia="fr-FR"/>
        </w:rPr>
      </w:pPr>
    </w:p>
    <w:p w:rsidR="00BC74DA" w:rsidRPr="00275D03" w:rsidRDefault="00BC74DA" w:rsidP="00BC74DA">
      <w:pPr>
        <w:keepLines/>
        <w:ind w:left="709"/>
        <w:rPr>
          <w:rFonts w:cs="Bookman-Light"/>
          <w:i/>
        </w:rPr>
      </w:pPr>
      <w:r w:rsidRPr="00275D03">
        <w:rPr>
          <w:rFonts w:cs="Bookman-Light"/>
          <w:i/>
        </w:rPr>
        <w:t>Art. 111/3. § 1. De opzeg van het in artikel 108, § 1 bedoelde contract door de abonnee kan door alle schriftelijke middelen en zonder opgaaf van redenen gebeuren. Het contract wordt beëindigd op het moment gekozen door de abonnee, zelfs onmiddellijk. De operator sluit zo spoedig als technisch mogelijk de betrokken dienst af en stuurt een schriftelijke bevestiging ervan naar de abonnee.</w:t>
      </w:r>
    </w:p>
    <w:p w:rsidR="00BC74DA" w:rsidRPr="00275D03" w:rsidRDefault="00BC74DA" w:rsidP="00BC74DA">
      <w:pPr>
        <w:keepLines/>
        <w:ind w:left="709"/>
        <w:rPr>
          <w:rFonts w:cs="Bookman-Light"/>
          <w:i/>
        </w:rPr>
      </w:pPr>
      <w:r w:rsidRPr="00275D03">
        <w:rPr>
          <w:rFonts w:cs="Bookman-Light"/>
          <w:i/>
        </w:rPr>
        <w:t>§ 2. Zijn, onverminderd de toepassing van hoofdstuk III, Afdeling 6 van de wet van 6 april 2010 betreffende marktpraktijken en consumentenbescherming, van rechtswege nietig, de bedingen en voorwaarden of de combinaties van bedingen en voorwaarden in verband met de contractbeëindiging in de overeenkomsten gesloten tussen een operator en een abonnee, die ertoe strekken de verandering van operator of het gebruik van de faciliteit bedoeld in artikel 11, § 7, onmogelijk te maken of te ontmoedigen.</w:t>
      </w:r>
    </w:p>
    <w:p w:rsidR="00BC74DA" w:rsidRPr="00275D03" w:rsidRDefault="00BC74DA" w:rsidP="00BC74DA">
      <w:pPr>
        <w:keepLines/>
        <w:ind w:left="709"/>
        <w:rPr>
          <w:rFonts w:cs="Bookman-Light"/>
          <w:i/>
        </w:rPr>
      </w:pPr>
      <w:r w:rsidRPr="00275D03">
        <w:rPr>
          <w:rFonts w:cs="Bookman-Light"/>
          <w:i/>
        </w:rPr>
        <w:t>De overeenkomst blijft bindend voor de partijen indien ze zonder de nietige bedingen of voorwaarden kan voortbestaan.</w:t>
      </w:r>
    </w:p>
    <w:p w:rsidR="00BC74DA" w:rsidRPr="00275D03" w:rsidRDefault="00BC74DA" w:rsidP="00BC74DA">
      <w:pPr>
        <w:keepLines/>
        <w:ind w:left="709"/>
        <w:rPr>
          <w:rFonts w:cs="Bookman-Light"/>
          <w:i/>
        </w:rPr>
      </w:pPr>
      <w:r w:rsidRPr="00275D03">
        <w:rPr>
          <w:rFonts w:cs="Bookman-Light"/>
          <w:i/>
        </w:rPr>
        <w:t>§ 3. De operator kan, onverminderd het bepaalde in het tweede lid, van een consument of een abonnee die over niet meer dan vijf oproepnummers, met uitzondering van de nummers voor de M2M-diensten, beschikt geen schadevergoeding vorderen voor de beëindiging van een contract van onbepaalde duur of voor de vroegtijdige beëindiging van een contract van bepaalde duur na afloop van de zesde maand volgend op de inwerkingtreding van het contract.</w:t>
      </w:r>
    </w:p>
    <w:p w:rsidR="00BC74DA" w:rsidRPr="00275D03" w:rsidRDefault="00BC74DA" w:rsidP="00BC74DA">
      <w:pPr>
        <w:keepLines/>
        <w:ind w:left="709"/>
        <w:rPr>
          <w:rFonts w:cs="Bookman-Light"/>
          <w:i/>
        </w:rPr>
      </w:pPr>
      <w:r w:rsidRPr="00275D03">
        <w:rPr>
          <w:rFonts w:cs="Bookman-Light"/>
          <w:i/>
        </w:rPr>
        <w:t xml:space="preserve">De schadevergoeding die een operator bij de vroegtijdige beëindiging van een contract </w:t>
      </w:r>
      <w:r>
        <w:rPr>
          <w:rFonts w:cs="Bookman-Light"/>
          <w:i/>
        </w:rPr>
        <w:t>v</w:t>
      </w:r>
      <w:r w:rsidRPr="00275D03">
        <w:rPr>
          <w:rFonts w:cs="Bookman-Light"/>
          <w:i/>
        </w:rPr>
        <w:t>an bepaalde duur door een consument of een abonnee die over niet meer dan vijf oproepnummers beschikt, gedurende de eerste zes maanden kan vorderen, mag, onverminderd het bepaalde in het derde lid, niet hoger zijn dan het abonnementsgeld dat nog verschuldigd zou zijn tot aan de afloop van de zesde maand volgend op de inwerkingtreding van het contract indien dat contract niet vroegtijdig beëindigd was.</w:t>
      </w:r>
    </w:p>
    <w:p w:rsidR="00BC74DA" w:rsidRPr="00275D03" w:rsidRDefault="00BC74DA" w:rsidP="00BC74DA">
      <w:pPr>
        <w:keepLines/>
        <w:ind w:left="709"/>
        <w:rPr>
          <w:rFonts w:cs="Bookman-Light"/>
          <w:i/>
        </w:rPr>
      </w:pPr>
      <w:r w:rsidRPr="00275D03">
        <w:rPr>
          <w:rFonts w:cs="Bookman-Light"/>
          <w:i/>
        </w:rPr>
        <w:lastRenderedPageBreak/>
        <w:t>Van de consument of een abonnee die over niet meer dan vijf oproepnummers beschikt en die kosteloos of tegen een lagere prijs een product heeft verkregen waarvan de verkrijging gebonden was aan het inschrijven op een abonnement van bepaalde duur, mag bij de vroegtijdige beëindiging van het contract een bijkomende schadevergoeding gevorderd worden, die echter niet hoger mag zijn dan de restwaarde van het product op het ogenblik van de beëindiging van het contract, bepaald overeenkomstig artikel 108, § 1, e), laatste streepje.</w:t>
      </w:r>
    </w:p>
    <w:p w:rsidR="00732B96" w:rsidRDefault="00732B96" w:rsidP="00732B96">
      <w:pPr>
        <w:spacing w:line="276" w:lineRule="auto"/>
        <w:rPr>
          <w:rFonts w:asciiTheme="majorHAnsi" w:hAnsiTheme="majorHAnsi" w:cs="Consolas"/>
        </w:rPr>
      </w:pPr>
    </w:p>
    <w:p w:rsidR="00732B96" w:rsidRPr="000B052A" w:rsidRDefault="00732B96" w:rsidP="00732B96">
      <w:pPr>
        <w:pStyle w:val="Kop2"/>
        <w:rPr>
          <w:rFonts w:asciiTheme="minorHAnsi" w:eastAsiaTheme="majorEastAsia" w:hAnsiTheme="minorHAnsi" w:cstheme="minorHAnsi"/>
          <w:color w:val="4F81BD" w:themeColor="accent1"/>
          <w:lang w:val="nl-NL"/>
        </w:rPr>
      </w:pPr>
      <w:bookmarkStart w:id="22" w:name="_Toc376423478"/>
      <w:r w:rsidRPr="000B052A">
        <w:rPr>
          <w:rFonts w:asciiTheme="minorHAnsi" w:eastAsiaTheme="majorEastAsia" w:hAnsiTheme="minorHAnsi" w:cstheme="minorHAnsi"/>
          <w:color w:val="4F81BD" w:themeColor="accent1"/>
          <w:lang w:val="nl-NL"/>
        </w:rPr>
        <w:t>2.</w:t>
      </w:r>
      <w:r w:rsidR="005C7449">
        <w:rPr>
          <w:rFonts w:asciiTheme="minorHAnsi" w:eastAsiaTheme="majorEastAsia" w:hAnsiTheme="minorHAnsi" w:cstheme="minorHAnsi"/>
          <w:color w:val="4F81BD" w:themeColor="accent1"/>
          <w:lang w:val="nl-NL"/>
        </w:rPr>
        <w:t>4</w:t>
      </w:r>
      <w:r w:rsidRPr="000B052A">
        <w:rPr>
          <w:rFonts w:asciiTheme="minorHAnsi" w:eastAsiaTheme="majorEastAsia" w:hAnsiTheme="minorHAnsi" w:cstheme="minorHAnsi"/>
          <w:color w:val="4F81BD" w:themeColor="accent1"/>
          <w:lang w:val="nl-NL"/>
        </w:rPr>
        <w:t>. Gevolgde procedure</w:t>
      </w:r>
      <w:bookmarkEnd w:id="22"/>
      <w:r w:rsidRPr="000B052A">
        <w:rPr>
          <w:rFonts w:asciiTheme="minorHAnsi" w:eastAsiaTheme="majorEastAsia" w:hAnsiTheme="minorHAnsi" w:cstheme="minorHAnsi"/>
          <w:color w:val="4F81BD" w:themeColor="accent1"/>
          <w:lang w:val="nl-NL"/>
        </w:rPr>
        <w:t xml:space="preserve"> </w:t>
      </w:r>
    </w:p>
    <w:p w:rsidR="00732B96" w:rsidRDefault="00732B96" w:rsidP="00732B96">
      <w:pPr>
        <w:spacing w:line="276" w:lineRule="auto"/>
        <w:rPr>
          <w:rFonts w:asciiTheme="majorHAnsi" w:hAnsiTheme="majorHAnsi" w:cs="Consolas"/>
        </w:rPr>
      </w:pPr>
    </w:p>
    <w:p w:rsidR="00732B96" w:rsidRPr="00A27826" w:rsidRDefault="00BC74DA" w:rsidP="00DC3143">
      <w:pPr>
        <w:pStyle w:val="Lijstalinea"/>
        <w:numPr>
          <w:ilvl w:val="0"/>
          <w:numId w:val="5"/>
        </w:numPr>
      </w:pPr>
      <w:r>
        <w:t xml:space="preserve">Op 18 november </w:t>
      </w:r>
      <w:r w:rsidR="00732B96" w:rsidRPr="00A27826">
        <w:t>201</w:t>
      </w:r>
      <w:r>
        <w:t>3</w:t>
      </w:r>
      <w:r w:rsidR="00732B96" w:rsidRPr="00A27826">
        <w:t xml:space="preserve"> verstuurde het BIPT een brief met grieven aan </w:t>
      </w:r>
      <w:r>
        <w:t>Dommel</w:t>
      </w:r>
      <w:r w:rsidR="00732B96" w:rsidRPr="00A27826">
        <w:t xml:space="preserve">. </w:t>
      </w:r>
    </w:p>
    <w:p w:rsidR="00732B96" w:rsidRDefault="00732B96" w:rsidP="00732B96">
      <w:pPr>
        <w:spacing w:line="276" w:lineRule="auto"/>
        <w:rPr>
          <w:rFonts w:asciiTheme="majorHAnsi" w:hAnsiTheme="majorHAnsi" w:cs="Consolas"/>
        </w:rPr>
      </w:pPr>
    </w:p>
    <w:p w:rsidR="00732B96" w:rsidRPr="00D23630" w:rsidRDefault="00732B96" w:rsidP="00DC3143">
      <w:pPr>
        <w:pStyle w:val="Lijstalinea"/>
        <w:numPr>
          <w:ilvl w:val="0"/>
          <w:numId w:val="5"/>
        </w:numPr>
        <w:spacing w:line="276" w:lineRule="auto"/>
        <w:rPr>
          <w:szCs w:val="24"/>
          <w:lang w:val="nl-NL"/>
        </w:rPr>
      </w:pPr>
      <w:r w:rsidRPr="00D23630">
        <w:rPr>
          <w:szCs w:val="24"/>
          <w:lang w:val="nl-NL"/>
        </w:rPr>
        <w:t xml:space="preserve">In deze brief met grieven stelde het BIPT </w:t>
      </w:r>
      <w:r w:rsidR="00912EBB">
        <w:rPr>
          <w:snapToGrid w:val="0"/>
        </w:rPr>
        <w:t>dat</w:t>
      </w:r>
      <w:r w:rsidR="00912EBB" w:rsidRPr="00EB0DB9">
        <w:rPr>
          <w:snapToGrid w:val="0"/>
        </w:rPr>
        <w:t xml:space="preserve"> </w:t>
      </w:r>
      <w:r w:rsidR="00912EBB">
        <w:rPr>
          <w:snapToGrid w:val="0"/>
        </w:rPr>
        <w:t xml:space="preserve">de </w:t>
      </w:r>
      <w:r w:rsidR="005C7449">
        <w:rPr>
          <w:snapToGrid w:val="0"/>
        </w:rPr>
        <w:t>a</w:t>
      </w:r>
      <w:r w:rsidR="00912EBB">
        <w:rPr>
          <w:snapToGrid w:val="0"/>
        </w:rPr>
        <w:t xml:space="preserve">lgemene </w:t>
      </w:r>
      <w:r w:rsidR="005C7449">
        <w:rPr>
          <w:snapToGrid w:val="0"/>
        </w:rPr>
        <w:t>v</w:t>
      </w:r>
      <w:r w:rsidR="00912EBB">
        <w:rPr>
          <w:snapToGrid w:val="0"/>
        </w:rPr>
        <w:t xml:space="preserve">oorwaarden van Dommel niet in overeenstemming </w:t>
      </w:r>
      <w:r w:rsidR="005C7449">
        <w:rPr>
          <w:snapToGrid w:val="0"/>
        </w:rPr>
        <w:t>zijn</w:t>
      </w:r>
      <w:r w:rsidR="00912EBB">
        <w:rPr>
          <w:snapToGrid w:val="0"/>
        </w:rPr>
        <w:t xml:space="preserve"> </w:t>
      </w:r>
      <w:r w:rsidR="00912EBB" w:rsidRPr="00EB0DB9">
        <w:rPr>
          <w:snapToGrid w:val="0"/>
        </w:rPr>
        <w:t xml:space="preserve">de artikelen 108, § 1, b), 3de en 5de onderdeel, 108, § 1, f), 108, § 2, </w:t>
      </w:r>
      <w:r w:rsidR="002B5384">
        <w:rPr>
          <w:snapToGrid w:val="0"/>
        </w:rPr>
        <w:t xml:space="preserve">110, § 1, </w:t>
      </w:r>
      <w:r w:rsidR="00912EBB" w:rsidRPr="00EB0DB9">
        <w:rPr>
          <w:snapToGrid w:val="0"/>
        </w:rPr>
        <w:t>en 111/3, §§ 1 en 3, WEC</w:t>
      </w:r>
      <w:r w:rsidR="00912EBB">
        <w:rPr>
          <w:szCs w:val="24"/>
          <w:lang w:val="nl-NL"/>
        </w:rPr>
        <w:t xml:space="preserve">.  </w:t>
      </w:r>
      <w:r w:rsidRPr="00D23630">
        <w:rPr>
          <w:szCs w:val="24"/>
          <w:lang w:val="nl-NL"/>
        </w:rPr>
        <w:t xml:space="preserve">Het BIPT deelde </w:t>
      </w:r>
      <w:r w:rsidR="00912EBB">
        <w:rPr>
          <w:szCs w:val="24"/>
          <w:lang w:val="nl-NL"/>
        </w:rPr>
        <w:t>Dommel eveneens</w:t>
      </w:r>
      <w:r w:rsidRPr="00D23630">
        <w:rPr>
          <w:szCs w:val="24"/>
          <w:lang w:val="nl-NL"/>
        </w:rPr>
        <w:t xml:space="preserve"> het beoogde bedrag van de administratieve boete</w:t>
      </w:r>
      <w:r w:rsidR="00912EBB">
        <w:rPr>
          <w:szCs w:val="24"/>
          <w:lang w:val="nl-NL"/>
        </w:rPr>
        <w:t xml:space="preserve"> mee</w:t>
      </w:r>
      <w:r w:rsidRPr="00D23630">
        <w:rPr>
          <w:szCs w:val="24"/>
          <w:lang w:val="nl-NL"/>
        </w:rPr>
        <w:t xml:space="preserve">.  </w:t>
      </w:r>
      <w:r w:rsidR="00912EBB">
        <w:rPr>
          <w:szCs w:val="24"/>
          <w:lang w:val="nl-NL"/>
        </w:rPr>
        <w:t>Het BIPT nodigde Dommel uit</w:t>
      </w:r>
      <w:r w:rsidRPr="00D23630">
        <w:rPr>
          <w:szCs w:val="24"/>
          <w:lang w:val="nl-NL"/>
        </w:rPr>
        <w:t xml:space="preserve"> om haar schriftelijke commentaren mee te delen en om te verschijnen op de hoorzitting van </w:t>
      </w:r>
      <w:r w:rsidR="00912EBB">
        <w:rPr>
          <w:szCs w:val="24"/>
          <w:lang w:val="nl-NL"/>
        </w:rPr>
        <w:t>12</w:t>
      </w:r>
      <w:r w:rsidRPr="00D23630">
        <w:rPr>
          <w:szCs w:val="24"/>
          <w:lang w:val="nl-NL"/>
        </w:rPr>
        <w:t xml:space="preserve"> </w:t>
      </w:r>
      <w:r w:rsidR="00912EBB">
        <w:rPr>
          <w:szCs w:val="24"/>
          <w:lang w:val="nl-NL"/>
        </w:rPr>
        <w:t>december</w:t>
      </w:r>
      <w:r w:rsidRPr="00D23630">
        <w:rPr>
          <w:szCs w:val="24"/>
          <w:lang w:val="nl-NL"/>
        </w:rPr>
        <w:t xml:space="preserve"> 201</w:t>
      </w:r>
      <w:r w:rsidR="00912EBB">
        <w:rPr>
          <w:szCs w:val="24"/>
          <w:lang w:val="nl-NL"/>
        </w:rPr>
        <w:t>3</w:t>
      </w:r>
      <w:r w:rsidRPr="00D23630">
        <w:rPr>
          <w:szCs w:val="24"/>
          <w:lang w:val="nl-NL"/>
        </w:rPr>
        <w:t xml:space="preserve">. Ten slotte gaf de Raad van het BIPT in de brief met grieven aan dat hij, na ontvangst van de schriftelijke commentaren van </w:t>
      </w:r>
      <w:r w:rsidR="00912EBB">
        <w:rPr>
          <w:szCs w:val="24"/>
          <w:lang w:val="nl-NL"/>
        </w:rPr>
        <w:t>Dommel</w:t>
      </w:r>
      <w:r w:rsidRPr="00D23630">
        <w:rPr>
          <w:szCs w:val="24"/>
          <w:lang w:val="nl-NL"/>
        </w:rPr>
        <w:t xml:space="preserve"> en na de hoorzitting, zou kunnen besluiten tot het definitief weerhouden van de meegedeelde grieven en tot het definitief opleggen van een administratieve geldboete, overeenkomstig artikel 21, § 2, van de wet van 17 januari 2003. </w:t>
      </w:r>
    </w:p>
    <w:p w:rsidR="00732B96" w:rsidRDefault="00732B96" w:rsidP="00732B96">
      <w:pPr>
        <w:rPr>
          <w:rFonts w:asciiTheme="majorHAnsi" w:hAnsiTheme="majorHAnsi" w:cs="Consolas"/>
        </w:rPr>
      </w:pPr>
    </w:p>
    <w:p w:rsidR="00912EBB" w:rsidRPr="00912EBB" w:rsidRDefault="00912EBB" w:rsidP="00DC3143">
      <w:pPr>
        <w:pStyle w:val="Lijstalinea"/>
        <w:numPr>
          <w:ilvl w:val="0"/>
          <w:numId w:val="5"/>
        </w:numPr>
        <w:spacing w:line="276" w:lineRule="auto"/>
        <w:rPr>
          <w:szCs w:val="24"/>
          <w:lang w:val="nl-NL"/>
        </w:rPr>
      </w:pPr>
      <w:r>
        <w:rPr>
          <w:szCs w:val="24"/>
          <w:lang w:val="nl-NL"/>
        </w:rPr>
        <w:t>Dommel bezorgde het BIPT haar schriftelijke commentaren</w:t>
      </w:r>
      <w:r w:rsidR="00C1026D">
        <w:rPr>
          <w:rStyle w:val="Voetnootmarkering"/>
          <w:szCs w:val="24"/>
          <w:lang w:val="nl-NL"/>
        </w:rPr>
        <w:footnoteReference w:id="5"/>
      </w:r>
      <w:r>
        <w:rPr>
          <w:szCs w:val="24"/>
          <w:lang w:val="nl-NL"/>
        </w:rPr>
        <w:t xml:space="preserve"> op 2 december 2013.</w:t>
      </w:r>
      <w:r>
        <w:rPr>
          <w:szCs w:val="24"/>
          <w:lang w:val="nl-NL"/>
        </w:rPr>
        <w:br/>
      </w:r>
    </w:p>
    <w:p w:rsidR="00732B96" w:rsidRPr="00D23630" w:rsidRDefault="00912EBB" w:rsidP="00DC3143">
      <w:pPr>
        <w:pStyle w:val="Lijstalinea"/>
        <w:numPr>
          <w:ilvl w:val="0"/>
          <w:numId w:val="5"/>
        </w:numPr>
        <w:spacing w:line="276" w:lineRule="auto"/>
        <w:rPr>
          <w:szCs w:val="24"/>
          <w:lang w:val="nl-NL"/>
        </w:rPr>
      </w:pPr>
      <w:r>
        <w:rPr>
          <w:szCs w:val="24"/>
          <w:lang w:val="nl-NL"/>
        </w:rPr>
        <w:t>Dommel</w:t>
      </w:r>
      <w:r w:rsidR="00732B96" w:rsidRPr="00D23630">
        <w:rPr>
          <w:szCs w:val="24"/>
          <w:lang w:val="nl-NL"/>
        </w:rPr>
        <w:t xml:space="preserve"> verscheen op de hoorzitting met de Raad van het BIPT die plaatsvond op </w:t>
      </w:r>
      <w:r>
        <w:rPr>
          <w:szCs w:val="24"/>
          <w:lang w:val="nl-NL"/>
        </w:rPr>
        <w:t>1</w:t>
      </w:r>
      <w:r w:rsidR="00732B96" w:rsidRPr="00D23630">
        <w:rPr>
          <w:szCs w:val="24"/>
          <w:lang w:val="nl-NL"/>
        </w:rPr>
        <w:t xml:space="preserve">2 </w:t>
      </w:r>
      <w:r>
        <w:rPr>
          <w:szCs w:val="24"/>
          <w:lang w:val="nl-NL"/>
        </w:rPr>
        <w:t>december</w:t>
      </w:r>
      <w:r w:rsidR="00732B96" w:rsidRPr="00D23630">
        <w:rPr>
          <w:szCs w:val="24"/>
          <w:lang w:val="nl-NL"/>
        </w:rPr>
        <w:t xml:space="preserve"> 201</w:t>
      </w:r>
      <w:r>
        <w:rPr>
          <w:szCs w:val="24"/>
          <w:lang w:val="nl-NL"/>
        </w:rPr>
        <w:t xml:space="preserve">3. </w:t>
      </w:r>
      <w:r w:rsidR="00732B96" w:rsidRPr="00D23630">
        <w:rPr>
          <w:szCs w:val="24"/>
          <w:lang w:val="nl-NL"/>
        </w:rPr>
        <w:t xml:space="preserve">Op het einde van de zitting sloot het BIPT de debatten. </w:t>
      </w:r>
    </w:p>
    <w:p w:rsidR="00732B96" w:rsidRDefault="00732B96" w:rsidP="00732B96">
      <w:pPr>
        <w:rPr>
          <w:rFonts w:asciiTheme="majorHAnsi" w:hAnsiTheme="majorHAnsi" w:cs="Consolas"/>
        </w:rPr>
      </w:pPr>
    </w:p>
    <w:p w:rsidR="00732B96" w:rsidRDefault="00732B96" w:rsidP="00732B96">
      <w:pPr>
        <w:pStyle w:val="Kop1"/>
        <w:rPr>
          <w:rFonts w:asciiTheme="minorHAnsi" w:eastAsiaTheme="majorEastAsia" w:hAnsiTheme="minorHAnsi" w:cstheme="minorHAnsi"/>
          <w:color w:val="365F91" w:themeColor="accent1" w:themeShade="BF"/>
          <w:lang w:val="nl-NL"/>
        </w:rPr>
      </w:pPr>
      <w:bookmarkStart w:id="23" w:name="_Toc376423479"/>
      <w:r>
        <w:rPr>
          <w:rFonts w:asciiTheme="minorHAnsi" w:eastAsiaTheme="majorEastAsia" w:hAnsiTheme="minorHAnsi" w:cstheme="minorHAnsi"/>
          <w:color w:val="365F91" w:themeColor="accent1" w:themeShade="BF"/>
          <w:lang w:val="nl-NL"/>
        </w:rPr>
        <w:t>WETTELIJKE BASIS</w:t>
      </w:r>
      <w:bookmarkEnd w:id="23"/>
    </w:p>
    <w:p w:rsidR="00732B96" w:rsidRDefault="00732B96" w:rsidP="00732B96">
      <w:pPr>
        <w:rPr>
          <w:rFonts w:eastAsiaTheme="majorEastAsia"/>
          <w:lang w:val="nl-NL"/>
        </w:rPr>
      </w:pPr>
    </w:p>
    <w:p w:rsidR="00732B96" w:rsidRPr="00A27826" w:rsidRDefault="00732B96" w:rsidP="00DC3143">
      <w:pPr>
        <w:pStyle w:val="Lijstalinea"/>
        <w:numPr>
          <w:ilvl w:val="0"/>
          <w:numId w:val="5"/>
        </w:numPr>
      </w:pPr>
      <w:r w:rsidRPr="00A27826">
        <w:t xml:space="preserve">Artikel 21, §§ 1 tot 5 van de </w:t>
      </w:r>
      <w:r>
        <w:t>BIPT-</w:t>
      </w:r>
      <w:r w:rsidRPr="00A27826">
        <w:t xml:space="preserve">wet bepaalt : </w:t>
      </w:r>
    </w:p>
    <w:p w:rsidR="00732B96" w:rsidRDefault="00732B96" w:rsidP="00732B96">
      <w:pPr>
        <w:rPr>
          <w:rFonts w:eastAsiaTheme="majorEastAsia"/>
          <w:lang w:val="nl-NL"/>
        </w:rPr>
      </w:pPr>
    </w:p>
    <w:p w:rsidR="00732B96" w:rsidRPr="005C7449" w:rsidRDefault="00732B96" w:rsidP="005C7449">
      <w:pPr>
        <w:spacing w:line="276" w:lineRule="auto"/>
        <w:ind w:left="717" w:hanging="8"/>
        <w:rPr>
          <w:i/>
          <w:szCs w:val="24"/>
          <w:lang w:val="nl-NL"/>
        </w:rPr>
      </w:pPr>
      <w:r w:rsidRPr="005C7449">
        <w:rPr>
          <w:i/>
          <w:szCs w:val="24"/>
          <w:lang w:val="nl-NL"/>
        </w:rPr>
        <w:t>Art. 21. § 1. Indien de Raad over een reeks aanwijzingen besch</w:t>
      </w:r>
      <w:r w:rsidR="005C7449">
        <w:rPr>
          <w:i/>
          <w:szCs w:val="24"/>
          <w:lang w:val="nl-NL"/>
        </w:rPr>
        <w:t xml:space="preserve">ikt die zouden kunnen wijzen op </w:t>
      </w:r>
      <w:r w:rsidRPr="005C7449">
        <w:rPr>
          <w:i/>
          <w:szCs w:val="24"/>
          <w:lang w:val="nl-NL"/>
        </w:rPr>
        <w:t>een overtreding van de wetgeving of reglementering waarvan de naleving door het Instituut wordt gecontroleerd of van de besluiten van het Instituut genomen ter uitvoering van die wetgeving of reglementering, deelt hij zijn grieven mee aan de betrokkene, alsook de beoogde maatregelen bedoeld in paragraaf 5 die toegepast zullen worden, indien de overtreding bevestigd wordt.</w:t>
      </w:r>
    </w:p>
    <w:p w:rsidR="00732B96" w:rsidRPr="004613C3" w:rsidRDefault="00732B96" w:rsidP="00074194">
      <w:pPr>
        <w:pStyle w:val="Lijstalinea"/>
        <w:numPr>
          <w:ilvl w:val="0"/>
          <w:numId w:val="0"/>
        </w:numPr>
        <w:spacing w:line="276" w:lineRule="auto"/>
        <w:ind w:left="720"/>
        <w:rPr>
          <w:i/>
          <w:szCs w:val="24"/>
          <w:lang w:val="nl-NL"/>
        </w:rPr>
      </w:pPr>
    </w:p>
    <w:p w:rsidR="00732B96" w:rsidRPr="005C7449" w:rsidRDefault="00732B96" w:rsidP="005C7449">
      <w:pPr>
        <w:spacing w:line="276" w:lineRule="auto"/>
        <w:ind w:left="717" w:hanging="8"/>
        <w:rPr>
          <w:i/>
          <w:szCs w:val="24"/>
          <w:lang w:val="nl-NL"/>
        </w:rPr>
      </w:pPr>
      <w:r w:rsidRPr="005C7449">
        <w:rPr>
          <w:i/>
          <w:szCs w:val="24"/>
          <w:lang w:val="nl-NL"/>
        </w:rPr>
        <w:t xml:space="preserve">§ 2. De Raad stelt de termijn vast waarover de betrokkene beschikt om het dossier te raadplegen en zijn schriftelijke opmerkingen voor te leggen. Deze termijn mag niet korter zijn dan tien werkdagen. </w:t>
      </w:r>
    </w:p>
    <w:p w:rsidR="00732B96" w:rsidRPr="00DA65E4" w:rsidRDefault="00732B96" w:rsidP="00732B96">
      <w:pPr>
        <w:pStyle w:val="Default"/>
        <w:jc w:val="both"/>
        <w:rPr>
          <w:rFonts w:asciiTheme="majorHAnsi" w:hAnsiTheme="majorHAnsi"/>
          <w:sz w:val="22"/>
          <w:szCs w:val="22"/>
        </w:rPr>
      </w:pPr>
    </w:p>
    <w:p w:rsidR="00732B96" w:rsidRPr="005C7449" w:rsidRDefault="00732B96" w:rsidP="005C7449">
      <w:pPr>
        <w:spacing w:line="276" w:lineRule="auto"/>
        <w:ind w:left="717" w:hanging="8"/>
        <w:rPr>
          <w:i/>
          <w:szCs w:val="24"/>
          <w:lang w:val="nl-NL"/>
        </w:rPr>
      </w:pPr>
      <w:r w:rsidRPr="005C7449">
        <w:rPr>
          <w:i/>
          <w:szCs w:val="24"/>
          <w:lang w:val="nl-NL"/>
        </w:rPr>
        <w:lastRenderedPageBreak/>
        <w:t xml:space="preserve">§ 3. De betrokkene wordt uitgenodigd om te verschijnen op de datum die door de Raad wordt vastgesteld en per aangetekende brief wordt meegedeeld. Hij mag zich laten vertegenwoordigen door de raadsman van zijn keuze. </w:t>
      </w:r>
    </w:p>
    <w:p w:rsidR="00732B96" w:rsidRPr="004613C3" w:rsidRDefault="00732B96" w:rsidP="00074194">
      <w:pPr>
        <w:pStyle w:val="Lijstalinea"/>
        <w:numPr>
          <w:ilvl w:val="0"/>
          <w:numId w:val="0"/>
        </w:numPr>
        <w:spacing w:line="276" w:lineRule="auto"/>
        <w:ind w:left="1418"/>
        <w:rPr>
          <w:i/>
          <w:szCs w:val="24"/>
          <w:lang w:val="nl-NL"/>
        </w:rPr>
      </w:pPr>
    </w:p>
    <w:p w:rsidR="00732B96" w:rsidRPr="005C7449" w:rsidRDefault="00732B96" w:rsidP="005C7449">
      <w:pPr>
        <w:spacing w:line="276" w:lineRule="auto"/>
        <w:ind w:left="717" w:hanging="8"/>
        <w:rPr>
          <w:i/>
          <w:szCs w:val="24"/>
          <w:lang w:val="nl-NL"/>
        </w:rPr>
      </w:pPr>
      <w:r w:rsidRPr="005C7449">
        <w:rPr>
          <w:i/>
          <w:szCs w:val="24"/>
          <w:lang w:val="nl-NL"/>
        </w:rPr>
        <w:t xml:space="preserve">§ 4. De Raad kan elke persoon horen die een nuttige bijdrage kan leveren tot zijn informatie, hetzij ambtshalve, hetzij op verzoek van de betrokkene. </w:t>
      </w:r>
    </w:p>
    <w:p w:rsidR="00732B96" w:rsidRPr="004613C3" w:rsidRDefault="00732B96" w:rsidP="00074194">
      <w:pPr>
        <w:pStyle w:val="Lijstalinea"/>
        <w:numPr>
          <w:ilvl w:val="0"/>
          <w:numId w:val="0"/>
        </w:numPr>
        <w:spacing w:line="276" w:lineRule="auto"/>
        <w:ind w:left="1418"/>
        <w:rPr>
          <w:i/>
          <w:szCs w:val="24"/>
          <w:lang w:val="nl-NL"/>
        </w:rPr>
      </w:pPr>
    </w:p>
    <w:p w:rsidR="00732B96" w:rsidRPr="005C7449" w:rsidRDefault="00732B96" w:rsidP="005C7449">
      <w:pPr>
        <w:spacing w:line="276" w:lineRule="auto"/>
        <w:ind w:left="717" w:hanging="8"/>
        <w:rPr>
          <w:i/>
          <w:szCs w:val="24"/>
          <w:lang w:val="nl-NL"/>
        </w:rPr>
      </w:pPr>
      <w:r w:rsidRPr="005C7449">
        <w:rPr>
          <w:i/>
          <w:szCs w:val="24"/>
          <w:lang w:val="nl-NL"/>
        </w:rPr>
        <w:t xml:space="preserve">§ 5. Indien de Raad een overtreding constateert, beveelt hij de stopzetting ervan, hetzij onmiddellijk, hetzij binnen de redelijke termijn die hij bepaalt. </w:t>
      </w:r>
    </w:p>
    <w:p w:rsidR="00732B96" w:rsidRPr="004613C3" w:rsidRDefault="00732B96" w:rsidP="00074194">
      <w:pPr>
        <w:pStyle w:val="Lijstalinea"/>
        <w:numPr>
          <w:ilvl w:val="0"/>
          <w:numId w:val="0"/>
        </w:numPr>
        <w:spacing w:line="276" w:lineRule="auto"/>
        <w:ind w:left="1418"/>
        <w:rPr>
          <w:i/>
          <w:szCs w:val="24"/>
          <w:lang w:val="nl-NL"/>
        </w:rPr>
      </w:pPr>
    </w:p>
    <w:p w:rsidR="00732B96" w:rsidRPr="005C7449" w:rsidRDefault="00732B96" w:rsidP="005C7449">
      <w:pPr>
        <w:spacing w:line="276" w:lineRule="auto"/>
        <w:ind w:left="717" w:hanging="8"/>
        <w:rPr>
          <w:i/>
          <w:szCs w:val="24"/>
          <w:lang w:val="nl-NL"/>
        </w:rPr>
      </w:pPr>
      <w:r w:rsidRPr="005C7449">
        <w:rPr>
          <w:i/>
          <w:szCs w:val="24"/>
          <w:lang w:val="nl-NL"/>
        </w:rPr>
        <w:t xml:space="preserve">Het bevel tot stopzetting kan gepaard gaan met één of meerdere van de volgende maatregelen: </w:t>
      </w:r>
    </w:p>
    <w:p w:rsidR="00732B96" w:rsidRPr="005C7449" w:rsidRDefault="00732B96" w:rsidP="005C7449">
      <w:pPr>
        <w:spacing w:line="276" w:lineRule="auto"/>
        <w:ind w:left="717" w:hanging="8"/>
        <w:rPr>
          <w:i/>
          <w:szCs w:val="24"/>
          <w:lang w:val="nl-NL"/>
        </w:rPr>
      </w:pPr>
      <w:r w:rsidRPr="005C7449">
        <w:rPr>
          <w:i/>
          <w:szCs w:val="24"/>
          <w:lang w:val="nl-NL"/>
        </w:rPr>
        <w:t xml:space="preserve">1° voorschriften in verband met de manier waarop de overtreding ongedaan moet worden gemaakt; </w:t>
      </w:r>
    </w:p>
    <w:p w:rsidR="00732B96" w:rsidRPr="005C7449" w:rsidRDefault="00732B96" w:rsidP="005C7449">
      <w:pPr>
        <w:spacing w:line="276" w:lineRule="auto"/>
        <w:ind w:left="717" w:hanging="8"/>
        <w:rPr>
          <w:i/>
          <w:szCs w:val="24"/>
          <w:lang w:val="nl-NL"/>
        </w:rPr>
      </w:pPr>
      <w:r w:rsidRPr="005C7449">
        <w:rPr>
          <w:i/>
          <w:szCs w:val="24"/>
          <w:lang w:val="nl-NL"/>
        </w:rPr>
        <w:t xml:space="preserve">2° de betaling binnen de termijn bepaald door de Raad van een administratieve boete die aan de Schatkist toekomt ten bedrage van maximaal 5 % van de omzet van de overtreder gedurende het jongste volledige boekjaar in de sector voor elektronische communicatie of voor postdiensten in België of, indien de overtreder geen activiteiten ontwikkelt waarmee een omzet wordt behaald, ten bedrage van maximaal 5 000 euro; </w:t>
      </w:r>
    </w:p>
    <w:p w:rsidR="00732B96" w:rsidRDefault="00732B96" w:rsidP="00732B96">
      <w:pPr>
        <w:rPr>
          <w:rFonts w:eastAsiaTheme="majorEastAsia"/>
          <w:lang w:val="nl-NL"/>
        </w:rPr>
      </w:pPr>
    </w:p>
    <w:p w:rsidR="00732B96" w:rsidRPr="00DA0DDB" w:rsidRDefault="00732B96" w:rsidP="00732B96">
      <w:pPr>
        <w:pStyle w:val="Kop1"/>
        <w:rPr>
          <w:rFonts w:asciiTheme="minorHAnsi" w:eastAsiaTheme="majorEastAsia" w:hAnsiTheme="minorHAnsi" w:cstheme="minorHAnsi"/>
          <w:color w:val="365F91" w:themeColor="accent1" w:themeShade="BF"/>
          <w:lang w:val="nl-NL"/>
        </w:rPr>
      </w:pPr>
      <w:bookmarkStart w:id="24" w:name="_Toc376423480"/>
      <w:r w:rsidRPr="00DA0DDB">
        <w:rPr>
          <w:rFonts w:asciiTheme="minorHAnsi" w:eastAsiaTheme="majorEastAsia" w:hAnsiTheme="minorHAnsi" w:cstheme="minorHAnsi"/>
          <w:color w:val="365F91" w:themeColor="accent1" w:themeShade="BF"/>
          <w:lang w:val="nl-NL"/>
        </w:rPr>
        <w:t>ANALYSE VAN HET BIPT</w:t>
      </w:r>
      <w:bookmarkEnd w:id="24"/>
    </w:p>
    <w:p w:rsidR="00732B96" w:rsidRPr="00DA0DDB" w:rsidRDefault="00732B96" w:rsidP="00732B96">
      <w:pPr>
        <w:pStyle w:val="Kop2"/>
        <w:rPr>
          <w:rFonts w:asciiTheme="minorHAnsi" w:eastAsiaTheme="majorEastAsia" w:hAnsiTheme="minorHAnsi" w:cstheme="minorHAnsi"/>
          <w:i/>
          <w:iCs/>
          <w:color w:val="4F81BD" w:themeColor="accent1"/>
          <w:lang w:val="nl-NL"/>
        </w:rPr>
      </w:pPr>
      <w:bookmarkStart w:id="25" w:name="_Toc376423481"/>
      <w:r w:rsidRPr="00DA0DDB">
        <w:rPr>
          <w:rFonts w:asciiTheme="minorHAnsi" w:eastAsiaTheme="majorEastAsia" w:hAnsiTheme="minorHAnsi" w:cstheme="minorHAnsi"/>
          <w:color w:val="4F81BD" w:themeColor="accent1"/>
          <w:lang w:val="nl-NL"/>
        </w:rPr>
        <w:t xml:space="preserve">4.1. </w:t>
      </w:r>
      <w:r>
        <w:rPr>
          <w:rFonts w:asciiTheme="minorHAnsi" w:eastAsiaTheme="majorEastAsia" w:hAnsiTheme="minorHAnsi" w:cstheme="minorHAnsi"/>
          <w:color w:val="4F81BD" w:themeColor="accent1"/>
          <w:lang w:val="nl-NL"/>
        </w:rPr>
        <w:t>Meegedeelde grief</w:t>
      </w:r>
      <w:bookmarkEnd w:id="25"/>
    </w:p>
    <w:p w:rsidR="00732B96" w:rsidRDefault="00732B96" w:rsidP="00732B96">
      <w:pPr>
        <w:spacing w:line="276" w:lineRule="auto"/>
        <w:rPr>
          <w:rFonts w:asciiTheme="majorHAnsi" w:hAnsiTheme="majorHAnsi" w:cs="Consolas"/>
        </w:rPr>
      </w:pPr>
    </w:p>
    <w:p w:rsidR="00732B96" w:rsidRPr="00A27826" w:rsidRDefault="00912EBB" w:rsidP="00DC3143">
      <w:pPr>
        <w:pStyle w:val="Lijstalinea"/>
        <w:numPr>
          <w:ilvl w:val="0"/>
          <w:numId w:val="5"/>
        </w:numPr>
      </w:pPr>
      <w:r>
        <w:t xml:space="preserve">Per brief van 18 november 2013 </w:t>
      </w:r>
      <w:r w:rsidR="00732B96" w:rsidRPr="00A27826">
        <w:t xml:space="preserve">deelde het BIPT de volgende </w:t>
      </w:r>
      <w:r>
        <w:t>grieven</w:t>
      </w:r>
      <w:r w:rsidR="00732B96" w:rsidRPr="00A27826">
        <w:t xml:space="preserve"> mee aan </w:t>
      </w:r>
      <w:r>
        <w:t>Dommel</w:t>
      </w:r>
      <w:r w:rsidR="00732B96" w:rsidRPr="00A27826">
        <w:t xml:space="preserve"> : </w:t>
      </w:r>
    </w:p>
    <w:p w:rsidR="00732B96" w:rsidRDefault="00732B96" w:rsidP="00732B96">
      <w:pPr>
        <w:spacing w:line="276" w:lineRule="auto"/>
        <w:rPr>
          <w:rFonts w:asciiTheme="majorHAnsi" w:hAnsiTheme="majorHAnsi" w:cs="Consolas"/>
        </w:rPr>
      </w:pPr>
    </w:p>
    <w:p w:rsidR="00912EBB" w:rsidRPr="00912EBB" w:rsidRDefault="00912EBB" w:rsidP="00912EBB">
      <w:pPr>
        <w:keepLines/>
        <w:rPr>
          <w:szCs w:val="20"/>
          <w:lang w:eastAsia="fr-FR"/>
        </w:rPr>
      </w:pPr>
    </w:p>
    <w:p w:rsidR="00912EBB" w:rsidRPr="00912EBB" w:rsidRDefault="00912EBB" w:rsidP="00DC3143">
      <w:pPr>
        <w:keepLines/>
        <w:numPr>
          <w:ilvl w:val="0"/>
          <w:numId w:val="6"/>
        </w:numPr>
        <w:spacing w:after="200" w:line="276" w:lineRule="auto"/>
        <w:jc w:val="left"/>
        <w:rPr>
          <w:szCs w:val="24"/>
          <w:lang w:eastAsia="fr-FR"/>
        </w:rPr>
      </w:pPr>
      <w:r w:rsidRPr="00912EBB">
        <w:rPr>
          <w:b/>
          <w:szCs w:val="24"/>
          <w:lang w:eastAsia="fr-FR"/>
        </w:rPr>
        <w:t>het niet naleven van artikel 108, § 1, b) en c), WEC,</w:t>
      </w:r>
      <w:r w:rsidRPr="00912EBB">
        <w:rPr>
          <w:szCs w:val="24"/>
          <w:lang w:eastAsia="fr-FR"/>
        </w:rPr>
        <w:t xml:space="preserve"> doordat de algemene voorwaarden van Dommel geen melding maken van de mogelijke eerste wachttijd noch van de soorten onderhoudsservice die Dommel zijn abonnees aanbiedt; </w:t>
      </w:r>
    </w:p>
    <w:p w:rsidR="00912EBB" w:rsidRPr="00912EBB" w:rsidRDefault="00912EBB" w:rsidP="00DC3143">
      <w:pPr>
        <w:keepLines/>
        <w:numPr>
          <w:ilvl w:val="0"/>
          <w:numId w:val="6"/>
        </w:numPr>
        <w:spacing w:after="200" w:line="276" w:lineRule="auto"/>
        <w:jc w:val="left"/>
        <w:rPr>
          <w:szCs w:val="24"/>
          <w:lang w:eastAsia="fr-FR"/>
        </w:rPr>
      </w:pPr>
      <w:r w:rsidRPr="00912EBB">
        <w:rPr>
          <w:b/>
          <w:szCs w:val="24"/>
          <w:lang w:eastAsia="fr-FR"/>
        </w:rPr>
        <w:t>het niet naleven van artikel 108, § 1, f), WEC,</w:t>
      </w:r>
      <w:r w:rsidRPr="00912EBB">
        <w:rPr>
          <w:szCs w:val="24"/>
          <w:lang w:eastAsia="fr-FR"/>
        </w:rPr>
        <w:t xml:space="preserve"> doordat Dommel de voorwaarden en de nadere regels voor schadevergoeding en terugbetaling die eventueel van toepassing zijn</w:t>
      </w:r>
      <w:r w:rsidR="002B5384">
        <w:rPr>
          <w:szCs w:val="24"/>
          <w:lang w:eastAsia="fr-FR"/>
        </w:rPr>
        <w:t>,</w:t>
      </w:r>
      <w:r w:rsidRPr="00912EBB">
        <w:rPr>
          <w:szCs w:val="24"/>
          <w:lang w:eastAsia="fr-FR"/>
        </w:rPr>
        <w:t xml:space="preserve"> niet uitwerkt in de algemene voorwaarden;</w:t>
      </w:r>
    </w:p>
    <w:p w:rsidR="00912EBB" w:rsidRPr="00912EBB" w:rsidRDefault="00912EBB" w:rsidP="00DC3143">
      <w:pPr>
        <w:keepLines/>
        <w:numPr>
          <w:ilvl w:val="0"/>
          <w:numId w:val="6"/>
        </w:numPr>
        <w:spacing w:after="200" w:line="276" w:lineRule="auto"/>
        <w:jc w:val="left"/>
        <w:rPr>
          <w:szCs w:val="24"/>
          <w:lang w:eastAsia="fr-FR"/>
        </w:rPr>
      </w:pPr>
      <w:r w:rsidRPr="00912EBB">
        <w:rPr>
          <w:b/>
          <w:szCs w:val="24"/>
          <w:lang w:eastAsia="fr-FR"/>
        </w:rPr>
        <w:t>het niet naleven van  artikel 108, § 2, WEC,</w:t>
      </w:r>
      <w:r w:rsidRPr="00912EBB">
        <w:rPr>
          <w:szCs w:val="24"/>
          <w:lang w:eastAsia="fr-FR"/>
        </w:rPr>
        <w:t xml:space="preserve"> doordat Dommel nieuwe prijzen van kracht laat worden  7 dagen na de kennisgeving van de wijziging, de kennisgeving kan doen uitsluitend door middel van een mededeling op haar website, de online aangekondigde tarieven voorrang hebben op de schriftelijk meegedeelde tarieven, de abonnee slechts het recht heeft zijn contract op te zeggen wanneer de prijsverhoging 10% overschrijdt en de opzeg moet gebeuren op vervaldatum vanaf de datum waarop de verhoging van kracht wordt; </w:t>
      </w:r>
    </w:p>
    <w:p w:rsidR="00912EBB" w:rsidRPr="00912EBB" w:rsidRDefault="00912EBB" w:rsidP="00DC3143">
      <w:pPr>
        <w:keepLines/>
        <w:numPr>
          <w:ilvl w:val="0"/>
          <w:numId w:val="6"/>
        </w:numPr>
        <w:spacing w:after="200" w:line="276" w:lineRule="auto"/>
        <w:jc w:val="left"/>
        <w:rPr>
          <w:szCs w:val="24"/>
          <w:lang w:eastAsia="fr-FR"/>
        </w:rPr>
      </w:pPr>
      <w:r w:rsidRPr="00912EBB">
        <w:rPr>
          <w:b/>
          <w:szCs w:val="24"/>
          <w:lang w:eastAsia="fr-FR"/>
        </w:rPr>
        <w:t>het niet naleven van artikel 110, § 1, WEC,</w:t>
      </w:r>
      <w:r w:rsidRPr="00912EBB">
        <w:rPr>
          <w:szCs w:val="24"/>
          <w:lang w:eastAsia="fr-FR"/>
        </w:rPr>
        <w:t xml:space="preserve"> doordat Dommel tariefformules voorziet met halfjaarlijkse, jaarlijkse en tweejaarlijkse betalingstermijnen;</w:t>
      </w:r>
    </w:p>
    <w:p w:rsidR="00912EBB" w:rsidRPr="00912EBB" w:rsidRDefault="00912EBB" w:rsidP="00912EBB">
      <w:pPr>
        <w:keepLines/>
        <w:spacing w:line="276" w:lineRule="auto"/>
        <w:rPr>
          <w:szCs w:val="24"/>
          <w:lang w:eastAsia="fr-FR"/>
        </w:rPr>
      </w:pPr>
    </w:p>
    <w:p w:rsidR="00912EBB" w:rsidRPr="00912EBB" w:rsidRDefault="00912EBB" w:rsidP="00DC3143">
      <w:pPr>
        <w:keepLines/>
        <w:numPr>
          <w:ilvl w:val="0"/>
          <w:numId w:val="6"/>
        </w:numPr>
        <w:spacing w:after="200" w:line="276" w:lineRule="auto"/>
        <w:jc w:val="left"/>
        <w:rPr>
          <w:szCs w:val="24"/>
          <w:lang w:eastAsia="fr-FR"/>
        </w:rPr>
      </w:pPr>
      <w:r w:rsidRPr="00912EBB">
        <w:rPr>
          <w:b/>
          <w:szCs w:val="24"/>
          <w:lang w:eastAsia="fr-FR"/>
        </w:rPr>
        <w:lastRenderedPageBreak/>
        <w:t>het niet naleven van artikel 111/3, § 1, WEC,</w:t>
      </w:r>
      <w:r w:rsidRPr="00912EBB">
        <w:rPr>
          <w:szCs w:val="24"/>
          <w:lang w:eastAsia="fr-FR"/>
        </w:rPr>
        <w:t xml:space="preserve"> doordat Dommel een opzegtermijn oplegt van 1 maand en tevens bepaalt dat de opzeg enkel kan gebeuren door een aangetekend schrijven;</w:t>
      </w:r>
    </w:p>
    <w:p w:rsidR="00912EBB" w:rsidRPr="00912EBB" w:rsidRDefault="00912EBB" w:rsidP="00DC3143">
      <w:pPr>
        <w:keepLines/>
        <w:numPr>
          <w:ilvl w:val="0"/>
          <w:numId w:val="6"/>
        </w:numPr>
        <w:spacing w:after="200" w:line="276" w:lineRule="auto"/>
        <w:jc w:val="left"/>
        <w:rPr>
          <w:szCs w:val="24"/>
          <w:lang w:eastAsia="fr-FR"/>
        </w:rPr>
      </w:pPr>
      <w:r w:rsidRPr="00912EBB">
        <w:rPr>
          <w:b/>
          <w:szCs w:val="24"/>
          <w:lang w:eastAsia="fr-FR"/>
        </w:rPr>
        <w:t>het niet naleven van artikel 111/3, § 3, WEC,</w:t>
      </w:r>
      <w:r w:rsidRPr="00912EBB">
        <w:rPr>
          <w:szCs w:val="24"/>
          <w:lang w:eastAsia="fr-FR"/>
        </w:rPr>
        <w:t xml:space="preserve"> doordat Dommel oplegt dat in geval van vroegtijdige opzegging van een contract van 1 jaar de abonnementsgelden voor de resterende periode van  12 maanden verschuldigd zijn. </w:t>
      </w:r>
    </w:p>
    <w:p w:rsidR="00732B96" w:rsidRDefault="00732B96" w:rsidP="00732B96">
      <w:pPr>
        <w:spacing w:line="276" w:lineRule="auto"/>
        <w:rPr>
          <w:rFonts w:asciiTheme="majorHAnsi" w:hAnsiTheme="majorHAnsi" w:cs="Consolas"/>
        </w:rPr>
      </w:pPr>
    </w:p>
    <w:p w:rsidR="00732B96" w:rsidRDefault="00732B96" w:rsidP="00732B96">
      <w:pPr>
        <w:pStyle w:val="Kop2"/>
        <w:rPr>
          <w:rFonts w:asciiTheme="minorHAnsi" w:eastAsiaTheme="majorEastAsia" w:hAnsiTheme="minorHAnsi" w:cstheme="minorHAnsi"/>
          <w:color w:val="4F81BD" w:themeColor="accent1"/>
          <w:lang w:val="nl-NL"/>
        </w:rPr>
      </w:pPr>
      <w:bookmarkStart w:id="26" w:name="_Toc376423482"/>
      <w:r w:rsidRPr="00DA0DDB">
        <w:rPr>
          <w:rFonts w:asciiTheme="minorHAnsi" w:eastAsiaTheme="majorEastAsia" w:hAnsiTheme="minorHAnsi" w:cstheme="minorHAnsi"/>
          <w:color w:val="4F81BD" w:themeColor="accent1"/>
          <w:lang w:val="nl-NL"/>
        </w:rPr>
        <w:t>4.</w:t>
      </w:r>
      <w:r>
        <w:rPr>
          <w:rFonts w:asciiTheme="minorHAnsi" w:eastAsiaTheme="majorEastAsia" w:hAnsiTheme="minorHAnsi" w:cstheme="minorHAnsi"/>
          <w:color w:val="4F81BD" w:themeColor="accent1"/>
          <w:lang w:val="nl-NL"/>
        </w:rPr>
        <w:t xml:space="preserve">2. Standpunt van </w:t>
      </w:r>
      <w:r w:rsidR="00912EBB">
        <w:rPr>
          <w:rFonts w:asciiTheme="minorHAnsi" w:eastAsiaTheme="majorEastAsia" w:hAnsiTheme="minorHAnsi" w:cstheme="minorHAnsi"/>
          <w:color w:val="4F81BD" w:themeColor="accent1"/>
          <w:lang w:val="nl-NL"/>
        </w:rPr>
        <w:t>Dommel</w:t>
      </w:r>
      <w:r>
        <w:rPr>
          <w:rFonts w:asciiTheme="minorHAnsi" w:eastAsiaTheme="majorEastAsia" w:hAnsiTheme="minorHAnsi" w:cstheme="minorHAnsi"/>
          <w:color w:val="4F81BD" w:themeColor="accent1"/>
          <w:lang w:val="nl-NL"/>
        </w:rPr>
        <w:t xml:space="preserve"> ten aanzien van de meegedeelde </w:t>
      </w:r>
      <w:r w:rsidR="00912EBB">
        <w:rPr>
          <w:rFonts w:asciiTheme="minorHAnsi" w:eastAsiaTheme="majorEastAsia" w:hAnsiTheme="minorHAnsi" w:cstheme="minorHAnsi"/>
          <w:color w:val="4F81BD" w:themeColor="accent1"/>
          <w:lang w:val="nl-NL"/>
        </w:rPr>
        <w:t>grieven</w:t>
      </w:r>
      <w:r>
        <w:rPr>
          <w:rFonts w:asciiTheme="minorHAnsi" w:eastAsiaTheme="majorEastAsia" w:hAnsiTheme="minorHAnsi" w:cstheme="minorHAnsi"/>
          <w:color w:val="4F81BD" w:themeColor="accent1"/>
          <w:lang w:val="nl-NL"/>
        </w:rPr>
        <w:t xml:space="preserve"> en beoordeling door het BIPT</w:t>
      </w:r>
      <w:bookmarkEnd w:id="26"/>
    </w:p>
    <w:p w:rsidR="00732B96" w:rsidRDefault="00732B96" w:rsidP="00732B96">
      <w:pPr>
        <w:rPr>
          <w:rFonts w:eastAsiaTheme="majorEastAsia"/>
          <w:lang w:val="nl-NL"/>
        </w:rPr>
      </w:pPr>
    </w:p>
    <w:p w:rsidR="00732B96" w:rsidRPr="00D23630" w:rsidRDefault="003A4841" w:rsidP="00DC3143">
      <w:pPr>
        <w:pStyle w:val="Lijstalinea"/>
        <w:numPr>
          <w:ilvl w:val="0"/>
          <w:numId w:val="5"/>
        </w:numPr>
        <w:spacing w:line="276" w:lineRule="auto"/>
        <w:rPr>
          <w:szCs w:val="24"/>
          <w:lang w:val="nl-NL"/>
        </w:rPr>
      </w:pPr>
      <w:r>
        <w:rPr>
          <w:szCs w:val="24"/>
          <w:lang w:val="nl-NL"/>
        </w:rPr>
        <w:t>Dommel</w:t>
      </w:r>
      <w:r w:rsidR="00732B96" w:rsidRPr="00D23630">
        <w:rPr>
          <w:szCs w:val="24"/>
          <w:lang w:val="nl-NL"/>
        </w:rPr>
        <w:t xml:space="preserve"> verwoordde haar standpunt ten aanzien van de meegedeelde grie</w:t>
      </w:r>
      <w:r w:rsidR="005C7449">
        <w:rPr>
          <w:szCs w:val="24"/>
          <w:lang w:val="nl-NL"/>
        </w:rPr>
        <w:t>ven</w:t>
      </w:r>
      <w:r w:rsidR="00732B96" w:rsidRPr="00D23630">
        <w:rPr>
          <w:szCs w:val="24"/>
          <w:lang w:val="nl-NL"/>
        </w:rPr>
        <w:t xml:space="preserve"> </w:t>
      </w:r>
      <w:r>
        <w:rPr>
          <w:szCs w:val="24"/>
          <w:lang w:val="nl-NL"/>
        </w:rPr>
        <w:t xml:space="preserve">in haar brief aan het BIPT van 2 december 2013 </w:t>
      </w:r>
      <w:r w:rsidR="00732B96" w:rsidRPr="00D23630">
        <w:rPr>
          <w:szCs w:val="24"/>
          <w:lang w:val="nl-NL"/>
        </w:rPr>
        <w:t xml:space="preserve">alsook </w:t>
      </w:r>
      <w:r w:rsidRPr="00D23630">
        <w:rPr>
          <w:szCs w:val="24"/>
          <w:lang w:val="nl-NL"/>
        </w:rPr>
        <w:t xml:space="preserve">op de hoorzitting van </w:t>
      </w:r>
      <w:r>
        <w:rPr>
          <w:szCs w:val="24"/>
          <w:lang w:val="nl-NL"/>
        </w:rPr>
        <w:t>12 december</w:t>
      </w:r>
      <w:r w:rsidRPr="00D23630">
        <w:rPr>
          <w:szCs w:val="24"/>
          <w:lang w:val="nl-NL"/>
        </w:rPr>
        <w:t xml:space="preserve"> 201</w:t>
      </w:r>
      <w:r>
        <w:rPr>
          <w:szCs w:val="24"/>
          <w:lang w:val="nl-NL"/>
        </w:rPr>
        <w:t>3.</w:t>
      </w:r>
    </w:p>
    <w:p w:rsidR="00732B96" w:rsidRDefault="00732B96" w:rsidP="00732B96">
      <w:pPr>
        <w:rPr>
          <w:rFonts w:eastAsiaTheme="majorEastAsia"/>
          <w:lang w:val="nl-NL"/>
        </w:rPr>
      </w:pPr>
    </w:p>
    <w:p w:rsidR="00732B96" w:rsidRPr="00D23630" w:rsidRDefault="00732B96" w:rsidP="00DC3143">
      <w:pPr>
        <w:pStyle w:val="Lijstalinea"/>
        <w:numPr>
          <w:ilvl w:val="0"/>
          <w:numId w:val="5"/>
        </w:numPr>
        <w:spacing w:line="276" w:lineRule="auto"/>
        <w:rPr>
          <w:szCs w:val="24"/>
          <w:lang w:val="nl-NL"/>
        </w:rPr>
      </w:pPr>
      <w:r w:rsidRPr="00D23630">
        <w:rPr>
          <w:szCs w:val="24"/>
          <w:lang w:val="nl-NL"/>
        </w:rPr>
        <w:t>Het BIPT herhaalt hieronder de motivering voor het formuleren van de grie</w:t>
      </w:r>
      <w:r w:rsidR="003A4841">
        <w:rPr>
          <w:szCs w:val="24"/>
          <w:lang w:val="nl-NL"/>
        </w:rPr>
        <w:t xml:space="preserve">ven </w:t>
      </w:r>
      <w:r w:rsidRPr="00D23630">
        <w:rPr>
          <w:szCs w:val="24"/>
          <w:lang w:val="nl-NL"/>
        </w:rPr>
        <w:t xml:space="preserve">(onderdeel 4.2.1.), geeft het standpunt van </w:t>
      </w:r>
      <w:r w:rsidR="003A4841">
        <w:rPr>
          <w:szCs w:val="24"/>
          <w:lang w:val="nl-NL"/>
        </w:rPr>
        <w:t>Dommel</w:t>
      </w:r>
      <w:r w:rsidRPr="00D23630">
        <w:rPr>
          <w:szCs w:val="24"/>
          <w:lang w:val="nl-NL"/>
        </w:rPr>
        <w:t xml:space="preserve"> weer ten aanzien van de meegedeelde grie</w:t>
      </w:r>
      <w:r w:rsidR="003A4841">
        <w:rPr>
          <w:szCs w:val="24"/>
          <w:lang w:val="nl-NL"/>
        </w:rPr>
        <w:t>ven</w:t>
      </w:r>
      <w:r w:rsidRPr="00D23630">
        <w:rPr>
          <w:szCs w:val="24"/>
          <w:lang w:val="nl-NL"/>
        </w:rPr>
        <w:t xml:space="preserve"> (onderdeel 4.2.2.) om vervolgens zijn definitieve beoordeling aan het standpunt van </w:t>
      </w:r>
      <w:r w:rsidR="003A4841">
        <w:rPr>
          <w:szCs w:val="24"/>
          <w:lang w:val="nl-NL"/>
        </w:rPr>
        <w:t>Dommel</w:t>
      </w:r>
      <w:r w:rsidRPr="00D23630">
        <w:rPr>
          <w:szCs w:val="24"/>
          <w:lang w:val="nl-NL"/>
        </w:rPr>
        <w:t xml:space="preserve"> en de meegedeelde grie</w:t>
      </w:r>
      <w:r w:rsidR="003A4841">
        <w:rPr>
          <w:szCs w:val="24"/>
          <w:lang w:val="nl-NL"/>
        </w:rPr>
        <w:t>ven</w:t>
      </w:r>
      <w:r w:rsidRPr="00D23630">
        <w:rPr>
          <w:szCs w:val="24"/>
          <w:lang w:val="nl-NL"/>
        </w:rPr>
        <w:t xml:space="preserve"> te geven (onderdeel 4.2.3.).</w:t>
      </w:r>
    </w:p>
    <w:p w:rsidR="00732B96" w:rsidRDefault="00732B96" w:rsidP="00732B96">
      <w:pPr>
        <w:spacing w:line="276" w:lineRule="auto"/>
        <w:rPr>
          <w:rFonts w:asciiTheme="majorHAnsi" w:hAnsiTheme="majorHAnsi"/>
        </w:rPr>
      </w:pPr>
    </w:p>
    <w:p w:rsidR="00732B96" w:rsidRDefault="00732B96" w:rsidP="00732B96">
      <w:pPr>
        <w:pStyle w:val="Kop3"/>
        <w:spacing w:before="120"/>
        <w:rPr>
          <w:rFonts w:cs="Calibri"/>
          <w:color w:val="8DB3E2" w:themeColor="text2" w:themeTint="66"/>
          <w:sz w:val="24"/>
          <w:szCs w:val="24"/>
        </w:rPr>
      </w:pPr>
      <w:bookmarkStart w:id="27" w:name="_Toc376423483"/>
      <w:r w:rsidRPr="00DA0DDB">
        <w:rPr>
          <w:rFonts w:cs="Calibri"/>
          <w:color w:val="8DB3E2" w:themeColor="text2" w:themeTint="66"/>
          <w:sz w:val="24"/>
          <w:szCs w:val="24"/>
        </w:rPr>
        <w:t>4.2.</w:t>
      </w:r>
      <w:r>
        <w:rPr>
          <w:rFonts w:cs="Calibri"/>
          <w:color w:val="8DB3E2" w:themeColor="text2" w:themeTint="66"/>
          <w:sz w:val="24"/>
          <w:szCs w:val="24"/>
        </w:rPr>
        <w:t>1. Motivering van de meegedeelde grie</w:t>
      </w:r>
      <w:bookmarkEnd w:id="27"/>
      <w:r w:rsidR="00C96DB1">
        <w:rPr>
          <w:rFonts w:cs="Calibri"/>
          <w:color w:val="8DB3E2" w:themeColor="text2" w:themeTint="66"/>
          <w:sz w:val="24"/>
          <w:szCs w:val="24"/>
        </w:rPr>
        <w:t>ven</w:t>
      </w:r>
      <w:r w:rsidRPr="00DA0DDB">
        <w:rPr>
          <w:rFonts w:cs="Calibri"/>
          <w:color w:val="8DB3E2" w:themeColor="text2" w:themeTint="66"/>
          <w:sz w:val="24"/>
          <w:szCs w:val="24"/>
        </w:rPr>
        <w:t xml:space="preserve"> </w:t>
      </w:r>
    </w:p>
    <w:p w:rsidR="00732B96" w:rsidRDefault="00732B96" w:rsidP="00732B96"/>
    <w:p w:rsidR="00732B96" w:rsidRDefault="00732B96" w:rsidP="00DC3143">
      <w:pPr>
        <w:pStyle w:val="Lijstalinea"/>
        <w:numPr>
          <w:ilvl w:val="0"/>
          <w:numId w:val="5"/>
        </w:numPr>
      </w:pPr>
      <w:r>
        <w:t>De motivering op grond waarvan de grie</w:t>
      </w:r>
      <w:r w:rsidR="003A4841">
        <w:t>ven</w:t>
      </w:r>
      <w:r>
        <w:t xml:space="preserve"> werd</w:t>
      </w:r>
      <w:r w:rsidR="003A4841">
        <w:t>en</w:t>
      </w:r>
      <w:r>
        <w:t xml:space="preserve"> meegedeeld was de volgende :</w:t>
      </w:r>
    </w:p>
    <w:p w:rsidR="00732B96" w:rsidRDefault="00732B96" w:rsidP="00732B96"/>
    <w:p w:rsidR="003A4841" w:rsidRPr="003A4841" w:rsidRDefault="003A4841" w:rsidP="003A4841">
      <w:pPr>
        <w:keepNext/>
        <w:keepLines/>
        <w:spacing w:before="240"/>
        <w:ind w:left="720"/>
        <w:outlineLvl w:val="1"/>
        <w:rPr>
          <w:rFonts w:ascii="Calibri" w:hAnsi="Calibri" w:cs="Calibri"/>
          <w:b/>
          <w:bCs/>
          <w:sz w:val="26"/>
          <w:szCs w:val="26"/>
          <w:lang w:val="nl-NL" w:eastAsia="fr-FR"/>
        </w:rPr>
      </w:pPr>
      <w:bookmarkStart w:id="28" w:name="_Toc369854106"/>
      <w:bookmarkStart w:id="29" w:name="_Toc376423484"/>
      <w:bookmarkStart w:id="30" w:name="_Toc343673738"/>
      <w:r w:rsidRPr="003A4841">
        <w:rPr>
          <w:rFonts w:ascii="Calibri" w:hAnsi="Calibri" w:cs="Calibri"/>
          <w:b/>
          <w:bCs/>
          <w:sz w:val="26"/>
          <w:szCs w:val="26"/>
          <w:lang w:val="nl-NL" w:eastAsia="fr-FR"/>
        </w:rPr>
        <w:t>“2.3. Betreffende het onderdeel 5.2 van de algemene voorwaarden van Dommel</w:t>
      </w:r>
      <w:bookmarkEnd w:id="28"/>
      <w:bookmarkEnd w:id="29"/>
      <w:r w:rsidRPr="003A4841">
        <w:rPr>
          <w:rFonts w:ascii="Calibri" w:hAnsi="Calibri" w:cs="Calibri"/>
          <w:b/>
          <w:bCs/>
          <w:sz w:val="26"/>
          <w:szCs w:val="26"/>
          <w:lang w:val="nl-NL" w:eastAsia="fr-FR"/>
        </w:rPr>
        <w:t xml:space="preserve"> </w:t>
      </w:r>
    </w:p>
    <w:p w:rsidR="003A4841" w:rsidRPr="003A4841" w:rsidRDefault="003A4841" w:rsidP="003A4841">
      <w:pPr>
        <w:keepLines/>
        <w:rPr>
          <w:szCs w:val="20"/>
          <w:lang w:eastAsia="fr-FR"/>
        </w:rPr>
      </w:pPr>
    </w:p>
    <w:p w:rsidR="003A4841" w:rsidRPr="003A4841" w:rsidRDefault="003A4841" w:rsidP="003A4841">
      <w:pPr>
        <w:keepLines/>
        <w:ind w:left="709" w:firstLine="709"/>
        <w:rPr>
          <w:szCs w:val="20"/>
          <w:lang w:eastAsia="fr-FR"/>
        </w:rPr>
      </w:pPr>
      <w:r w:rsidRPr="003A4841">
        <w:rPr>
          <w:szCs w:val="20"/>
          <w:lang w:eastAsia="fr-FR"/>
        </w:rPr>
        <w:t xml:space="preserve">In het onderdeel 5.2 van de algemene voorwaarden van Dommel wordt gesteld : </w:t>
      </w:r>
    </w:p>
    <w:p w:rsidR="003A4841" w:rsidRPr="003A4841" w:rsidRDefault="003A4841" w:rsidP="003A4841">
      <w:pPr>
        <w:keepLines/>
        <w:rPr>
          <w:szCs w:val="20"/>
          <w:lang w:eastAsia="fr-FR"/>
        </w:rPr>
      </w:pPr>
    </w:p>
    <w:p w:rsidR="003A4841" w:rsidRPr="003A4841" w:rsidRDefault="003A4841" w:rsidP="003A4841">
      <w:pPr>
        <w:keepLines/>
        <w:ind w:left="1418"/>
        <w:rPr>
          <w:i/>
          <w:szCs w:val="20"/>
          <w:lang w:eastAsia="fr-FR"/>
        </w:rPr>
      </w:pPr>
      <w:r w:rsidRPr="003A4841">
        <w:rPr>
          <w:i/>
          <w:szCs w:val="20"/>
          <w:lang w:eastAsia="fr-FR"/>
        </w:rPr>
        <w:t>5.2. SCHEDOM NV/SA behoudt zich het recht haar prijzen op elk ogenblik te wijzigen. De nieuwe prijzen worden van kracht 7 dagen na de kennisgeving van de wijziging. De kennisgeving wordt gedaan door middel van een mededeling op de website van SCHEDOM NV/SA, per e-mail of per gewone brief. De online aangekondigde tarieven hebben de overhand op de schriftelijk medegedeelde tarieven. Indien de prijsverhoging 10% overschrijdt, heeft de Klant het recht om een einde te stellen aan het lopend contract op vervaldatum en dit vanaf de datum waarop de verhoging van kracht wordt door middel van een aangetekend schrijven.</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Vooreerst bevat deze bepaling vier onderdelen die in het licht van artikel 108, § 2, WEC, onaanvaardbaar zijn : </w:t>
      </w:r>
    </w:p>
    <w:p w:rsidR="003A4841" w:rsidRPr="003A4841" w:rsidRDefault="003A4841" w:rsidP="003A4841">
      <w:pPr>
        <w:keepLines/>
        <w:rPr>
          <w:szCs w:val="20"/>
          <w:lang w:eastAsia="fr-FR"/>
        </w:rPr>
      </w:pPr>
    </w:p>
    <w:p w:rsidR="003A4841" w:rsidRPr="003A4841" w:rsidRDefault="003A4841" w:rsidP="00DC3143">
      <w:pPr>
        <w:keepLines/>
        <w:numPr>
          <w:ilvl w:val="0"/>
          <w:numId w:val="7"/>
        </w:numPr>
        <w:spacing w:after="200" w:line="276" w:lineRule="auto"/>
        <w:jc w:val="left"/>
        <w:rPr>
          <w:szCs w:val="20"/>
          <w:lang w:eastAsia="fr-FR"/>
        </w:rPr>
      </w:pPr>
      <w:r w:rsidRPr="003A4841">
        <w:rPr>
          <w:szCs w:val="20"/>
          <w:lang w:eastAsia="fr-FR"/>
        </w:rPr>
        <w:lastRenderedPageBreak/>
        <w:t xml:space="preserve">De nieuwe prijzen worden van kracht 7 dagen na de kennisgeving van de wijziging : artikel 108, § 2, eerste lid, WEC, bepaalt nochtans duidelijk dat de abonnees </w:t>
      </w:r>
      <w:r w:rsidRPr="003A4841">
        <w:rPr>
          <w:i/>
          <w:szCs w:val="20"/>
          <w:lang w:eastAsia="fr-FR"/>
        </w:rPr>
        <w:t xml:space="preserve">“tijdig en ten minste één maand vooraf” </w:t>
      </w:r>
      <w:r w:rsidRPr="003A4841">
        <w:rPr>
          <w:szCs w:val="20"/>
          <w:lang w:eastAsia="fr-FR"/>
        </w:rPr>
        <w:t xml:space="preserve">individueel ter kennis worden gesteld van iedere </w:t>
      </w:r>
      <w:proofErr w:type="spellStart"/>
      <w:r w:rsidRPr="003A4841">
        <w:rPr>
          <w:szCs w:val="20"/>
          <w:lang w:eastAsia="fr-FR"/>
        </w:rPr>
        <w:t>contractswijziging</w:t>
      </w:r>
      <w:proofErr w:type="spellEnd"/>
      <w:r w:rsidRPr="003A4841">
        <w:rPr>
          <w:szCs w:val="20"/>
          <w:lang w:eastAsia="fr-FR"/>
        </w:rPr>
        <w:t>, d.w.z. ook van iedere tariefwijziging. De term “</w:t>
      </w:r>
      <w:r w:rsidRPr="003A4841">
        <w:rPr>
          <w:i/>
          <w:szCs w:val="20"/>
          <w:lang w:eastAsia="fr-FR"/>
        </w:rPr>
        <w:t>vooraf</w:t>
      </w:r>
      <w:r w:rsidRPr="003A4841">
        <w:rPr>
          <w:szCs w:val="20"/>
          <w:lang w:eastAsia="fr-FR"/>
        </w:rPr>
        <w:t xml:space="preserve">” dient begrepen te worden als voorafgaand aan de </w:t>
      </w:r>
      <w:proofErr w:type="spellStart"/>
      <w:r w:rsidRPr="003A4841">
        <w:rPr>
          <w:szCs w:val="20"/>
          <w:lang w:eastAsia="fr-FR"/>
        </w:rPr>
        <w:t>contractswijziging</w:t>
      </w:r>
      <w:proofErr w:type="spellEnd"/>
      <w:r w:rsidRPr="003A4841">
        <w:rPr>
          <w:szCs w:val="20"/>
          <w:lang w:eastAsia="fr-FR"/>
        </w:rPr>
        <w:t xml:space="preserve">. Dat de nieuwe prijzen van Dommel van kracht zouden worden 7 dagen na de kennisgeving van de wijziging lijkt derhalve onverenigbaar met artikel 108, § 2, eerste lid, WEC. Hieraan kan nog toegevoegd worden dat artikel 108, § 2, eerste lid, WEC, voorschrijft dat de operator zijn abonnee tegelijkertijd met die kennisgeving van de </w:t>
      </w:r>
      <w:proofErr w:type="spellStart"/>
      <w:r w:rsidRPr="003A4841">
        <w:rPr>
          <w:szCs w:val="20"/>
          <w:lang w:eastAsia="fr-FR"/>
        </w:rPr>
        <w:t>contractswijziging</w:t>
      </w:r>
      <w:proofErr w:type="spellEnd"/>
      <w:r w:rsidRPr="003A4841">
        <w:rPr>
          <w:szCs w:val="20"/>
          <w:lang w:eastAsia="fr-FR"/>
        </w:rPr>
        <w:t xml:space="preserve"> moet informeren over zijn recht om zonder boete het contract op te zeggen. Hiervan is in artikel 5.2 van de algemene voorwaarden geen spoor te vinden.</w:t>
      </w:r>
      <w:r w:rsidRPr="003A4841">
        <w:rPr>
          <w:rFonts w:cs="Bookman-Light"/>
          <w:lang w:eastAsia="nl-BE"/>
        </w:rPr>
        <w:t xml:space="preserve"> </w:t>
      </w:r>
    </w:p>
    <w:p w:rsidR="003A4841" w:rsidRPr="003A4841" w:rsidRDefault="003A4841" w:rsidP="00DC3143">
      <w:pPr>
        <w:keepLines/>
        <w:numPr>
          <w:ilvl w:val="0"/>
          <w:numId w:val="7"/>
        </w:numPr>
        <w:spacing w:after="200" w:line="276" w:lineRule="auto"/>
        <w:jc w:val="left"/>
        <w:rPr>
          <w:szCs w:val="20"/>
          <w:lang w:eastAsia="fr-FR"/>
        </w:rPr>
      </w:pPr>
      <w:r w:rsidRPr="003A4841">
        <w:rPr>
          <w:szCs w:val="20"/>
          <w:lang w:eastAsia="fr-FR"/>
        </w:rPr>
        <w:t>De kennisgeving van de prijswijziging kan door Dommel worden gedaan door een mededeling op website, per e-mail of per gewone brief :  Dommel beschikt derhalve over drie mogelijk communicatiemiddelen die het naar keuze kan benutten om haar abonnees te informeren over een wijziging van de tarieven. Nochtans bepaalt artikel 108, § 2, eerste lid, dat de operator “</w:t>
      </w:r>
      <w:r w:rsidRPr="003A4841">
        <w:rPr>
          <w:i/>
          <w:szCs w:val="20"/>
          <w:lang w:eastAsia="fr-FR"/>
        </w:rPr>
        <w:t>naar behoren individueel</w:t>
      </w:r>
      <w:r w:rsidRPr="003A4841">
        <w:rPr>
          <w:szCs w:val="20"/>
          <w:lang w:eastAsia="fr-FR"/>
        </w:rPr>
        <w:t xml:space="preserve">” ter kennis worden gesteld van dergelijke wijzigingen. </w:t>
      </w:r>
    </w:p>
    <w:p w:rsidR="003A4841" w:rsidRPr="003A4841" w:rsidRDefault="003A4841" w:rsidP="003A4841">
      <w:pPr>
        <w:keepLines/>
        <w:ind w:left="1418"/>
        <w:rPr>
          <w:szCs w:val="20"/>
          <w:lang w:eastAsia="fr-FR"/>
        </w:rPr>
      </w:pPr>
      <w:r w:rsidRPr="003A4841">
        <w:rPr>
          <w:szCs w:val="20"/>
          <w:lang w:eastAsia="fr-FR"/>
        </w:rPr>
        <w:t xml:space="preserve">Ter zake kunnen we verwijzen naar het besluit van de Raad van het BIPT van 28 juni 2010 tot het opleggen van een administratieve boete aan Belgacom wegens de niet-naleving van artikel 108, §2, van de wet van 13 juni 2005 betreffende de elektronische communicatie (hierna kortweg: “het besluit van 28 juni 2010” genoemd) .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In de context van het op de hoogte stellen van de abonnees van hun recht om zonder boete het contract op te zeggen ingeval van een prijsverhoging, heeft het BIPT in dat besluit  aangegeven “</w:t>
      </w:r>
      <w:r w:rsidRPr="003A4841">
        <w:rPr>
          <w:i/>
          <w:szCs w:val="20"/>
          <w:lang w:eastAsia="fr-FR"/>
        </w:rPr>
        <w:t>dat de klant in geen geval afzonderlijke actieve stappen (zoals zoeken op een website naar de toepasselijke algemene voorwaarden of persberichten over de betrokken tariefverhoging) moet ondernemen om informatie te krijgen, die de operator op grond van de wet naar behoren individueel aan de abonnee moet ter kennis brengen</w:t>
      </w:r>
      <w:r w:rsidRPr="003A4841">
        <w:rPr>
          <w:szCs w:val="20"/>
          <w:lang w:eastAsia="fr-FR"/>
        </w:rPr>
        <w:t xml:space="preserve">” (Besluit van 28 juni 2010, p. 14) en dat een verwijzing in een individuele brief naar een website geen individuele communicatie van het recht van de abonnee om het contract zonder boete op te zeggen uitmaakt. (ibidem, p. 22-23).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Deze zienswijze stemt trouwens overeen met deze van het Europese Hof van Justitie : in het arrest C-49/11 van 5 juli 2012 (inzake Content Services) stelde het Hof immers : </w:t>
      </w:r>
    </w:p>
    <w:p w:rsidR="003A4841" w:rsidRPr="003A4841" w:rsidRDefault="003A4841" w:rsidP="003A4841">
      <w:pPr>
        <w:keepLines/>
        <w:ind w:left="720"/>
        <w:jc w:val="left"/>
        <w:rPr>
          <w:szCs w:val="20"/>
          <w:lang w:eastAsia="fr-FR"/>
        </w:rPr>
      </w:pPr>
    </w:p>
    <w:p w:rsidR="003A4841" w:rsidRPr="003A4841" w:rsidRDefault="003A4841" w:rsidP="003A4841">
      <w:pPr>
        <w:keepLines/>
        <w:ind w:left="1418"/>
        <w:rPr>
          <w:i/>
          <w:szCs w:val="20"/>
          <w:lang w:eastAsia="fr-FR"/>
        </w:rPr>
      </w:pPr>
      <w:r w:rsidRPr="003A4841">
        <w:rPr>
          <w:i/>
          <w:szCs w:val="20"/>
          <w:lang w:eastAsia="fr-FR"/>
        </w:rPr>
        <w:t xml:space="preserve">“24.      Ten eerste moet de klant de informatie „ontvangen”. Dit houdt met name in dat deze informatie hem wordt meegedeeld zonder dat hij iets hoeft te doen om deze te verkrijgen. </w:t>
      </w:r>
    </w:p>
    <w:p w:rsidR="003A4841" w:rsidRPr="003A4841" w:rsidRDefault="003A4841" w:rsidP="003A4841">
      <w:pPr>
        <w:keepLines/>
        <w:rPr>
          <w:i/>
          <w:szCs w:val="20"/>
          <w:lang w:eastAsia="fr-FR"/>
        </w:rPr>
      </w:pPr>
      <w:r w:rsidRPr="003A4841">
        <w:rPr>
          <w:i/>
          <w:szCs w:val="20"/>
          <w:lang w:eastAsia="fr-FR"/>
        </w:rPr>
        <w:t xml:space="preserve">      </w:t>
      </w:r>
      <w:r>
        <w:rPr>
          <w:i/>
          <w:szCs w:val="20"/>
          <w:lang w:eastAsia="fr-FR"/>
        </w:rPr>
        <w:tab/>
      </w:r>
      <w:r>
        <w:rPr>
          <w:i/>
          <w:szCs w:val="20"/>
          <w:lang w:eastAsia="fr-FR"/>
        </w:rPr>
        <w:tab/>
      </w:r>
      <w:r w:rsidRPr="003A4841">
        <w:rPr>
          <w:i/>
          <w:szCs w:val="20"/>
          <w:lang w:eastAsia="fr-FR"/>
        </w:rPr>
        <w:t xml:space="preserve"> (…)</w:t>
      </w:r>
    </w:p>
    <w:p w:rsidR="003A4841" w:rsidRPr="003A4841" w:rsidRDefault="003A4841" w:rsidP="003A4841">
      <w:pPr>
        <w:keepLines/>
        <w:ind w:left="720"/>
        <w:rPr>
          <w:i/>
          <w:szCs w:val="20"/>
          <w:lang w:eastAsia="fr-FR"/>
        </w:rPr>
      </w:pPr>
    </w:p>
    <w:p w:rsidR="003A4841" w:rsidRPr="003A4841" w:rsidRDefault="003A4841" w:rsidP="003A4841">
      <w:pPr>
        <w:keepLines/>
        <w:ind w:left="1418"/>
        <w:rPr>
          <w:i/>
          <w:szCs w:val="20"/>
          <w:lang w:eastAsia="fr-FR"/>
        </w:rPr>
      </w:pPr>
      <w:r w:rsidRPr="003A4841">
        <w:rPr>
          <w:i/>
          <w:szCs w:val="20"/>
          <w:lang w:eastAsia="fr-FR"/>
        </w:rPr>
        <w:lastRenderedPageBreak/>
        <w:t xml:space="preserve">25.      Het doel van het voorschrift is duidelijk: volgens de richtlijn moet de consument automatisch, zonder er iets voor te hoeven doen, in het bezit komen van bepaalde informatie, die essentieel is om zijn rechten te doen gelden. Anders zouden veel consumenten, vooral de minder opmerkzame, een lagere bescherming genieten, aangezien zij niet noodzakelijkerwijs in staat zijn de betrokken informatie te vinden, indien dit nodig blijkt.” </w:t>
      </w:r>
    </w:p>
    <w:p w:rsidR="003A4841" w:rsidRPr="003A4841" w:rsidRDefault="003A4841" w:rsidP="003A4841">
      <w:pPr>
        <w:keepLines/>
        <w:ind w:left="720"/>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Bijgevolg kan er mee ingestemd worden dat Dommel zijn abonnees per e-mail op de hoogte brengt van de voorgenomen wijzigingen. Een loutere vermelding van deze wijzigingen  op de website volstaat echter niet als een individuele kennisgeving en kan derhalve niet als een volwaardig alternatief door Dommel aan de abonnees worden opgelegd. </w:t>
      </w:r>
    </w:p>
    <w:p w:rsidR="003A4841" w:rsidRPr="003A4841" w:rsidRDefault="003A4841" w:rsidP="003A4841">
      <w:pPr>
        <w:keepLines/>
        <w:jc w:val="left"/>
        <w:rPr>
          <w:szCs w:val="20"/>
          <w:lang w:eastAsia="fr-FR"/>
        </w:rPr>
      </w:pPr>
    </w:p>
    <w:p w:rsidR="003A4841" w:rsidRPr="003A4841" w:rsidRDefault="003A4841" w:rsidP="00DC3143">
      <w:pPr>
        <w:keepLines/>
        <w:numPr>
          <w:ilvl w:val="0"/>
          <w:numId w:val="7"/>
        </w:numPr>
        <w:spacing w:after="200" w:line="276" w:lineRule="auto"/>
        <w:jc w:val="left"/>
        <w:rPr>
          <w:szCs w:val="20"/>
          <w:lang w:eastAsia="fr-FR"/>
        </w:rPr>
      </w:pPr>
      <w:r w:rsidRPr="003A4841">
        <w:rPr>
          <w:szCs w:val="20"/>
          <w:lang w:eastAsia="fr-FR"/>
        </w:rPr>
        <w:t xml:space="preserve">De online aangekondigde tarieven hebben de overhand op de schriftelijk medegedeelde tarieven : dit onderdeel van de algemene voorwaarden verplicht de abonnee om hoe dan ook de website van Dommel te consulteren om (correct) geïnformeerd te worden over een mogelijke tariefwijziging. Deze bepaling lijkt de informatieverplichting die krachtens artikel 108, § 2, WEC, op iedere operator rust uit te hollen : de abonnees dienen overeenkomstig deze wettelijke bepaling immers naar behoren en individueel geïnformeerd te worden over alle contractuele wijzigingen met inbegrip van tariefwijzigingen. Er kan derhalve van hen niet worden verwacht dat zij een website zouden moeten raadplegen om zich te vergewissen van de correctheid van de informatie die hen schriftelijk wordt meegedeeld. Het is integendeel de wettelijke plicht van iedere operator om er zorg voor te dragen dat de tariefwijzigingen aan de abonnees individueel en “naar behoren”, d.w.z. correct, worden meegedeeld. </w:t>
      </w:r>
    </w:p>
    <w:p w:rsidR="003A4841" w:rsidRPr="003A4841" w:rsidRDefault="003A4841" w:rsidP="00DC3143">
      <w:pPr>
        <w:keepLines/>
        <w:numPr>
          <w:ilvl w:val="0"/>
          <w:numId w:val="7"/>
        </w:numPr>
        <w:spacing w:after="200" w:line="276" w:lineRule="auto"/>
        <w:jc w:val="left"/>
        <w:rPr>
          <w:szCs w:val="20"/>
          <w:lang w:eastAsia="fr-FR"/>
        </w:rPr>
      </w:pPr>
      <w:r w:rsidRPr="003A4841">
        <w:rPr>
          <w:szCs w:val="20"/>
          <w:lang w:eastAsia="fr-FR"/>
        </w:rPr>
        <w:t xml:space="preserve">Indien de prijsverhoging 10% overschrijdt, heeft de Klant het recht om een einde te stellen aan het lopend contract op vervaldatum en dit vanaf de datum waarop de verhoging van kracht wordt door middel van een aangetekend schrijven : vooreerst bepaalt artikel 108, § 2, 2de lid, WEC, dat bij iedere prijsverhoging de klant het recht heeft om zijn contract </w:t>
      </w:r>
      <w:proofErr w:type="spellStart"/>
      <w:r w:rsidRPr="003A4841">
        <w:rPr>
          <w:szCs w:val="20"/>
          <w:lang w:eastAsia="fr-FR"/>
        </w:rPr>
        <w:t>kostenloos</w:t>
      </w:r>
      <w:proofErr w:type="spellEnd"/>
      <w:r w:rsidRPr="003A4841">
        <w:rPr>
          <w:szCs w:val="20"/>
          <w:lang w:eastAsia="fr-FR"/>
        </w:rPr>
        <w:t xml:space="preserve"> op te zeggen : de wetgever heeft geen drempel van 10 % voorzien; het is dan ook niet aan Dommel om een dergelijke drempel aan haar abonnees op te leggen. Het is het BIPT onduidelijk hoe de drempel van 10 % verenigbaar is met artikel 108, § 2, 2de lid, WEC. </w:t>
      </w:r>
    </w:p>
    <w:p w:rsidR="003A4841" w:rsidRPr="003A4841" w:rsidRDefault="003A4841" w:rsidP="003A4841">
      <w:pPr>
        <w:keepLines/>
        <w:ind w:left="1418"/>
        <w:rPr>
          <w:szCs w:val="20"/>
          <w:lang w:eastAsia="fr-FR"/>
        </w:rPr>
      </w:pPr>
      <w:r w:rsidRPr="003A4841">
        <w:rPr>
          <w:szCs w:val="20"/>
          <w:lang w:eastAsia="fr-FR"/>
        </w:rPr>
        <w:t>Naast de inbreuken van het onderdeel 5.2 op artikel 108, § 2,  WEC, moet vastgesteld worden dat de laatste zin van dat onderdeel (“</w:t>
      </w:r>
      <w:r w:rsidRPr="003A4841">
        <w:rPr>
          <w:i/>
          <w:szCs w:val="20"/>
          <w:lang w:eastAsia="fr-FR"/>
        </w:rPr>
        <w:t>de Klant [heeft] het recht om een einde te stellen aan het lopend contract op vervaldatum en dit vanaf de datum waarop de verhoging van kracht wordt door middel van een aangetekend schrijven.”)</w:t>
      </w:r>
      <w:r w:rsidRPr="003A4841">
        <w:rPr>
          <w:szCs w:val="20"/>
          <w:lang w:eastAsia="fr-FR"/>
        </w:rPr>
        <w:t xml:space="preserve"> onaanvaardbaar is in het licht van artikel 111/3, § 1, WEC.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lastRenderedPageBreak/>
        <w:t>In artikel 111/3, § 1, WEC bepaalt de wetgever vooreerst expliciet dat de abonnee met alle schriftelijke middelen zijn contract kan opzeggen. Bijgevolg staat het de abonnee vrij om ook te opteren voor een gewone brief in plaats van voor een aangetekende brief. Uit de memorie van toelichting blijkt bovendien dat de wetgever met het begrip “</w:t>
      </w:r>
      <w:r w:rsidRPr="003A4841">
        <w:rPr>
          <w:i/>
          <w:szCs w:val="20"/>
          <w:lang w:eastAsia="fr-FR"/>
        </w:rPr>
        <w:t>schriftelijke middelen</w:t>
      </w:r>
      <w:r w:rsidRPr="003A4841">
        <w:rPr>
          <w:szCs w:val="20"/>
          <w:lang w:eastAsia="fr-FR"/>
        </w:rPr>
        <w:t xml:space="preserve">” niet alleen brieven op het oog heeft, maar de abonnee ook de mogelijkheid wil  bieden om zijn contract op te zeggen langs elektronische weg : </w:t>
      </w:r>
    </w:p>
    <w:p w:rsidR="003A4841" w:rsidRPr="003A4841" w:rsidRDefault="003A4841" w:rsidP="003A4841">
      <w:pPr>
        <w:keepLines/>
        <w:jc w:val="left"/>
        <w:rPr>
          <w:i/>
          <w:szCs w:val="20"/>
          <w:lang w:eastAsia="fr-FR"/>
        </w:rPr>
      </w:pPr>
    </w:p>
    <w:p w:rsidR="003A4841" w:rsidRPr="003A4841" w:rsidRDefault="003A4841" w:rsidP="003A4841">
      <w:pPr>
        <w:keepLines/>
        <w:ind w:left="1418"/>
        <w:rPr>
          <w:i/>
          <w:szCs w:val="20"/>
          <w:lang w:eastAsia="fr-FR"/>
        </w:rPr>
      </w:pPr>
      <w:r w:rsidRPr="003A4841">
        <w:rPr>
          <w:i/>
          <w:szCs w:val="20"/>
          <w:lang w:eastAsia="fr-FR"/>
        </w:rPr>
        <w:t xml:space="preserve">“In de praktijk is gebleken dat verschillende operatoren in dit geval een aangetekende brief eisten, wat de drempel tot opzeg voor de abonnee aanzienlijk verhoogt. Nu is het niet aan de operator om de middelen te beperken (brief, e-mail, aangetekende post, etc.) waarmee de abonnee zijn contract kan opzeggen. (…) Ten slotte wordt er ook in voorzien dat de opzegging moet gebeuren op schriftelijke wijze, waaronder dus ook door middel van een </w:t>
      </w:r>
      <w:proofErr w:type="spellStart"/>
      <w:r w:rsidRPr="003A4841">
        <w:rPr>
          <w:i/>
          <w:szCs w:val="20"/>
          <w:lang w:eastAsia="fr-FR"/>
        </w:rPr>
        <w:t>klikbaar</w:t>
      </w:r>
      <w:proofErr w:type="spellEnd"/>
      <w:r w:rsidRPr="003A4841">
        <w:rPr>
          <w:i/>
          <w:szCs w:val="20"/>
          <w:lang w:eastAsia="fr-FR"/>
        </w:rPr>
        <w:t xml:space="preserve"> elektronisch bericht, zoals bv. e-mail, het aanvinken van een daartoe voorzien vakje op een website, een sms naar een nummer dat door de operator is ingesteld voor het ontvangen van opzeggingen,... Reden hiertoe is dat bv. telefonisch opzeggen van een contract weinig rechtszekerheid biedt.”</w:t>
      </w:r>
      <w:r w:rsidRPr="003A4841">
        <w:rPr>
          <w:i/>
          <w:szCs w:val="20"/>
          <w:vertAlign w:val="superscript"/>
          <w:lang w:eastAsia="fr-FR"/>
        </w:rPr>
        <w:footnoteReference w:id="6"/>
      </w: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1418"/>
        <w:rPr>
          <w:szCs w:val="20"/>
          <w:lang w:eastAsia="fr-FR"/>
        </w:rPr>
      </w:pPr>
      <w:r w:rsidRPr="003A4841">
        <w:rPr>
          <w:szCs w:val="20"/>
          <w:lang w:eastAsia="fr-FR"/>
        </w:rPr>
        <w:t xml:space="preserve">Ten tweede bevat de laatste zin de verplichting voor de abonnee die zijn contract wil opzeggen, om dit te doen op de vervaldatum.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Nochtans bepaalt artikel 111/3, § 1, WEC expliciet dat het contract beëindigd wordt door de abonnee om het moment dat door hem wordt gekozen, waaraan de wetgever toevoegt : “zelfs onmiddellijk”.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Er kan bijgevolg geen sprake van zijn dat een abonnee zou moeten wachten tot een vervaldag alvorens zijn contract te kunnen opzeggen.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Aan deze opmerkingen aangaande het onderdeel 5.2 kan nog worden toegevoegd dat dit onderdeel in de </w:t>
      </w:r>
      <w:proofErr w:type="spellStart"/>
      <w:r w:rsidRPr="003A4841">
        <w:rPr>
          <w:szCs w:val="20"/>
          <w:lang w:eastAsia="fr-FR"/>
        </w:rPr>
        <w:t>eerdervernoemde</w:t>
      </w:r>
      <w:proofErr w:type="spellEnd"/>
      <w:r w:rsidRPr="003A4841">
        <w:rPr>
          <w:szCs w:val="20"/>
          <w:lang w:eastAsia="fr-FR"/>
        </w:rPr>
        <w:t xml:space="preserve"> brief van het BIPT van 23 december 2011 eveneens als onaanvaardbaar werd bestempeld. In de </w:t>
      </w:r>
      <w:proofErr w:type="spellStart"/>
      <w:r w:rsidRPr="003A4841">
        <w:rPr>
          <w:szCs w:val="20"/>
          <w:lang w:eastAsia="fr-FR"/>
        </w:rPr>
        <w:t>draftversies</w:t>
      </w:r>
      <w:proofErr w:type="spellEnd"/>
      <w:r w:rsidRPr="003A4841">
        <w:rPr>
          <w:szCs w:val="20"/>
          <w:lang w:eastAsia="fr-FR"/>
        </w:rPr>
        <w:t xml:space="preserve"> van december en juni 2012 werd dit onderdeel grondig herschreven</w:t>
      </w:r>
      <w:r w:rsidRPr="003A4841">
        <w:rPr>
          <w:sz w:val="20"/>
          <w:szCs w:val="20"/>
          <w:vertAlign w:val="superscript"/>
          <w:lang w:val="fr-BE" w:eastAsia="fr-FR"/>
        </w:rPr>
        <w:footnoteReference w:id="7"/>
      </w:r>
      <w:r w:rsidRPr="003A4841">
        <w:rPr>
          <w:szCs w:val="20"/>
          <w:lang w:eastAsia="fr-FR"/>
        </w:rPr>
        <w:t xml:space="preserve"> en in overeenstemming gebracht met de bestaande wetgeving. Desalniettemin heeft Dommel in zijn huidige algemene voorwaarden opnieuw de oorspronkelijke tekst opgenomen hoewel deze, zoals eerder gemeld aan Dommel, niet in overeenstemming is met de bestaande wetgeving. </w:t>
      </w:r>
    </w:p>
    <w:p w:rsidR="003A4841" w:rsidRPr="003A4841" w:rsidRDefault="003A4841" w:rsidP="003A4841">
      <w:pPr>
        <w:keepLines/>
        <w:ind w:left="360"/>
        <w:jc w:val="left"/>
        <w:rPr>
          <w:rFonts w:cs="Bookman-Light"/>
          <w:lang w:eastAsia="nl-BE"/>
        </w:rPr>
      </w:pPr>
    </w:p>
    <w:p w:rsidR="003A4841" w:rsidRPr="003A4841" w:rsidRDefault="003A4841" w:rsidP="003A4841">
      <w:pPr>
        <w:keepNext/>
        <w:keepLines/>
        <w:spacing w:before="240"/>
        <w:ind w:left="709"/>
        <w:outlineLvl w:val="1"/>
        <w:rPr>
          <w:rFonts w:ascii="Calibri" w:hAnsi="Calibri" w:cs="Calibri"/>
          <w:b/>
          <w:bCs/>
          <w:sz w:val="26"/>
          <w:szCs w:val="26"/>
          <w:lang w:val="nl-NL" w:eastAsia="fr-FR"/>
        </w:rPr>
      </w:pPr>
      <w:bookmarkStart w:id="32" w:name="_Toc369854107"/>
      <w:bookmarkStart w:id="33" w:name="_Toc376423485"/>
      <w:r w:rsidRPr="003A4841">
        <w:rPr>
          <w:rFonts w:ascii="Calibri" w:hAnsi="Calibri" w:cs="Calibri"/>
          <w:b/>
          <w:bCs/>
          <w:sz w:val="26"/>
          <w:szCs w:val="26"/>
          <w:lang w:val="nl-NL" w:eastAsia="fr-FR"/>
        </w:rPr>
        <w:t>2.3. Betreffende de onderdelen 9.1 e.v. van de algemene voorwaarden van Dommel</w:t>
      </w:r>
      <w:bookmarkEnd w:id="32"/>
      <w:bookmarkEnd w:id="33"/>
      <w:r w:rsidRPr="003A4841">
        <w:rPr>
          <w:rFonts w:ascii="Calibri" w:hAnsi="Calibri" w:cs="Calibri"/>
          <w:b/>
          <w:bCs/>
          <w:sz w:val="26"/>
          <w:szCs w:val="26"/>
          <w:lang w:val="nl-NL" w:eastAsia="fr-FR"/>
        </w:rPr>
        <w:t xml:space="preserve"> </w:t>
      </w:r>
    </w:p>
    <w:p w:rsidR="003A4841" w:rsidRPr="003A4841" w:rsidRDefault="003A4841" w:rsidP="003A4841">
      <w:pPr>
        <w:keepLines/>
        <w:ind w:left="360"/>
        <w:jc w:val="left"/>
        <w:rPr>
          <w:rFonts w:cs="Bookman-Light"/>
          <w:lang w:val="nl-NL" w:eastAsia="nl-BE"/>
        </w:rPr>
      </w:pPr>
    </w:p>
    <w:p w:rsidR="003A4841" w:rsidRPr="003A4841" w:rsidRDefault="003A4841" w:rsidP="003A4841">
      <w:pPr>
        <w:keepLines/>
        <w:ind w:left="709" w:firstLine="709"/>
        <w:rPr>
          <w:szCs w:val="20"/>
          <w:lang w:eastAsia="fr-FR"/>
        </w:rPr>
      </w:pPr>
      <w:r w:rsidRPr="003A4841">
        <w:rPr>
          <w:szCs w:val="20"/>
          <w:lang w:eastAsia="fr-FR"/>
        </w:rPr>
        <w:t xml:space="preserve">In de betreffende onderdelen wordt gesteld : </w:t>
      </w: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1418"/>
        <w:rPr>
          <w:i/>
          <w:szCs w:val="20"/>
          <w:lang w:val="nl-NL" w:eastAsia="fr-FR"/>
        </w:rPr>
      </w:pPr>
      <w:r w:rsidRPr="003A4841">
        <w:rPr>
          <w:i/>
          <w:szCs w:val="20"/>
          <w:lang w:val="nl-NL" w:eastAsia="fr-FR"/>
        </w:rPr>
        <w:t>9.1. SCHEDOM NV/SA kan op geen enkele manier verantwoordelijk gesteld worden voor het niet-werken van de aangeboden service. De service wordt aangeboden AS IS, tenzij voor de services waar de SSLA (schedom service level agreement) uitdrukkelijk van toepassing is.</w:t>
      </w:r>
    </w:p>
    <w:p w:rsidR="003A4841" w:rsidRPr="003A4841" w:rsidRDefault="003A4841" w:rsidP="003A4841">
      <w:pPr>
        <w:keepLines/>
        <w:ind w:left="709" w:firstLine="709"/>
        <w:rPr>
          <w:i/>
          <w:szCs w:val="20"/>
          <w:lang w:val="nl-NL" w:eastAsia="fr-FR"/>
        </w:rPr>
      </w:pPr>
      <w:r w:rsidRPr="003A4841">
        <w:rPr>
          <w:i/>
          <w:szCs w:val="20"/>
          <w:lang w:val="nl-NL" w:eastAsia="fr-FR"/>
        </w:rPr>
        <w:t>(…)</w:t>
      </w:r>
    </w:p>
    <w:p w:rsidR="003A4841" w:rsidRPr="003A4841" w:rsidRDefault="003A4841" w:rsidP="003A4841">
      <w:pPr>
        <w:keepLines/>
        <w:ind w:left="1418"/>
        <w:rPr>
          <w:i/>
          <w:szCs w:val="20"/>
          <w:lang w:val="nl-NL" w:eastAsia="fr-FR"/>
        </w:rPr>
      </w:pPr>
      <w:r w:rsidRPr="003A4841">
        <w:rPr>
          <w:i/>
          <w:szCs w:val="20"/>
          <w:lang w:val="nl-NL" w:eastAsia="fr-FR"/>
        </w:rPr>
        <w:lastRenderedPageBreak/>
        <w:t>9.3. De toegang tot het internet en/of de servers en het telefoonnetwerk van SCHEDOM NV/SA is beschikbaar 24 uur op 24 uur, 7 dagen op 7, behalve in het geval van onderbrekingen die vereist zijn om onderhoudswerken uit te voeren, voor ontwikkelingen of verbeteringen of andere activiteiten die SCHEDOM NV/SA zou wensen uit te voeren. SCHEDOM NV/SA is geen enkele schadevergoeding verschuldigd voor dergelijke onderbrekingen. SCHEDOM NV/SA kan bovendien niet uitdrukkelijk noch stilzwijgend waarborgen dat de dienst in staat is om in te spelen op de eventuele behoeften en verwachtingen van zijn klanten.</w:t>
      </w:r>
    </w:p>
    <w:p w:rsidR="003A4841" w:rsidRPr="003A4841" w:rsidRDefault="003A4841" w:rsidP="003A4841">
      <w:pPr>
        <w:keepLines/>
        <w:ind w:left="1418"/>
        <w:rPr>
          <w:i/>
          <w:szCs w:val="20"/>
          <w:lang w:val="nl-NL" w:eastAsia="fr-FR"/>
        </w:rPr>
      </w:pPr>
      <w:r w:rsidRPr="003A4841">
        <w:rPr>
          <w:i/>
          <w:szCs w:val="20"/>
          <w:lang w:val="nl-NL" w:eastAsia="fr-FR"/>
        </w:rPr>
        <w:t>9.4. SCHEDOM NV/SA kan de dienst geheel of gedeeltelijk en zonder verwittiging opschorten naar aanleiding van een gebeurtenis onafhankelijk van haar wil, onderhoudsactiviteiten of storing of defect. Deze onderbrekingen kunnen geen aanleiding geven tot recht op schadevergoeding voor wie dan ook. SCHEDOM NV/SA informeert zijn klanten omtrent ingrijpende onderbrekingen binnen een redelijke termijn.</w:t>
      </w:r>
    </w:p>
    <w:p w:rsidR="003A4841" w:rsidRPr="003A4841" w:rsidRDefault="003A4841" w:rsidP="003A4841">
      <w:pPr>
        <w:keepLines/>
        <w:ind w:left="709" w:firstLine="709"/>
        <w:rPr>
          <w:i/>
          <w:szCs w:val="20"/>
          <w:lang w:val="nl-NL" w:eastAsia="fr-FR"/>
        </w:rPr>
      </w:pPr>
      <w:r w:rsidRPr="003A4841">
        <w:rPr>
          <w:i/>
          <w:szCs w:val="20"/>
          <w:lang w:val="nl-NL" w:eastAsia="fr-FR"/>
        </w:rPr>
        <w:t>(…)</w:t>
      </w:r>
    </w:p>
    <w:p w:rsidR="003A4841" w:rsidRPr="003A4841" w:rsidRDefault="003A4841" w:rsidP="003A4841">
      <w:pPr>
        <w:keepLines/>
        <w:ind w:left="1418"/>
        <w:rPr>
          <w:i/>
          <w:szCs w:val="20"/>
          <w:lang w:val="nl-NL" w:eastAsia="fr-FR"/>
        </w:rPr>
      </w:pPr>
      <w:r w:rsidRPr="003A4841">
        <w:rPr>
          <w:i/>
          <w:szCs w:val="20"/>
          <w:lang w:val="nl-NL" w:eastAsia="fr-FR"/>
        </w:rPr>
        <w:t xml:space="preserve">9.6. In geen geval, zelfs niet in geval van nalatigheid, kan SCHEDOM NV/SA verantwoordelijk gesteld worden voor minwaarden, kwaliteitsverlies, defecten of lacunes, onderbrekingen, onvolkomenheden, diefstal en beschadiging veroorzaakt aan het informaticasysteem, al dan niet door een derde, behoudens in geval van bedrog of opzet. </w:t>
      </w: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1418"/>
        <w:rPr>
          <w:szCs w:val="20"/>
          <w:lang w:eastAsia="fr-FR"/>
        </w:rPr>
      </w:pPr>
      <w:r w:rsidRPr="003A4841">
        <w:rPr>
          <w:szCs w:val="20"/>
          <w:lang w:eastAsia="fr-FR"/>
        </w:rPr>
        <w:t xml:space="preserve">Krachtens artikel 108, § 1, f), WEC moeten de algemene voorwaarden van een operator vermelden wat de voorwaarden en de nadere regels zijn voor schadevergoeding en terugbetaling die eventueel van toepassing zijn ingeval niet aan contractueel overeengekomen kwaliteitsniveaus van de dienst wordt voldaan.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Er moet worden vastgesteld dat de algemene voorwaarden van Dommel geen melding maken van enig vorm van schadevergoeding of terugbetaling noch voorwaarden of nadere regels dienaangaande bevatten.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De regels qua schadeloosstelling worden niet uitgewerkt. In plaats van een regeling en voorwaarden voor schadevergoeding, zoals vooropgesteld door artikel 108, § 1, f), WEC, bevatten de algemene voorwaarden van Dommel </w:t>
      </w:r>
      <w:proofErr w:type="spellStart"/>
      <w:r w:rsidRPr="003A4841">
        <w:rPr>
          <w:szCs w:val="20"/>
          <w:lang w:eastAsia="fr-FR"/>
        </w:rPr>
        <w:t>exoneratiebedingen</w:t>
      </w:r>
      <w:proofErr w:type="spellEnd"/>
      <w:r w:rsidRPr="003A4841">
        <w:rPr>
          <w:szCs w:val="20"/>
          <w:lang w:eastAsia="fr-FR"/>
        </w:rPr>
        <w:t xml:space="preserve"> waarbij Dommel iedere schadevergoeding afwijst, - met uitzondering van schade die ontstaan die door bedrog of opzet. Het BIPT meent dat deze artikelen strijdig geacht kunnen worden met artikel 108, § 1, f), WEC, omdat zij geen voorwaarden of nadere regels voorzien waarbij de abonnee zich kan beroepen op enige schadevergoeding of terugbetaling, ongeacht het kwaliteitsniveau van de door Dommel geleverde dienst.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Aan deze opmerkingen aangaande de onderdelen 9.1 kan nog worden toegevoegd dat deze onderdelen in de </w:t>
      </w:r>
      <w:proofErr w:type="spellStart"/>
      <w:r w:rsidRPr="003A4841">
        <w:rPr>
          <w:szCs w:val="20"/>
          <w:lang w:eastAsia="fr-FR"/>
        </w:rPr>
        <w:t>eerdervernoemde</w:t>
      </w:r>
      <w:proofErr w:type="spellEnd"/>
      <w:r w:rsidRPr="003A4841">
        <w:rPr>
          <w:szCs w:val="20"/>
          <w:lang w:eastAsia="fr-FR"/>
        </w:rPr>
        <w:t xml:space="preserve"> brief van het BIPT van 23 december 2011 eveneens als onaanvaardbaar werd bestempeld. In de </w:t>
      </w:r>
      <w:proofErr w:type="spellStart"/>
      <w:r w:rsidRPr="003A4841">
        <w:rPr>
          <w:szCs w:val="20"/>
          <w:lang w:eastAsia="fr-FR"/>
        </w:rPr>
        <w:t>draftversies</w:t>
      </w:r>
      <w:proofErr w:type="spellEnd"/>
      <w:r w:rsidRPr="003A4841">
        <w:rPr>
          <w:szCs w:val="20"/>
          <w:lang w:eastAsia="fr-FR"/>
        </w:rPr>
        <w:t xml:space="preserve"> van december en juni 2012 werd deze onderdelen grondig herschreven en in overeenstemming gebracht met de bestaande wetgeving</w:t>
      </w:r>
      <w:r w:rsidRPr="003A4841">
        <w:rPr>
          <w:sz w:val="20"/>
          <w:szCs w:val="20"/>
          <w:vertAlign w:val="superscript"/>
          <w:lang w:val="fr-BE" w:eastAsia="fr-FR"/>
        </w:rPr>
        <w:footnoteReference w:id="8"/>
      </w:r>
      <w:r w:rsidRPr="003A4841">
        <w:rPr>
          <w:szCs w:val="20"/>
          <w:lang w:eastAsia="fr-FR"/>
        </w:rPr>
        <w:t>. Desalniettemin heeft Dommel in zijn huidige algemene voorwaarden opnieuw de oorspronkelijke teksten opgenomen hoewel deze, zoals eerder gemeld aan Dommel, niet in overeenstemming is met de bestaande wetgeving.</w:t>
      </w:r>
    </w:p>
    <w:p w:rsidR="003A4841" w:rsidRPr="003A4841" w:rsidRDefault="003A4841" w:rsidP="003A4841">
      <w:pPr>
        <w:keepLines/>
        <w:rPr>
          <w:szCs w:val="20"/>
          <w:lang w:eastAsia="fr-FR"/>
        </w:rPr>
      </w:pPr>
    </w:p>
    <w:p w:rsidR="003A4841" w:rsidRPr="003A4841" w:rsidRDefault="003A4841" w:rsidP="003A4841">
      <w:pPr>
        <w:keepLines/>
        <w:ind w:left="360"/>
        <w:jc w:val="left"/>
        <w:rPr>
          <w:rFonts w:cs="Bookman-Light"/>
          <w:lang w:eastAsia="nl-BE"/>
        </w:rPr>
      </w:pPr>
    </w:p>
    <w:p w:rsidR="003A4841" w:rsidRPr="003A4841" w:rsidRDefault="003A4841" w:rsidP="003A4841">
      <w:pPr>
        <w:keepNext/>
        <w:keepLines/>
        <w:spacing w:before="240"/>
        <w:ind w:left="709"/>
        <w:outlineLvl w:val="1"/>
        <w:rPr>
          <w:rFonts w:ascii="Calibri" w:hAnsi="Calibri" w:cs="Calibri"/>
          <w:b/>
          <w:bCs/>
          <w:sz w:val="26"/>
          <w:szCs w:val="26"/>
          <w:lang w:val="nl-NL" w:eastAsia="fr-FR"/>
        </w:rPr>
      </w:pPr>
      <w:bookmarkStart w:id="34" w:name="_Toc369854108"/>
      <w:bookmarkStart w:id="35" w:name="_Toc376423486"/>
      <w:r w:rsidRPr="003A4841">
        <w:rPr>
          <w:rFonts w:ascii="Calibri" w:hAnsi="Calibri" w:cs="Calibri"/>
          <w:b/>
          <w:bCs/>
          <w:sz w:val="26"/>
          <w:szCs w:val="26"/>
          <w:lang w:val="nl-NL" w:eastAsia="fr-FR"/>
        </w:rPr>
        <w:lastRenderedPageBreak/>
        <w:t>2.4. Betreffende het onderdeel  13.1 van de algemene voorwaarden van Dommel</w:t>
      </w:r>
      <w:bookmarkEnd w:id="34"/>
      <w:bookmarkEnd w:id="35"/>
      <w:r w:rsidRPr="003A4841">
        <w:rPr>
          <w:rFonts w:ascii="Calibri" w:hAnsi="Calibri" w:cs="Calibri"/>
          <w:b/>
          <w:bCs/>
          <w:sz w:val="26"/>
          <w:szCs w:val="26"/>
          <w:lang w:val="nl-NL" w:eastAsia="fr-FR"/>
        </w:rPr>
        <w:t xml:space="preserve"> </w:t>
      </w: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709" w:firstLine="709"/>
        <w:rPr>
          <w:rFonts w:cs="Bookman-Light"/>
          <w:lang w:eastAsia="nl-BE"/>
        </w:rPr>
      </w:pPr>
      <w:r w:rsidRPr="003A4841">
        <w:rPr>
          <w:szCs w:val="20"/>
          <w:lang w:eastAsia="fr-FR"/>
        </w:rPr>
        <w:t xml:space="preserve">Het onderdeel 13.1 van  de algemene voorwaarden van Dommel bepaalt : </w:t>
      </w:r>
    </w:p>
    <w:p w:rsidR="003A4841" w:rsidRPr="003A4841" w:rsidRDefault="003A4841" w:rsidP="003A4841">
      <w:pPr>
        <w:keepLines/>
        <w:rPr>
          <w:rFonts w:cs="Bookman-Light"/>
          <w:lang w:eastAsia="nl-BE"/>
        </w:rPr>
      </w:pPr>
    </w:p>
    <w:p w:rsidR="003A4841" w:rsidRPr="003A4841" w:rsidRDefault="003A4841" w:rsidP="003A4841">
      <w:pPr>
        <w:keepLines/>
        <w:ind w:left="1418"/>
        <w:rPr>
          <w:i/>
          <w:szCs w:val="20"/>
          <w:lang w:val="nl-NL" w:eastAsia="fr-FR"/>
        </w:rPr>
      </w:pPr>
      <w:r w:rsidRPr="003A4841">
        <w:rPr>
          <w:i/>
          <w:szCs w:val="20"/>
          <w:lang w:val="nl-NL" w:eastAsia="fr-FR"/>
        </w:rPr>
        <w:t>“13.1. Een abonnement wordt steeds afgesloten voor onbepaalde duur. Abonnementen van internet- en telefonie-aansluitingen zijn steeds voor de periode van minimum 1 jaar. Ingeval van vroegtijdige opzegging van het contract blijven de abonnementsgelden voor de resterende periode van deze eerste 12 maanden verschuldigd.</w:t>
      </w:r>
    </w:p>
    <w:p w:rsidR="003A4841" w:rsidRPr="003A4841" w:rsidRDefault="003A4841" w:rsidP="003A4841">
      <w:pPr>
        <w:keepLines/>
        <w:ind w:left="709" w:firstLine="709"/>
        <w:rPr>
          <w:i/>
          <w:szCs w:val="20"/>
          <w:lang w:val="nl-NL" w:eastAsia="fr-FR"/>
        </w:rPr>
      </w:pPr>
      <w:r w:rsidRPr="003A4841">
        <w:rPr>
          <w:i/>
          <w:szCs w:val="20"/>
          <w:lang w:val="nl-NL" w:eastAsia="fr-FR"/>
        </w:rPr>
        <w:t>(…)</w:t>
      </w:r>
    </w:p>
    <w:p w:rsidR="003A4841" w:rsidRPr="003A4841" w:rsidRDefault="003A4841" w:rsidP="003A4841">
      <w:pPr>
        <w:keepLines/>
        <w:ind w:left="1418"/>
        <w:rPr>
          <w:i/>
          <w:szCs w:val="20"/>
          <w:lang w:val="nl-NL" w:eastAsia="fr-FR"/>
        </w:rPr>
      </w:pPr>
      <w:r w:rsidRPr="003A4841">
        <w:rPr>
          <w:i/>
          <w:szCs w:val="20"/>
          <w:lang w:val="nl-NL" w:eastAsia="fr-FR"/>
        </w:rPr>
        <w:t xml:space="preserve">Deze abonnementen zijn betaalbaar op maandelijkse, </w:t>
      </w:r>
      <w:proofErr w:type="spellStart"/>
      <w:r w:rsidRPr="003A4841">
        <w:rPr>
          <w:i/>
          <w:szCs w:val="20"/>
          <w:lang w:val="nl-NL" w:eastAsia="fr-FR"/>
        </w:rPr>
        <w:t>drie-maandelijkse</w:t>
      </w:r>
      <w:proofErr w:type="spellEnd"/>
      <w:r w:rsidRPr="003A4841">
        <w:rPr>
          <w:i/>
          <w:szCs w:val="20"/>
          <w:lang w:val="nl-NL" w:eastAsia="fr-FR"/>
        </w:rPr>
        <w:t xml:space="preserve">, </w:t>
      </w:r>
      <w:proofErr w:type="spellStart"/>
      <w:r w:rsidRPr="003A4841">
        <w:rPr>
          <w:i/>
          <w:szCs w:val="20"/>
          <w:lang w:val="nl-NL" w:eastAsia="fr-FR"/>
        </w:rPr>
        <w:t>half-jaarlijkse</w:t>
      </w:r>
      <w:proofErr w:type="spellEnd"/>
      <w:r w:rsidRPr="003A4841">
        <w:rPr>
          <w:i/>
          <w:szCs w:val="20"/>
          <w:lang w:val="nl-NL" w:eastAsia="fr-FR"/>
        </w:rPr>
        <w:t xml:space="preserve">, jaarlijkse of </w:t>
      </w:r>
      <w:proofErr w:type="spellStart"/>
      <w:r w:rsidRPr="003A4841">
        <w:rPr>
          <w:i/>
          <w:szCs w:val="20"/>
          <w:lang w:val="nl-NL" w:eastAsia="fr-FR"/>
        </w:rPr>
        <w:t>twee-jaarlijkse</w:t>
      </w:r>
      <w:proofErr w:type="spellEnd"/>
      <w:r w:rsidRPr="003A4841">
        <w:rPr>
          <w:i/>
          <w:szCs w:val="20"/>
          <w:lang w:val="nl-NL" w:eastAsia="fr-FR"/>
        </w:rPr>
        <w:t xml:space="preserve"> termijnen.” </w:t>
      </w: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1418"/>
        <w:rPr>
          <w:szCs w:val="20"/>
          <w:lang w:eastAsia="fr-FR"/>
        </w:rPr>
      </w:pPr>
      <w:r w:rsidRPr="003A4841">
        <w:rPr>
          <w:szCs w:val="20"/>
          <w:lang w:eastAsia="fr-FR"/>
        </w:rPr>
        <w:t xml:space="preserve">Vooreerst bepaalt artikel 111/3, § 3, WEC expliciet dat een consument of een abonnee die over niet meer dan 5 oproepnummers beschikt, zijn contract van bepaalde duur zonder schadevergoeding mag opzeggen na afloop van de 6de maand volgend op de inwerkingtreding van het contract. </w:t>
      </w:r>
    </w:p>
    <w:p w:rsidR="003A4841" w:rsidRPr="003A4841" w:rsidRDefault="003A4841" w:rsidP="003A4841">
      <w:pPr>
        <w:keepLines/>
        <w:rPr>
          <w:szCs w:val="20"/>
          <w:lang w:eastAsia="fr-FR"/>
        </w:rPr>
      </w:pPr>
    </w:p>
    <w:p w:rsidR="003A4841" w:rsidRPr="003A4841" w:rsidRDefault="003A4841" w:rsidP="003A4841">
      <w:pPr>
        <w:keepLines/>
        <w:ind w:left="709" w:firstLine="709"/>
        <w:rPr>
          <w:szCs w:val="20"/>
          <w:lang w:eastAsia="fr-FR"/>
        </w:rPr>
      </w:pPr>
      <w:r w:rsidRPr="003A4841">
        <w:rPr>
          <w:szCs w:val="20"/>
          <w:lang w:eastAsia="fr-FR"/>
        </w:rPr>
        <w:t xml:space="preserve">In de memorie van toelichting wordt daarover gesteld : </w:t>
      </w: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1418"/>
        <w:rPr>
          <w:i/>
          <w:szCs w:val="20"/>
          <w:lang w:val="nl-NL" w:eastAsia="fr-FR"/>
        </w:rPr>
      </w:pPr>
      <w:r w:rsidRPr="003A4841">
        <w:rPr>
          <w:i/>
          <w:szCs w:val="20"/>
          <w:lang w:val="nl-NL" w:eastAsia="fr-FR"/>
        </w:rPr>
        <w:t xml:space="preserve">“De regeling in paragraaf 3 heeft tot doel de volgende regeling tot stand te brengen: de klant kan tijdens de eerste zes maanden van zijn overeenkomst met bepaalde duur van maximum 24 maanden zijn overeenkomst niet  verbreken (of toch enkel mits het betalen, overeenkomstig de algemene beginselen van contractenrecht, van maximaal het volledige abonnementsgeld dat nog verschuldigd zou zijn tot aan de </w:t>
      </w:r>
      <w:proofErr w:type="spellStart"/>
      <w:r w:rsidRPr="003A4841">
        <w:rPr>
          <w:i/>
          <w:szCs w:val="20"/>
          <w:lang w:val="nl-NL" w:eastAsia="fr-FR"/>
        </w:rPr>
        <w:t>afl</w:t>
      </w:r>
      <w:proofErr w:type="spellEnd"/>
      <w:r w:rsidRPr="003A4841">
        <w:rPr>
          <w:i/>
          <w:szCs w:val="20"/>
          <w:lang w:val="nl-NL" w:eastAsia="fr-FR"/>
        </w:rPr>
        <w:t xml:space="preserve"> </w:t>
      </w:r>
      <w:proofErr w:type="spellStart"/>
      <w:r w:rsidRPr="003A4841">
        <w:rPr>
          <w:i/>
          <w:szCs w:val="20"/>
          <w:lang w:val="nl-NL" w:eastAsia="fr-FR"/>
        </w:rPr>
        <w:t>oop</w:t>
      </w:r>
      <w:proofErr w:type="spellEnd"/>
      <w:r w:rsidRPr="003A4841">
        <w:rPr>
          <w:i/>
          <w:szCs w:val="20"/>
          <w:lang w:val="nl-NL" w:eastAsia="fr-FR"/>
        </w:rPr>
        <w:t xml:space="preserve"> van de zesde maand volgend op de inwerkingtreding van het contract). Hij kan daarna zijn overeenkomst op elk moment en zonder vergoeding zijn contract beëindigen. Ook bij contracten van onbepaalde duur kan er op elk moment zelfs “met onmiddellijke ingang” en zonder vergoeding “opgezegd” worden.</w:t>
      </w:r>
    </w:p>
    <w:p w:rsidR="003A4841" w:rsidRPr="003A4841" w:rsidRDefault="003A4841" w:rsidP="003A4841">
      <w:pPr>
        <w:keepLines/>
        <w:ind w:left="1418"/>
        <w:rPr>
          <w:i/>
          <w:szCs w:val="20"/>
          <w:lang w:val="nl-NL" w:eastAsia="fr-FR"/>
        </w:rPr>
      </w:pPr>
      <w:r w:rsidRPr="003A4841">
        <w:rPr>
          <w:i/>
          <w:szCs w:val="20"/>
          <w:lang w:val="nl-NL" w:eastAsia="fr-FR"/>
        </w:rPr>
        <w:t>De schadevergoeding tijdens de eerste zes maanden is gerechtvaardigd om de operator toe te laten zijn gemaakte kosten van acquisitie en eventuele promoties op installatiekosten te recupereren. Een gratis opzeg na een periode van zes maanden zal voor meer dynamiek en klanten-vriendelijkheid in de telecommarkt zorgen, omdat operatoren meer moeite zullen doen om hun klanten te behouden. Wat betreft de installatiekosten, staat het de operator vrij om deze kosten geheel of gedeeltelijk kwijt te schelden aan de klant en die dan te recupereren via een iets hogere abonnementskost.  De operator zou er ook voor kunnen kiezen om de installatie aan het begin van het contract aan te rekenen in combinatie met een lagere abonnementskost, wat ten goede komt voor trouwe klanten die langer dan de vaste contractduur blijven.”</w:t>
      </w:r>
    </w:p>
    <w:p w:rsidR="003A4841" w:rsidRPr="003A4841" w:rsidRDefault="003A4841" w:rsidP="003A4841">
      <w:pPr>
        <w:keepLines/>
        <w:ind w:left="360"/>
        <w:rPr>
          <w:rFonts w:cs="Bookman-Light"/>
          <w:lang w:eastAsia="nl-BE"/>
        </w:rPr>
      </w:pPr>
    </w:p>
    <w:p w:rsidR="003A4841" w:rsidRPr="003A4841" w:rsidRDefault="003A4841" w:rsidP="003A4841">
      <w:pPr>
        <w:keepLines/>
        <w:ind w:left="1418"/>
        <w:rPr>
          <w:szCs w:val="20"/>
          <w:lang w:eastAsia="fr-FR"/>
        </w:rPr>
      </w:pPr>
      <w:r w:rsidRPr="003A4841">
        <w:rPr>
          <w:szCs w:val="20"/>
          <w:lang w:eastAsia="fr-FR"/>
        </w:rPr>
        <w:t xml:space="preserve">Er kan bijgevolg geen sprake van zijn dat wanneer een consument of een abonnee die over niet meer dan 5 oproepnummers beschikt zijn contract van een jaar opzegt na meer dan 6 maanden, hij nog gehouden zou zijn om Dommel daarvoor een vergoeding te betalen.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Bovendien bepaalt artikel 111/3, § 3, 2de lid, dat wanneer een consument of een abonnee die over niet meer dan 5 oproepnummers beschikt, zijn contract van bepaalde duur opzegt in de loop van de eerste 6 maanden, de vergoeding niet hoger mag zijn dan het abonnementsgeld dat nog verschuldigd zou zijn tot aan de afloop van de 6de maand volgend op de inwerkingtreding van het contract. </w:t>
      </w: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1418"/>
        <w:rPr>
          <w:szCs w:val="20"/>
          <w:lang w:eastAsia="fr-FR"/>
        </w:rPr>
      </w:pPr>
      <w:r w:rsidRPr="003A4841">
        <w:rPr>
          <w:szCs w:val="20"/>
          <w:lang w:eastAsia="fr-FR"/>
        </w:rPr>
        <w:t xml:space="preserve">Bijgevolg kan er ook in het geval van een opzegging van een contract van bepaalde duur binnen de eerste 6 maanden van het contract geen sprake van zijn dat de consument of de abonnee die over niet meer dan 5 oproepnummers beschikt, ertoe gehouden zou zijn om een schadevergoeding te betalen ten </w:t>
      </w:r>
      <w:proofErr w:type="spellStart"/>
      <w:r w:rsidRPr="003A4841">
        <w:rPr>
          <w:szCs w:val="20"/>
          <w:lang w:eastAsia="fr-FR"/>
        </w:rPr>
        <w:t>belope</w:t>
      </w:r>
      <w:proofErr w:type="spellEnd"/>
      <w:r w:rsidRPr="003A4841">
        <w:rPr>
          <w:szCs w:val="20"/>
          <w:lang w:eastAsia="fr-FR"/>
        </w:rPr>
        <w:t xml:space="preserve"> van de resterende periode van de eerste 12 maanden.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Wat betreft het 2de lid van het onderdeel 13.1 valt niet in te zien hoe een betaling op halfjaarlijkse, jaarlijkse of tweejaarlijks termijn verenigbaar is met de vereist van artikel 110, § 1, eerste lid, waarin wordt gesteld dat de operator minstens één keer om de 3 maanden een factuur aan de abonnee verstrekt.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Uit de memorie blijkt trouwens duidelijk dat het de wil van de wetgever is om halfjaarlijkse of jaarlijkse factureringen uit te sluiten : </w:t>
      </w:r>
    </w:p>
    <w:p w:rsidR="003A4841" w:rsidRPr="003A4841" w:rsidRDefault="003A4841" w:rsidP="003A4841">
      <w:pPr>
        <w:keepLines/>
        <w:ind w:left="360"/>
        <w:jc w:val="left"/>
        <w:rPr>
          <w:rFonts w:cs="Bookman-Light"/>
          <w:i/>
          <w:lang w:eastAsia="nl-BE"/>
        </w:rPr>
      </w:pPr>
    </w:p>
    <w:p w:rsidR="003A4841" w:rsidRPr="003A4841" w:rsidRDefault="003A4841" w:rsidP="003A4841">
      <w:pPr>
        <w:keepLines/>
        <w:ind w:left="1418"/>
        <w:rPr>
          <w:rFonts w:cs="Bookman-Light"/>
          <w:i/>
          <w:lang w:eastAsia="nl-BE"/>
        </w:rPr>
      </w:pPr>
      <w:r w:rsidRPr="003A4841">
        <w:rPr>
          <w:rFonts w:cs="Bookman-Light"/>
          <w:i/>
          <w:lang w:eastAsia="nl-BE"/>
        </w:rPr>
        <w:t>“Het waarborgen van de effectiviteit van het principe van de basisfacturering houdt in dat er een minimale periodiciteit wordt vastgesteld voor de verstrekking van deze factuur, om te vermijden dat abonnees met praktijken worden geconfronteerd waarbij een halfjaarlijkse of zelfs jaarlijkse facturering mogelijk zou zijn, waardoor de verplichting grotendeels zou worden uitgehold.”</w:t>
      </w:r>
      <w:r w:rsidRPr="003A4841">
        <w:rPr>
          <w:i/>
          <w:vertAlign w:val="superscript"/>
          <w:lang w:eastAsia="nl-BE"/>
        </w:rPr>
        <w:footnoteReference w:id="9"/>
      </w:r>
    </w:p>
    <w:p w:rsidR="003A4841" w:rsidRPr="003A4841" w:rsidRDefault="003A4841" w:rsidP="003A4841">
      <w:pPr>
        <w:keepLines/>
        <w:ind w:left="360"/>
        <w:jc w:val="left"/>
        <w:rPr>
          <w:rFonts w:cs="Bookman-Light"/>
          <w:lang w:eastAsia="nl-BE"/>
        </w:rPr>
      </w:pP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Daarenboven voorzien de algemene voorwaarden geen regels over wat er gebeurd wanneer een klant die een jaarlijkse of tweejaarlijkse factuur heeft voldaan, zijn contract in de loop van deze termijn opzegt</w:t>
      </w:r>
      <w:r w:rsidRPr="003A4841">
        <w:rPr>
          <w:szCs w:val="20"/>
          <w:vertAlign w:val="superscript"/>
          <w:lang w:eastAsia="fr-FR"/>
        </w:rPr>
        <w:footnoteReference w:id="10"/>
      </w:r>
      <w:r w:rsidRPr="003A4841">
        <w:rPr>
          <w:szCs w:val="20"/>
          <w:lang w:eastAsia="fr-FR"/>
        </w:rPr>
        <w:t xml:space="preserve">.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Het 2de lid van onderdeel 13.1, waarin wordt bepaald dat in geval van opzeg binnen het eerste jaar, hoe dan ook de abonnementsgelden voor de resterende periode tot 12 maanden betaald moeten worden, doen vermoeden dat Dommel dezelfde regel toepast voor de contracten met jaarlijkse of tweejaarlijkse betaling. </w:t>
      </w:r>
    </w:p>
    <w:p w:rsidR="003A4841" w:rsidRPr="003A4841" w:rsidRDefault="003A4841" w:rsidP="003A4841">
      <w:pPr>
        <w:keepLines/>
        <w:ind w:left="360"/>
        <w:jc w:val="left"/>
        <w:rPr>
          <w:rFonts w:cs="Bookman-Light"/>
          <w:lang w:eastAsia="nl-BE"/>
        </w:rPr>
      </w:pPr>
    </w:p>
    <w:p w:rsidR="003A4841" w:rsidRPr="003A4841" w:rsidRDefault="003A4841" w:rsidP="003A4841">
      <w:pPr>
        <w:keepNext/>
        <w:keepLines/>
        <w:spacing w:before="240"/>
        <w:ind w:left="709"/>
        <w:outlineLvl w:val="1"/>
        <w:rPr>
          <w:rFonts w:ascii="Calibri" w:hAnsi="Calibri" w:cs="Calibri"/>
          <w:b/>
          <w:bCs/>
          <w:sz w:val="26"/>
          <w:szCs w:val="26"/>
          <w:lang w:val="nl-NL" w:eastAsia="fr-FR"/>
        </w:rPr>
      </w:pPr>
      <w:bookmarkStart w:id="36" w:name="_Toc369854109"/>
      <w:bookmarkStart w:id="37" w:name="_Toc376423487"/>
      <w:r w:rsidRPr="003A4841">
        <w:rPr>
          <w:rFonts w:ascii="Calibri" w:hAnsi="Calibri" w:cs="Calibri"/>
          <w:b/>
          <w:bCs/>
          <w:sz w:val="26"/>
          <w:szCs w:val="26"/>
          <w:lang w:val="nl-NL" w:eastAsia="fr-FR"/>
        </w:rPr>
        <w:t>2.5. Betreffende het onderdeel  13.3 van de algemene voorwaarden van Dommel</w:t>
      </w:r>
      <w:bookmarkEnd w:id="36"/>
      <w:bookmarkEnd w:id="37"/>
      <w:r w:rsidRPr="003A4841">
        <w:rPr>
          <w:rFonts w:ascii="Calibri" w:hAnsi="Calibri" w:cs="Calibri"/>
          <w:b/>
          <w:bCs/>
          <w:sz w:val="26"/>
          <w:szCs w:val="26"/>
          <w:lang w:val="nl-NL" w:eastAsia="fr-FR"/>
        </w:rPr>
        <w:t xml:space="preserve"> </w:t>
      </w:r>
    </w:p>
    <w:p w:rsidR="003A4841" w:rsidRPr="003A4841" w:rsidRDefault="003A4841" w:rsidP="003A4841">
      <w:pPr>
        <w:keepLines/>
        <w:ind w:left="360"/>
        <w:jc w:val="left"/>
        <w:rPr>
          <w:rFonts w:cs="Bookman-Light"/>
          <w:lang w:val="nl-NL" w:eastAsia="nl-BE"/>
        </w:rPr>
      </w:pPr>
    </w:p>
    <w:p w:rsidR="003A4841" w:rsidRPr="003A4841" w:rsidRDefault="003A4841" w:rsidP="003A4841">
      <w:pPr>
        <w:keepLines/>
        <w:ind w:left="709" w:firstLine="709"/>
        <w:jc w:val="left"/>
        <w:rPr>
          <w:rFonts w:cs="Bookman-Light"/>
          <w:lang w:eastAsia="nl-BE"/>
        </w:rPr>
      </w:pPr>
      <w:r w:rsidRPr="003A4841">
        <w:rPr>
          <w:rFonts w:cs="Bookman-Light"/>
          <w:lang w:eastAsia="nl-BE"/>
        </w:rPr>
        <w:t xml:space="preserve">Het onderdeel 13.3 van  de algemene voorwaarden van Dommel bepaalt : </w:t>
      </w:r>
    </w:p>
    <w:p w:rsidR="003A4841" w:rsidRPr="003A4841" w:rsidRDefault="003A4841" w:rsidP="003A4841">
      <w:pPr>
        <w:keepLines/>
        <w:jc w:val="left"/>
        <w:rPr>
          <w:rFonts w:cs="Bookman-Light"/>
          <w:lang w:eastAsia="nl-BE"/>
        </w:rPr>
      </w:pPr>
    </w:p>
    <w:p w:rsidR="003A4841" w:rsidRPr="003A4841" w:rsidRDefault="003A4841" w:rsidP="003A4841">
      <w:pPr>
        <w:keepLines/>
        <w:ind w:left="1418"/>
        <w:rPr>
          <w:i/>
          <w:szCs w:val="20"/>
          <w:lang w:val="nl-NL" w:eastAsia="fr-FR"/>
        </w:rPr>
      </w:pPr>
      <w:r w:rsidRPr="003A4841">
        <w:rPr>
          <w:i/>
          <w:szCs w:val="20"/>
          <w:lang w:val="nl-NL" w:eastAsia="fr-FR"/>
        </w:rPr>
        <w:t xml:space="preserve">“13.3. De opzegging van het abonnement door de Klant dient in het eerste contractjaar ten laatste 1 maand voor vervaldatum schriftelijk gericht te worden aan SCHEDOM NV/SA. Indien de Klant wenst op te zeggen in de </w:t>
      </w:r>
      <w:proofErr w:type="spellStart"/>
      <w:r w:rsidRPr="003A4841">
        <w:rPr>
          <w:i/>
          <w:szCs w:val="20"/>
          <w:lang w:val="nl-NL" w:eastAsia="fr-FR"/>
        </w:rPr>
        <w:t>hieropvolgende</w:t>
      </w:r>
      <w:proofErr w:type="spellEnd"/>
      <w:r w:rsidRPr="003A4841">
        <w:rPr>
          <w:i/>
          <w:szCs w:val="20"/>
          <w:lang w:val="nl-NL" w:eastAsia="fr-FR"/>
        </w:rPr>
        <w:t xml:space="preserve"> periode, dient een opzeggingstermijn van 1 maand in acht te worden genomen. Een opzegging kan enkel via een aangetekend schrijven worden uitgevoerd, gericht aan de maatschappelijke zetel van SCHEDOM NV/SA.”</w:t>
      </w:r>
    </w:p>
    <w:p w:rsidR="003A4841" w:rsidRPr="003A4841" w:rsidRDefault="003A4841" w:rsidP="003A4841">
      <w:pPr>
        <w:keepLines/>
        <w:rPr>
          <w:szCs w:val="20"/>
          <w:lang w:eastAsia="fr-FR"/>
        </w:rPr>
      </w:pPr>
    </w:p>
    <w:p w:rsidR="003A4841" w:rsidRPr="003A4841" w:rsidRDefault="003A4841" w:rsidP="003A4841">
      <w:pPr>
        <w:keepLines/>
        <w:ind w:left="1418"/>
        <w:rPr>
          <w:rFonts w:cs="Bookman-Light"/>
          <w:lang w:eastAsia="nl-BE"/>
        </w:rPr>
      </w:pPr>
      <w:r w:rsidRPr="003A4841">
        <w:rPr>
          <w:rFonts w:cs="Bookman-Light"/>
          <w:lang w:eastAsia="nl-BE"/>
        </w:rPr>
        <w:lastRenderedPageBreak/>
        <w:t>Dommel  verplicht een abonnee die zijn contract wil opzeggen, om dit te doen op de vervaldatum.  Nochtans bepaalt artikel 111/3, § 1, WEC expliciet dat het contract beëindigd wordt door de abonnee op het moment dat door hem wordt gekozen, waaraan de wetgever toevoegt : “</w:t>
      </w:r>
      <w:r w:rsidRPr="003A4841">
        <w:rPr>
          <w:rFonts w:cs="Bookman-Light"/>
          <w:i/>
          <w:lang w:eastAsia="nl-BE"/>
        </w:rPr>
        <w:t>zelfs onmiddellijk</w:t>
      </w:r>
      <w:r w:rsidRPr="003A4841">
        <w:rPr>
          <w:rFonts w:cs="Bookman-Light"/>
          <w:lang w:eastAsia="nl-BE"/>
        </w:rPr>
        <w:t xml:space="preserve">”. </w:t>
      </w:r>
    </w:p>
    <w:p w:rsidR="003A4841" w:rsidRPr="003A4841" w:rsidRDefault="003A4841" w:rsidP="003A4841">
      <w:pPr>
        <w:keepLines/>
        <w:ind w:left="360"/>
        <w:rPr>
          <w:rFonts w:cs="Bookman-Light"/>
          <w:lang w:eastAsia="nl-BE"/>
        </w:rPr>
      </w:pPr>
    </w:p>
    <w:p w:rsidR="003A4841" w:rsidRPr="003A4841" w:rsidRDefault="003A4841" w:rsidP="003A4841">
      <w:pPr>
        <w:keepLines/>
        <w:ind w:left="1418"/>
        <w:rPr>
          <w:rFonts w:cs="Bookman-Light"/>
          <w:lang w:eastAsia="nl-BE"/>
        </w:rPr>
      </w:pPr>
      <w:r w:rsidRPr="003A4841">
        <w:rPr>
          <w:rFonts w:cs="Bookman-Light"/>
          <w:lang w:eastAsia="nl-BE"/>
        </w:rPr>
        <w:t xml:space="preserve">Er kan bijgevolg geen sprake van zijn dat een abonnee zou moeten wachten tot een vervaldag alvorens zijn contract te kunnen opzeggen.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In artikel 111/3, § 1, WEC bepaalt de wetgever bovendien expliciet dat de abonnee met alle schriftelijke middelen zijn contract kan opzeggen. Bijgevolg staat het de abonnee vrij om ook te opteren voor een gewone brief in plaats van voor een aangetekende brief. Zoals hoger uiteengezet blijkt uit de memorie van toelichting trouwens dat de wetgever met het begrip “schriftelijke middelen” niet alleen brieven op het oog heeft, maar de abonnee ook de mogelijkheid wil  bieden om zijn contract op te zeggen langs elektronische weg. </w:t>
      </w:r>
    </w:p>
    <w:p w:rsidR="003A4841" w:rsidRPr="003A4841" w:rsidRDefault="003A4841" w:rsidP="003A4841">
      <w:pPr>
        <w:keepLines/>
        <w:rPr>
          <w:szCs w:val="20"/>
          <w:lang w:eastAsia="fr-FR"/>
        </w:rPr>
      </w:pPr>
    </w:p>
    <w:p w:rsidR="003A4841" w:rsidRPr="003A4841" w:rsidRDefault="003A4841" w:rsidP="003A4841">
      <w:pPr>
        <w:keepNext/>
        <w:keepLines/>
        <w:spacing w:before="240"/>
        <w:ind w:left="709"/>
        <w:outlineLvl w:val="1"/>
        <w:rPr>
          <w:rFonts w:ascii="Calibri" w:hAnsi="Calibri" w:cs="Calibri"/>
          <w:b/>
          <w:bCs/>
          <w:sz w:val="26"/>
          <w:szCs w:val="26"/>
          <w:lang w:val="nl-NL" w:eastAsia="fr-FR"/>
        </w:rPr>
      </w:pPr>
      <w:bookmarkStart w:id="38" w:name="_Toc369854110"/>
      <w:bookmarkStart w:id="39" w:name="_Toc376423488"/>
      <w:r w:rsidRPr="003A4841">
        <w:rPr>
          <w:rFonts w:ascii="Calibri" w:hAnsi="Calibri" w:cs="Calibri"/>
          <w:b/>
          <w:bCs/>
          <w:sz w:val="26"/>
          <w:szCs w:val="26"/>
          <w:lang w:val="nl-NL" w:eastAsia="fr-FR"/>
        </w:rPr>
        <w:t>2.6. Betreffende het onderdeel  16.1 van de algemene voorwaarden van Dommel</w:t>
      </w:r>
      <w:bookmarkEnd w:id="38"/>
      <w:bookmarkEnd w:id="39"/>
      <w:r w:rsidRPr="003A4841">
        <w:rPr>
          <w:rFonts w:ascii="Calibri" w:hAnsi="Calibri" w:cs="Calibri"/>
          <w:b/>
          <w:bCs/>
          <w:sz w:val="26"/>
          <w:szCs w:val="26"/>
          <w:lang w:val="nl-NL" w:eastAsia="fr-FR"/>
        </w:rPr>
        <w:t xml:space="preserve"> </w:t>
      </w:r>
    </w:p>
    <w:p w:rsidR="003A4841" w:rsidRPr="003A4841" w:rsidRDefault="003A4841" w:rsidP="003A4841">
      <w:pPr>
        <w:keepLines/>
        <w:ind w:left="360"/>
        <w:jc w:val="left"/>
        <w:rPr>
          <w:rFonts w:cs="Bookman-Light"/>
          <w:lang w:val="nl-NL" w:eastAsia="nl-BE"/>
        </w:rPr>
      </w:pPr>
    </w:p>
    <w:p w:rsidR="003A4841" w:rsidRPr="003A4841" w:rsidRDefault="003A4841" w:rsidP="003A4841">
      <w:pPr>
        <w:keepLines/>
        <w:ind w:left="709" w:firstLine="709"/>
        <w:jc w:val="left"/>
        <w:rPr>
          <w:rFonts w:cs="Bookman-Light"/>
          <w:lang w:eastAsia="nl-BE"/>
        </w:rPr>
      </w:pPr>
      <w:r w:rsidRPr="003A4841">
        <w:rPr>
          <w:rFonts w:cs="Bookman-Light"/>
          <w:lang w:eastAsia="nl-BE"/>
        </w:rPr>
        <w:t xml:space="preserve">Het onderdeel 16.1 van  de algemene voorwaarden van Dommel bepaalt : </w:t>
      </w: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360"/>
        <w:jc w:val="left"/>
        <w:rPr>
          <w:rFonts w:cs="Bookman-Light"/>
          <w:lang w:eastAsia="nl-BE"/>
        </w:rPr>
      </w:pPr>
    </w:p>
    <w:p w:rsidR="003A4841" w:rsidRPr="003A4841" w:rsidRDefault="003A4841" w:rsidP="003A4841">
      <w:pPr>
        <w:keepLines/>
        <w:ind w:left="1418"/>
        <w:rPr>
          <w:i/>
          <w:szCs w:val="20"/>
          <w:lang w:val="nl-NL" w:eastAsia="fr-FR"/>
        </w:rPr>
      </w:pPr>
      <w:r w:rsidRPr="003A4841">
        <w:rPr>
          <w:i/>
          <w:szCs w:val="20"/>
          <w:lang w:val="nl-NL" w:eastAsia="fr-FR"/>
        </w:rPr>
        <w:t xml:space="preserve">“16.1. SCHEDOM NV/SA behoudt zich het recht voor om deze kaderovereenkomst te wijzigen of te vervolledigen, op voorwaarde dat het de Klant minstens vijftien (15) dagen voordat de wijziging van kracht wordt, in kennis stelt door middel van een bericht op de webpagina (http://www.dommel.com) of een e-mail. Indien de Klant een wijziging aan de kaderovereenkomst weigert, kan hij het contract opzeggen tot de datum waarop de nieuwe kaderovereenkomst in werking treedt, met ingang op die datum en zonder hierdoor aanspraak te kunnen maken op een terugbetaling van de nog openstaande periode van zijn dienst(en). Deze kaderovereenkomst is onderhevig aan wijziging. De Klant heeft de plicht om zich op de hoogte te stellen van deze kaderovereenkomst en ze regelmatig te raadplegen op </w:t>
      </w:r>
      <w:hyperlink r:id="rId19" w:history="1">
        <w:r w:rsidRPr="003A4841">
          <w:rPr>
            <w:i/>
            <w:color w:val="0000FF"/>
            <w:szCs w:val="20"/>
            <w:u w:val="single"/>
            <w:lang w:val="nl-NL" w:eastAsia="fr-FR"/>
          </w:rPr>
          <w:t>http://www.dommel.com</w:t>
        </w:r>
      </w:hyperlink>
      <w:r w:rsidRPr="003A4841">
        <w:rPr>
          <w:i/>
          <w:szCs w:val="20"/>
          <w:lang w:val="nl-NL" w:eastAsia="fr-FR"/>
        </w:rPr>
        <w:t>.”</w:t>
      </w:r>
    </w:p>
    <w:p w:rsidR="003A4841" w:rsidRPr="003A4841" w:rsidRDefault="003A4841" w:rsidP="003A4841">
      <w:pPr>
        <w:keepLines/>
        <w:ind w:left="360"/>
        <w:rPr>
          <w:rFonts w:cs="Bookman-Light"/>
          <w:lang w:eastAsia="nl-BE"/>
        </w:rPr>
      </w:pPr>
    </w:p>
    <w:p w:rsidR="003A4841" w:rsidRPr="003A4841" w:rsidRDefault="003A4841" w:rsidP="003A4841">
      <w:pPr>
        <w:keepLines/>
        <w:ind w:left="709" w:firstLine="709"/>
        <w:rPr>
          <w:rFonts w:cs="Bookman-Light"/>
          <w:lang w:eastAsia="nl-BE"/>
        </w:rPr>
      </w:pPr>
      <w:r w:rsidRPr="003A4841">
        <w:rPr>
          <w:rFonts w:cs="Bookman-Light"/>
          <w:lang w:eastAsia="nl-BE"/>
        </w:rPr>
        <w:t xml:space="preserve">Dit onderdeel is op meerdere punten niet verenigbaar met artikel 108, § 2, WEC : </w:t>
      </w:r>
    </w:p>
    <w:p w:rsidR="003A4841" w:rsidRPr="003A4841" w:rsidRDefault="003A4841" w:rsidP="003A4841">
      <w:pPr>
        <w:keepLines/>
        <w:ind w:left="360"/>
        <w:rPr>
          <w:rFonts w:cs="Bookman-Light"/>
          <w:lang w:eastAsia="nl-BE"/>
        </w:rPr>
      </w:pPr>
    </w:p>
    <w:p w:rsidR="003A4841" w:rsidRPr="003A4841" w:rsidRDefault="003A4841" w:rsidP="00DC3143">
      <w:pPr>
        <w:keepLines/>
        <w:numPr>
          <w:ilvl w:val="0"/>
          <w:numId w:val="8"/>
        </w:numPr>
        <w:spacing w:after="200" w:line="276" w:lineRule="auto"/>
        <w:jc w:val="left"/>
        <w:rPr>
          <w:rFonts w:cs="Bookman-Light"/>
          <w:lang w:eastAsia="nl-BE"/>
        </w:rPr>
      </w:pPr>
      <w:r w:rsidRPr="003A4841">
        <w:rPr>
          <w:rFonts w:cs="Bookman-Light"/>
          <w:lang w:eastAsia="nl-BE"/>
        </w:rPr>
        <w:t>“…</w:t>
      </w:r>
      <w:r w:rsidRPr="003A4841">
        <w:rPr>
          <w:i/>
          <w:szCs w:val="20"/>
          <w:lang w:val="nl-NL" w:eastAsia="fr-FR"/>
        </w:rPr>
        <w:t xml:space="preserve"> op voorwaarde dat het de Klant minstens vijftien (15) dagen voordat de wijziging van kracht wordt, in kennis stelt…”</w:t>
      </w:r>
    </w:p>
    <w:p w:rsidR="003A4841" w:rsidRPr="003A4841" w:rsidRDefault="003A4841" w:rsidP="003A4841">
      <w:pPr>
        <w:keepLines/>
        <w:rPr>
          <w:rFonts w:cs="Bookman-Light"/>
          <w:lang w:eastAsia="nl-BE"/>
        </w:rPr>
      </w:pPr>
    </w:p>
    <w:p w:rsidR="003A4841" w:rsidRPr="003A4841" w:rsidRDefault="003A4841" w:rsidP="003A4841">
      <w:pPr>
        <w:keepLines/>
        <w:ind w:left="1418"/>
        <w:rPr>
          <w:rFonts w:cs="Bookman-Light"/>
          <w:lang w:eastAsia="nl-BE"/>
        </w:rPr>
      </w:pPr>
      <w:r w:rsidRPr="003A4841">
        <w:rPr>
          <w:rFonts w:cs="Bookman-Light"/>
          <w:lang w:eastAsia="nl-BE"/>
        </w:rPr>
        <w:t>Artikel 108, § 2, WEC bepaalt evenwel expliciet dat op de operator die wijzigingen wenst aan te brengen aan het contract, de abonnee daarvan “</w:t>
      </w:r>
      <w:r w:rsidRPr="003A4841">
        <w:rPr>
          <w:rFonts w:cs="Bookman-Light"/>
          <w:i/>
          <w:lang w:eastAsia="nl-BE"/>
        </w:rPr>
        <w:t xml:space="preserve">tijdig en tenminste één maand vooraf” </w:t>
      </w:r>
      <w:r w:rsidRPr="003A4841">
        <w:rPr>
          <w:rFonts w:cs="Bookman-Light"/>
          <w:lang w:eastAsia="nl-BE"/>
        </w:rPr>
        <w:t xml:space="preserve">op de hoogte brengt van de voorgenomen wijzigingen. </w:t>
      </w:r>
    </w:p>
    <w:p w:rsidR="003A4841" w:rsidRPr="003A4841" w:rsidRDefault="003A4841" w:rsidP="003A4841">
      <w:pPr>
        <w:keepLines/>
        <w:rPr>
          <w:rFonts w:cs="Bookman-Light"/>
          <w:lang w:eastAsia="nl-BE"/>
        </w:rPr>
      </w:pPr>
    </w:p>
    <w:p w:rsidR="003A4841" w:rsidRPr="003A4841" w:rsidRDefault="003A4841" w:rsidP="003A4841">
      <w:pPr>
        <w:keepLines/>
        <w:ind w:left="1418"/>
        <w:rPr>
          <w:rFonts w:cs="Bookman-Light"/>
          <w:lang w:eastAsia="nl-BE"/>
        </w:rPr>
      </w:pPr>
      <w:r w:rsidRPr="003A4841">
        <w:rPr>
          <w:rFonts w:cs="Bookman-Light"/>
          <w:lang w:eastAsia="nl-BE"/>
        </w:rPr>
        <w:t xml:space="preserve">Er kan bijgevolg geen sprake van zijn dat Dommel deze kennisgevingstermijn eigenmachtig zou inkorten tot 15 dagen. </w:t>
      </w:r>
    </w:p>
    <w:p w:rsidR="003A4841" w:rsidRPr="003A4841" w:rsidRDefault="003A4841" w:rsidP="003A4841">
      <w:pPr>
        <w:keepLines/>
        <w:ind w:left="360"/>
        <w:rPr>
          <w:rFonts w:cs="Bookman-Light"/>
          <w:lang w:eastAsia="nl-BE"/>
        </w:rPr>
      </w:pPr>
    </w:p>
    <w:p w:rsidR="003A4841" w:rsidRPr="003A4841" w:rsidRDefault="003A4841" w:rsidP="00DC3143">
      <w:pPr>
        <w:keepLines/>
        <w:numPr>
          <w:ilvl w:val="0"/>
          <w:numId w:val="8"/>
        </w:numPr>
        <w:spacing w:after="200" w:line="276" w:lineRule="auto"/>
        <w:jc w:val="left"/>
        <w:rPr>
          <w:rFonts w:cs="Bookman-Light"/>
          <w:lang w:eastAsia="nl-BE"/>
        </w:rPr>
      </w:pPr>
      <w:r w:rsidRPr="003A4841">
        <w:rPr>
          <w:rFonts w:cs="Bookman-Light"/>
          <w:lang w:eastAsia="nl-BE"/>
        </w:rPr>
        <w:t xml:space="preserve">“… </w:t>
      </w:r>
      <w:r w:rsidRPr="003A4841">
        <w:rPr>
          <w:i/>
          <w:szCs w:val="20"/>
          <w:lang w:val="nl-NL" w:eastAsia="fr-FR"/>
        </w:rPr>
        <w:t>door middel van een bericht op de webpagina (http://www.dommel.com) of een e-mail.”</w:t>
      </w:r>
    </w:p>
    <w:p w:rsidR="003A4841" w:rsidRPr="003A4841" w:rsidRDefault="003A4841" w:rsidP="003A4841">
      <w:pPr>
        <w:keepLines/>
        <w:ind w:left="1418"/>
        <w:rPr>
          <w:rFonts w:cs="Bookman-Light"/>
          <w:lang w:eastAsia="nl-BE"/>
        </w:rPr>
      </w:pPr>
      <w:r w:rsidRPr="003A4841">
        <w:rPr>
          <w:rFonts w:cs="Bookman-Light"/>
          <w:lang w:eastAsia="nl-BE"/>
        </w:rPr>
        <w:lastRenderedPageBreak/>
        <w:t xml:space="preserve">Artikel 108, § 2, WEC bepaalt duidelijk dat de abonnee </w:t>
      </w:r>
      <w:r w:rsidRPr="003A4841">
        <w:rPr>
          <w:rFonts w:cs="Bookman-Light"/>
          <w:i/>
          <w:lang w:eastAsia="nl-BE"/>
        </w:rPr>
        <w:t xml:space="preserve">“naar behoren individueel ter kennis wordt gebracht” </w:t>
      </w:r>
      <w:r w:rsidRPr="003A4841">
        <w:rPr>
          <w:rFonts w:cs="Bookman-Light"/>
          <w:lang w:eastAsia="nl-BE"/>
        </w:rPr>
        <w:t xml:space="preserve">van de voorgenomen wijzigingen. </w:t>
      </w:r>
    </w:p>
    <w:p w:rsidR="003A4841" w:rsidRPr="003A4841" w:rsidRDefault="003A4841" w:rsidP="003A4841">
      <w:pPr>
        <w:keepLines/>
        <w:rPr>
          <w:rFonts w:cs="Bookman-Light"/>
          <w:lang w:eastAsia="nl-BE"/>
        </w:rPr>
      </w:pPr>
    </w:p>
    <w:p w:rsidR="003A4841" w:rsidRPr="003A4841" w:rsidRDefault="003A4841" w:rsidP="003A4841">
      <w:pPr>
        <w:keepLines/>
        <w:ind w:left="1418"/>
        <w:rPr>
          <w:rFonts w:cs="Bookman-Light"/>
          <w:lang w:eastAsia="nl-BE"/>
        </w:rPr>
      </w:pPr>
      <w:r w:rsidRPr="003A4841">
        <w:rPr>
          <w:rFonts w:cs="Bookman-Light"/>
          <w:lang w:eastAsia="nl-BE"/>
        </w:rPr>
        <w:t>Een vermelding op de website van Dommel is evenwel geen individuele kennisgeving : de abonnees dienen in dat geval immers de website van Dommel te consulteren om kennis te nemen van de tariefwijzigingen. Er wordt dan m.a.w. van hen verwacht dat zij afzonderlijke actieve stappen nemen om de informatie te krijgen die de operator zelf op grond van artikel 108, § 2, WEC, naar behoren individueel (actief) aan de abonnee moet ter kennis brengen (zie ook naar analogie, voor wat betreft de kennisgeving van het kosteloos</w:t>
      </w:r>
      <w:r w:rsidR="005224D0" w:rsidRPr="005224D0">
        <w:rPr>
          <w:rFonts w:asciiTheme="majorHAnsi" w:hAnsiTheme="majorHAnsi" w:cs="Bookman-Light"/>
        </w:rPr>
        <w:t xml:space="preserve"> </w:t>
      </w:r>
      <w:r w:rsidR="005224D0" w:rsidRPr="00F65153">
        <w:rPr>
          <w:rFonts w:asciiTheme="majorHAnsi" w:hAnsiTheme="majorHAnsi" w:cs="Bookman-Light"/>
        </w:rPr>
        <w:t>opzegrecht ingeval van een tariefverhoging, het Besluit van 28 juni 2010 p. 14 en 22).</w:t>
      </w:r>
    </w:p>
    <w:p w:rsidR="003A4841" w:rsidRPr="003A4841" w:rsidRDefault="003A4841" w:rsidP="003A4841">
      <w:pPr>
        <w:keepLines/>
        <w:rPr>
          <w:rFonts w:cs="Bookman-Light"/>
          <w:lang w:eastAsia="nl-BE"/>
        </w:rPr>
      </w:pPr>
    </w:p>
    <w:p w:rsidR="003A4841" w:rsidRPr="003A4841" w:rsidRDefault="003A4841" w:rsidP="003A4841">
      <w:pPr>
        <w:keepLines/>
        <w:ind w:left="1418"/>
        <w:rPr>
          <w:rFonts w:cs="Bookman-Light"/>
          <w:lang w:eastAsia="nl-BE"/>
        </w:rPr>
      </w:pPr>
      <w:r w:rsidRPr="003A4841">
        <w:rPr>
          <w:rFonts w:cs="Bookman-Light"/>
          <w:lang w:eastAsia="nl-BE"/>
        </w:rPr>
        <w:t>Voor een meer gedetailleerde analyse kan verwezen worden naar wat eerder werd gesteld inzake het onderdeel 5.2 van de algemene voorwaarden van Dommel, meer bepaald de opmerkingen onder punt b) aldaar.</w:t>
      </w:r>
    </w:p>
    <w:p w:rsidR="003A4841" w:rsidRPr="003A4841" w:rsidRDefault="003A4841" w:rsidP="003A4841">
      <w:pPr>
        <w:keepLines/>
        <w:ind w:left="360"/>
        <w:jc w:val="left"/>
        <w:rPr>
          <w:rFonts w:cs="Bookman-Light"/>
          <w:lang w:eastAsia="nl-BE"/>
        </w:rPr>
      </w:pPr>
    </w:p>
    <w:p w:rsidR="003A4841" w:rsidRPr="003A4841" w:rsidRDefault="003A4841" w:rsidP="00DC3143">
      <w:pPr>
        <w:keepLines/>
        <w:numPr>
          <w:ilvl w:val="0"/>
          <w:numId w:val="8"/>
        </w:numPr>
        <w:spacing w:after="200" w:line="276" w:lineRule="auto"/>
        <w:jc w:val="left"/>
        <w:rPr>
          <w:rFonts w:cs="Bookman-Light"/>
          <w:lang w:eastAsia="nl-BE"/>
        </w:rPr>
      </w:pPr>
      <w:r w:rsidRPr="003A4841">
        <w:rPr>
          <w:i/>
          <w:szCs w:val="20"/>
          <w:lang w:val="nl-NL" w:eastAsia="fr-FR"/>
        </w:rPr>
        <w:t>“Indien de Klant een wijziging aan de kaderovereenkomst weigert, kan hij het contract opzeggen tot de datum waarop de nieuwe kaderovereenkomst in werking treedt,…”</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Afgezien van de algemene opzegregels zoals bepaald door artikel 111/3, WEC (zie hoger), bepaalt artikel 108, § 2, duidelijk dat de betreffende abonnees het recht hebben om hun contract zonder boete op te zeggen uiterlijk de laatste dag van de maand die volgt op de inwerkingtreding van de wijzigingen indien zij de nieuwe voorwaarden niet aanvaarden.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De operatoren brengen hun abonnees van dit recht op de hoogte tegelijkertijd met de kennisgeving van de wijzigingen.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In geval van een tariefverhoging hebben abonnees zelfs het recht om overeenkomstig artikel 108, § 2, 2</w:t>
      </w:r>
      <w:r w:rsidRPr="003A4841">
        <w:rPr>
          <w:szCs w:val="20"/>
          <w:vertAlign w:val="superscript"/>
          <w:lang w:eastAsia="fr-FR"/>
        </w:rPr>
        <w:t>de</w:t>
      </w:r>
      <w:r w:rsidRPr="003A4841">
        <w:rPr>
          <w:szCs w:val="20"/>
          <w:lang w:eastAsia="fr-FR"/>
        </w:rPr>
        <w:t xml:space="preserve"> lid, WEC, hun contract op te zeggen tot op uiterlijk de laatste dag van de maand die volgt op de ontvangst van de eerste factuur na de inwerkingtreding van de wijzigingen. </w:t>
      </w:r>
    </w:p>
    <w:p w:rsidR="003A4841" w:rsidRPr="003A4841" w:rsidRDefault="003A4841" w:rsidP="003A4841">
      <w:pPr>
        <w:keepLines/>
        <w:rPr>
          <w:szCs w:val="20"/>
          <w:lang w:eastAsia="fr-FR"/>
        </w:rPr>
      </w:pPr>
    </w:p>
    <w:p w:rsidR="003A4841" w:rsidRPr="003A4841" w:rsidRDefault="003A4841" w:rsidP="003A4841">
      <w:pPr>
        <w:keepLines/>
        <w:rPr>
          <w:szCs w:val="20"/>
          <w:lang w:eastAsia="fr-FR"/>
        </w:rPr>
      </w:pPr>
    </w:p>
    <w:p w:rsidR="003A4841" w:rsidRPr="003A4841" w:rsidRDefault="003A4841" w:rsidP="00DC3143">
      <w:pPr>
        <w:keepLines/>
        <w:numPr>
          <w:ilvl w:val="0"/>
          <w:numId w:val="8"/>
        </w:numPr>
        <w:spacing w:after="200" w:line="276" w:lineRule="auto"/>
        <w:jc w:val="left"/>
        <w:rPr>
          <w:szCs w:val="20"/>
          <w:lang w:eastAsia="fr-FR"/>
        </w:rPr>
      </w:pPr>
      <w:r w:rsidRPr="003A4841">
        <w:rPr>
          <w:i/>
          <w:szCs w:val="20"/>
          <w:lang w:val="nl-NL" w:eastAsia="fr-FR"/>
        </w:rPr>
        <w:t>“… zonder hierdoor aanspraak te kunnen maken op een terugbetaling van de nog openstaande periode van zijn dienst(en)…”</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Deze bepaling is niet in overeenstemming met artikel 108, § 2, WEC waarin duidelijk wordt gesteld dat de abonnee het recht heeft om bij wijziging van de </w:t>
      </w:r>
      <w:proofErr w:type="spellStart"/>
      <w:r w:rsidRPr="003A4841">
        <w:rPr>
          <w:szCs w:val="20"/>
          <w:lang w:eastAsia="fr-FR"/>
        </w:rPr>
        <w:t>contractsvoorwaarden</w:t>
      </w:r>
      <w:proofErr w:type="spellEnd"/>
      <w:r w:rsidRPr="003A4841">
        <w:rPr>
          <w:szCs w:val="20"/>
          <w:lang w:eastAsia="fr-FR"/>
        </w:rPr>
        <w:t xml:space="preserve"> het contract binnen de hierboven besproken termijnen zonder boete op te zeggen.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Door deze bepaling te combineren met de mogelijkheid die Dommel biedt aan hun klanten om hun facturen te voldoen voor een periode van 6 maanden, 1 jaar of 2 jaar, werpt Dommel een ernstige belemmering op voor abonnees die na een </w:t>
      </w:r>
      <w:proofErr w:type="spellStart"/>
      <w:r w:rsidRPr="003A4841">
        <w:rPr>
          <w:szCs w:val="20"/>
          <w:lang w:eastAsia="fr-FR"/>
        </w:rPr>
        <w:t>contractswijziging</w:t>
      </w:r>
      <w:proofErr w:type="spellEnd"/>
      <w:r w:rsidRPr="003A4841">
        <w:rPr>
          <w:szCs w:val="20"/>
          <w:lang w:eastAsia="fr-FR"/>
        </w:rPr>
        <w:t xml:space="preserve"> van operator zouden willen veranderen. </w:t>
      </w:r>
    </w:p>
    <w:p w:rsidR="003A4841" w:rsidRPr="003A4841" w:rsidRDefault="003A4841" w:rsidP="003A4841">
      <w:pPr>
        <w:keepLines/>
        <w:rPr>
          <w:szCs w:val="20"/>
          <w:lang w:eastAsia="fr-FR"/>
        </w:rPr>
      </w:pPr>
    </w:p>
    <w:p w:rsidR="003A4841" w:rsidRPr="003A4841" w:rsidRDefault="003A4841" w:rsidP="00DC3143">
      <w:pPr>
        <w:keepLines/>
        <w:numPr>
          <w:ilvl w:val="0"/>
          <w:numId w:val="8"/>
        </w:numPr>
        <w:spacing w:after="200" w:line="276" w:lineRule="auto"/>
        <w:jc w:val="left"/>
        <w:rPr>
          <w:szCs w:val="20"/>
          <w:lang w:eastAsia="fr-FR"/>
        </w:rPr>
      </w:pPr>
      <w:r w:rsidRPr="003A4841">
        <w:rPr>
          <w:i/>
          <w:szCs w:val="20"/>
          <w:lang w:val="nl-NL" w:eastAsia="fr-FR"/>
        </w:rPr>
        <w:t xml:space="preserve">“Deze kaderovereenkomst is onderhevig aan wijziging. De Klant heeft de plicht om zich op de hoogte te stellen van deze kaderovereenkomst en ze regelmatig te raadplegen op </w:t>
      </w:r>
      <w:hyperlink r:id="rId20" w:history="1">
        <w:r w:rsidRPr="003A4841">
          <w:rPr>
            <w:i/>
            <w:color w:val="0000FF"/>
            <w:szCs w:val="20"/>
            <w:u w:val="single"/>
            <w:lang w:val="nl-NL" w:eastAsia="fr-FR"/>
          </w:rPr>
          <w:t>http://www.dommel.com</w:t>
        </w:r>
      </w:hyperlink>
      <w:r w:rsidRPr="003A4841">
        <w:rPr>
          <w:i/>
          <w:szCs w:val="20"/>
          <w:lang w:val="nl-NL" w:eastAsia="fr-FR"/>
        </w:rPr>
        <w:t>.”</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Zoals evenwel blijkt uit onderdeel 4.1 van onderhavige brief kan Dommel haar klanten echter geen verplichting opleggen om regelmatig de website van Dommel te controleren om na te gaan of de </w:t>
      </w:r>
      <w:proofErr w:type="spellStart"/>
      <w:r w:rsidRPr="003A4841">
        <w:rPr>
          <w:szCs w:val="20"/>
          <w:lang w:eastAsia="fr-FR"/>
        </w:rPr>
        <w:t>contractsvoorwaarden</w:t>
      </w:r>
      <w:proofErr w:type="spellEnd"/>
      <w:r w:rsidRPr="003A4841">
        <w:rPr>
          <w:szCs w:val="20"/>
          <w:lang w:eastAsia="fr-FR"/>
        </w:rPr>
        <w:t xml:space="preserve"> al dan niet gewijzigd zijn; Dommel heeft daarentegen wél de wettelijke verplichting om hun abonnees tijdig, naar behoren en individueel op de hoogte te brengen van iedere voorgenomen wijziging aan de contracten alsook van de opzegrechten die daaruit voortvloeien voor de abonnees.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Aan deze opmerkingen aangaande het onderdeel 16.1 kan nog worden toegevoegd dat dit onderdeel in de </w:t>
      </w:r>
      <w:proofErr w:type="spellStart"/>
      <w:r w:rsidRPr="003A4841">
        <w:rPr>
          <w:szCs w:val="20"/>
          <w:lang w:eastAsia="fr-FR"/>
        </w:rPr>
        <w:t>eerdervernoemde</w:t>
      </w:r>
      <w:proofErr w:type="spellEnd"/>
      <w:r w:rsidRPr="003A4841">
        <w:rPr>
          <w:szCs w:val="20"/>
          <w:lang w:eastAsia="fr-FR"/>
        </w:rPr>
        <w:t xml:space="preserve"> brief van het BIPT van 23 december 2011 eveneens als onaanvaardbaar werd bestempeld. In de </w:t>
      </w:r>
      <w:proofErr w:type="spellStart"/>
      <w:r w:rsidRPr="003A4841">
        <w:rPr>
          <w:szCs w:val="20"/>
          <w:lang w:eastAsia="fr-FR"/>
        </w:rPr>
        <w:t>draftversies</w:t>
      </w:r>
      <w:proofErr w:type="spellEnd"/>
      <w:r w:rsidRPr="003A4841">
        <w:rPr>
          <w:szCs w:val="20"/>
          <w:lang w:eastAsia="fr-FR"/>
        </w:rPr>
        <w:t xml:space="preserve"> van december en juni 2012 werd dit onderdeel geschrapt. Desalniettemin heeft Dommel in zijn huidige algemene voorwaarden opnieuw de oorspronkelijke tekst opgenomen hoewel deze, zoals eerder gemeld aan Dommel, niet in overeenstemming is met de bestaande wetgeving. </w:t>
      </w:r>
    </w:p>
    <w:p w:rsidR="003A4841" w:rsidRPr="003A4841" w:rsidRDefault="003A4841" w:rsidP="003A4841">
      <w:pPr>
        <w:keepLines/>
        <w:rPr>
          <w:szCs w:val="20"/>
          <w:lang w:eastAsia="fr-FR"/>
        </w:rPr>
      </w:pPr>
    </w:p>
    <w:p w:rsidR="003A4841" w:rsidRPr="003A4841" w:rsidRDefault="003A4841" w:rsidP="003A4841">
      <w:pPr>
        <w:keepNext/>
        <w:keepLines/>
        <w:spacing w:before="240"/>
        <w:ind w:left="709"/>
        <w:outlineLvl w:val="1"/>
        <w:rPr>
          <w:rFonts w:ascii="Calibri" w:hAnsi="Calibri" w:cs="Calibri"/>
          <w:b/>
          <w:bCs/>
          <w:sz w:val="26"/>
          <w:szCs w:val="26"/>
          <w:lang w:val="nl-NL" w:eastAsia="fr-FR"/>
        </w:rPr>
      </w:pPr>
      <w:bookmarkStart w:id="40" w:name="_Toc369854111"/>
      <w:bookmarkStart w:id="41" w:name="_Toc376423489"/>
      <w:r w:rsidRPr="003A4841">
        <w:rPr>
          <w:rFonts w:ascii="Calibri" w:hAnsi="Calibri" w:cs="Calibri"/>
          <w:b/>
          <w:bCs/>
          <w:sz w:val="26"/>
          <w:szCs w:val="26"/>
          <w:lang w:val="nl-NL" w:eastAsia="fr-FR"/>
        </w:rPr>
        <w:t>2.7. Betreffende het ontbreken van de wachttijd bij eerste aansluiting en van de soorten onderhoudsservice in de algemene voorwaarden van Dommel</w:t>
      </w:r>
      <w:bookmarkEnd w:id="40"/>
      <w:bookmarkEnd w:id="41"/>
      <w:r w:rsidRPr="003A4841">
        <w:rPr>
          <w:rFonts w:ascii="Calibri" w:hAnsi="Calibri" w:cs="Calibri"/>
          <w:b/>
          <w:bCs/>
          <w:sz w:val="26"/>
          <w:szCs w:val="26"/>
          <w:lang w:val="nl-NL" w:eastAsia="fr-FR"/>
        </w:rPr>
        <w:t xml:space="preserve">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De algemene voorwaarden van Dommel bepalen niets over de wachttijd bij eerste aansluiting of over de soorten onderhoudsservice die Dommel aan zijn abonnees aanbiedt.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Nochtans wordt dergelijke vermelding voorgeschreven door artikel 108, § 1, b), 3</w:t>
      </w:r>
      <w:r w:rsidRPr="003A4841">
        <w:rPr>
          <w:szCs w:val="20"/>
          <w:vertAlign w:val="superscript"/>
          <w:lang w:eastAsia="fr-FR"/>
        </w:rPr>
        <w:t>de</w:t>
      </w:r>
      <w:r w:rsidRPr="003A4841">
        <w:rPr>
          <w:szCs w:val="20"/>
          <w:lang w:eastAsia="fr-FR"/>
        </w:rPr>
        <w:t xml:space="preserve"> en 5</w:t>
      </w:r>
      <w:r w:rsidRPr="003A4841">
        <w:rPr>
          <w:szCs w:val="20"/>
          <w:vertAlign w:val="superscript"/>
          <w:lang w:eastAsia="fr-FR"/>
        </w:rPr>
        <w:t>de</w:t>
      </w:r>
      <w:r w:rsidRPr="003A4841">
        <w:rPr>
          <w:szCs w:val="20"/>
          <w:lang w:eastAsia="fr-FR"/>
        </w:rPr>
        <w:t xml:space="preserve"> onderdeel.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Het BIPT is er zich van bewust dat de wachttijd voor eerste aansluiting kan worden beïnvloed door elementen waarop Dommel geen greep heeft</w:t>
      </w:r>
      <w:r w:rsidRPr="003A4841">
        <w:rPr>
          <w:rFonts w:ascii="Times New Roman" w:hAnsi="Times New Roman"/>
          <w:szCs w:val="20"/>
          <w:vertAlign w:val="superscript"/>
          <w:lang w:eastAsia="fr-FR"/>
        </w:rPr>
        <w:footnoteReference w:id="11"/>
      </w:r>
      <w:r w:rsidRPr="003A4841">
        <w:rPr>
          <w:szCs w:val="20"/>
          <w:lang w:eastAsia="fr-FR"/>
        </w:rPr>
        <w:t xml:space="preserve">. Door geen enkele wachttijd te vermelden in de algemene voorwaarden creëert Dommel evenwel een situatie die voor de consument bijzonder nadelig kan zijn : Dommel biedt de consument geen enkel houvast m.b.t. de termijn waarbinnen hij de aansluiting zou kunnen verwachten  maar tegelijk  </w:t>
      </w:r>
      <w:bookmarkStart w:id="42" w:name="_Toc369854112"/>
      <w:r w:rsidRPr="003A4841">
        <w:rPr>
          <w:bCs/>
          <w:lang w:eastAsia="fr-FR"/>
        </w:rPr>
        <w:t xml:space="preserve">bepaalt artikel 3.3 van de algemene voorwaarden van Dommel dat de abonnementen pas een aanvang nemen </w:t>
      </w:r>
      <w:r w:rsidRPr="003A4841">
        <w:rPr>
          <w:bCs/>
          <w:i/>
          <w:lang w:eastAsia="fr-FR"/>
        </w:rPr>
        <w:t>“Na verwerking van de betaling van de Klant door SCHEDOM”.</w:t>
      </w:r>
      <w:r w:rsidRPr="003A4841">
        <w:rPr>
          <w:bCs/>
          <w:lang w:eastAsia="fr-FR"/>
        </w:rPr>
        <w:t xml:space="preserve">  Zodoende kan de situatie worden gecreëerd dat een klant aan Dommel het vereiste abonnementsgeld betaalt waarna hij gedurende een onbepaalde tijd dient te wachten op aansluiting. Het alsnog overstappen naar een andere operator wordt bovendien ontmoedigd doordat de klant in kwestie zijn abonnementsgeld heeft betaald.</w:t>
      </w:r>
      <w:bookmarkEnd w:id="42"/>
      <w:r w:rsidRPr="003A4841">
        <w:rPr>
          <w:bCs/>
          <w:lang w:eastAsia="fr-FR"/>
        </w:rPr>
        <w:t xml:space="preserve"> </w:t>
      </w:r>
    </w:p>
    <w:p w:rsidR="003A4841" w:rsidRPr="003A4841" w:rsidRDefault="003A4841" w:rsidP="003A4841">
      <w:pPr>
        <w:keepLines/>
        <w:rPr>
          <w:lang w:eastAsia="fr-FR"/>
        </w:rPr>
      </w:pPr>
    </w:p>
    <w:p w:rsidR="003A4841" w:rsidRPr="003A4841" w:rsidRDefault="003A4841" w:rsidP="003A4841">
      <w:pPr>
        <w:keepLines/>
        <w:ind w:left="1418"/>
        <w:rPr>
          <w:lang w:eastAsia="fr-FR"/>
        </w:rPr>
      </w:pPr>
      <w:r w:rsidRPr="003A4841">
        <w:rPr>
          <w:lang w:eastAsia="fr-FR"/>
        </w:rPr>
        <w:t xml:space="preserve">Door het ontbreken van de wachttijd bij eerste aansluiting in de algemene voorwaarden van Dommel lijken deze algemene voorwaarden niet in overeenstemming met artikel 108, § 1, b), WEC.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rFonts w:cs="Arial"/>
          <w:szCs w:val="20"/>
          <w:lang w:eastAsia="fr-FR"/>
        </w:rPr>
        <w:lastRenderedPageBreak/>
        <w:t>De wet voorziet trouwens niet in de mogelijkheid voor operatoren om bij contract af te wijken van de verplichtingen vermeld in artikel 108, § 1, WEC, zoals blijkt uit de bewoordingen “</w:t>
      </w:r>
      <w:r w:rsidRPr="003A4841">
        <w:rPr>
          <w:rFonts w:cs="Arial"/>
          <w:i/>
          <w:szCs w:val="20"/>
          <w:lang w:eastAsia="fr-FR"/>
        </w:rPr>
        <w:t>Ieder contract  (…) bevat op zijn minst de volgende inlichtingen</w:t>
      </w:r>
      <w:r w:rsidRPr="003A4841">
        <w:rPr>
          <w:szCs w:val="20"/>
          <w:lang w:eastAsia="fr-FR"/>
        </w:rPr>
        <w:t>”</w:t>
      </w:r>
      <w:r w:rsidRPr="003A4841">
        <w:rPr>
          <w:szCs w:val="20"/>
          <w:vertAlign w:val="superscript"/>
          <w:lang w:eastAsia="fr-FR"/>
        </w:rPr>
        <w:footnoteReference w:id="12"/>
      </w:r>
      <w:r w:rsidRPr="003A4841">
        <w:rPr>
          <w:szCs w:val="20"/>
          <w:lang w:eastAsia="fr-FR"/>
        </w:rPr>
        <w:t xml:space="preserve">.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Bovendien kan ges</w:t>
      </w:r>
      <w:r w:rsidRPr="003A4841">
        <w:rPr>
          <w:rFonts w:cs="Arial"/>
          <w:szCs w:val="20"/>
          <w:lang w:eastAsia="fr-FR"/>
        </w:rPr>
        <w:t>t</w:t>
      </w:r>
      <w:r w:rsidRPr="003A4841">
        <w:rPr>
          <w:szCs w:val="20"/>
          <w:lang w:eastAsia="fr-FR"/>
        </w:rPr>
        <w:t>eld worden dat artikel 108, WEC, door de Europese</w:t>
      </w:r>
      <w:r w:rsidRPr="003A4841">
        <w:rPr>
          <w:szCs w:val="20"/>
          <w:vertAlign w:val="superscript"/>
          <w:lang w:eastAsia="fr-FR"/>
        </w:rPr>
        <w:footnoteReference w:id="13"/>
      </w:r>
      <w:r w:rsidRPr="003A4841">
        <w:rPr>
          <w:szCs w:val="20"/>
          <w:lang w:eastAsia="fr-FR"/>
        </w:rPr>
        <w:t xml:space="preserve"> en Belgische</w:t>
      </w:r>
      <w:r w:rsidRPr="003A4841">
        <w:rPr>
          <w:szCs w:val="20"/>
          <w:vertAlign w:val="superscript"/>
          <w:lang w:eastAsia="fr-FR"/>
        </w:rPr>
        <w:footnoteReference w:id="14"/>
      </w:r>
      <w:r w:rsidRPr="003A4841">
        <w:rPr>
          <w:szCs w:val="20"/>
          <w:lang w:eastAsia="fr-FR"/>
        </w:rPr>
        <w:t xml:space="preserve"> wetgever is genomen met het oog op de bescherming van de consument t.a.v. de operatoren.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De rechtsleer stelt dienaangaande : </w:t>
      </w:r>
      <w:r w:rsidRPr="003A4841">
        <w:rPr>
          <w:i/>
          <w:szCs w:val="20"/>
          <w:lang w:eastAsia="fr-FR"/>
        </w:rPr>
        <w:t xml:space="preserve">“Bedingen die ingaan tegen de rechten die de wet een consument toekennen, creëren - naast het feit dat ze eventueel </w:t>
      </w:r>
      <w:proofErr w:type="spellStart"/>
      <w:r w:rsidRPr="003A4841">
        <w:rPr>
          <w:i/>
          <w:szCs w:val="20"/>
          <w:lang w:eastAsia="fr-FR"/>
        </w:rPr>
        <w:t>sanctioneerbaar</w:t>
      </w:r>
      <w:proofErr w:type="spellEnd"/>
      <w:r w:rsidRPr="003A4841">
        <w:rPr>
          <w:i/>
          <w:szCs w:val="20"/>
          <w:lang w:eastAsia="fr-FR"/>
        </w:rPr>
        <w:t xml:space="preserve"> zijn –krachtens die dwingende wet – een kennelijk onevenwicht doordat ze afwijken van wat de wetgever als norm voorhoudt.”</w:t>
      </w:r>
      <w:r w:rsidRPr="003A4841">
        <w:rPr>
          <w:i/>
          <w:szCs w:val="20"/>
          <w:vertAlign w:val="superscript"/>
          <w:lang w:eastAsia="fr-FR"/>
        </w:rPr>
        <w:footnoteReference w:id="15"/>
      </w:r>
      <w:r w:rsidRPr="003A4841">
        <w:rPr>
          <w:szCs w:val="20"/>
          <w:lang w:eastAsia="fr-FR"/>
        </w:rPr>
        <w:t xml:space="preserve"> </w:t>
      </w:r>
    </w:p>
    <w:p w:rsidR="003A4841" w:rsidRPr="003A4841" w:rsidRDefault="003A4841" w:rsidP="003A4841">
      <w:pPr>
        <w:keepLines/>
        <w:rPr>
          <w:szCs w:val="20"/>
          <w:lang w:eastAsia="fr-FR"/>
        </w:rPr>
      </w:pPr>
    </w:p>
    <w:p w:rsidR="003A4841" w:rsidRPr="003A4841" w:rsidRDefault="003A4841" w:rsidP="003A4841">
      <w:pPr>
        <w:keepLines/>
        <w:ind w:left="1418"/>
        <w:rPr>
          <w:szCs w:val="20"/>
          <w:lang w:eastAsia="fr-FR"/>
        </w:rPr>
      </w:pPr>
      <w:r w:rsidRPr="003A4841">
        <w:rPr>
          <w:szCs w:val="20"/>
          <w:lang w:eastAsia="fr-FR"/>
        </w:rPr>
        <w:t xml:space="preserve">Er kan dan ook geen twijfel over bestaan dat  de onderdelen a) tot g) van artikel 108, § 1, WEC opgenomen moeten zijn in ieder contract dat gesloten wordt tussen een operator en een abonnee. </w:t>
      </w:r>
    </w:p>
    <w:p w:rsidR="003A4841" w:rsidRPr="003A4841" w:rsidRDefault="003A4841" w:rsidP="003A4841">
      <w:pPr>
        <w:keepLines/>
        <w:rPr>
          <w:szCs w:val="20"/>
          <w:lang w:eastAsia="fr-FR"/>
        </w:rPr>
      </w:pPr>
    </w:p>
    <w:p w:rsidR="003A4841" w:rsidRDefault="003A4841" w:rsidP="003A4841">
      <w:pPr>
        <w:keepLines/>
        <w:spacing w:line="276" w:lineRule="auto"/>
        <w:ind w:left="1417"/>
        <w:rPr>
          <w:rFonts w:cs="Arial"/>
          <w:szCs w:val="20"/>
          <w:lang w:eastAsia="fr-FR"/>
        </w:rPr>
      </w:pPr>
      <w:r w:rsidRPr="003A4841">
        <w:rPr>
          <w:rFonts w:cs="Arial"/>
          <w:szCs w:val="20"/>
          <w:lang w:eastAsia="fr-FR"/>
        </w:rPr>
        <w:t xml:space="preserve">Aan deze opmerkingen aangaande het ontbreken van enige regeling over de wachttijd bij eerste aansluiting en de soorten onderhoudsdiensten kan nog worden toegevoegd dat deze ontbrekende elementen in de </w:t>
      </w:r>
      <w:proofErr w:type="spellStart"/>
      <w:r w:rsidRPr="003A4841">
        <w:rPr>
          <w:rFonts w:cs="Arial"/>
          <w:szCs w:val="20"/>
          <w:lang w:eastAsia="fr-FR"/>
        </w:rPr>
        <w:t>eerdervernoemde</w:t>
      </w:r>
      <w:proofErr w:type="spellEnd"/>
      <w:r w:rsidRPr="003A4841">
        <w:rPr>
          <w:rFonts w:cs="Arial"/>
          <w:szCs w:val="20"/>
          <w:lang w:eastAsia="fr-FR"/>
        </w:rPr>
        <w:t xml:space="preserve"> brief van het BIPT van 23 december 2011 eveneens werden aangehaald. In de </w:t>
      </w:r>
      <w:proofErr w:type="spellStart"/>
      <w:r w:rsidRPr="003A4841">
        <w:rPr>
          <w:rFonts w:cs="Arial"/>
          <w:szCs w:val="20"/>
          <w:lang w:eastAsia="fr-FR"/>
        </w:rPr>
        <w:t>draftversies</w:t>
      </w:r>
      <w:proofErr w:type="spellEnd"/>
      <w:r w:rsidRPr="003A4841">
        <w:rPr>
          <w:rFonts w:cs="Arial"/>
          <w:szCs w:val="20"/>
          <w:lang w:eastAsia="fr-FR"/>
        </w:rPr>
        <w:t xml:space="preserve"> van december en juni 2012 werd de wachttijd bij eerste aansluiting</w:t>
      </w:r>
      <w:r w:rsidRPr="003A4841">
        <w:rPr>
          <w:sz w:val="20"/>
          <w:szCs w:val="20"/>
          <w:vertAlign w:val="superscript"/>
          <w:lang w:eastAsia="fr-FR"/>
        </w:rPr>
        <w:t xml:space="preserve"> </w:t>
      </w:r>
      <w:r w:rsidRPr="003A4841">
        <w:rPr>
          <w:rFonts w:cs="Arial"/>
          <w:szCs w:val="20"/>
          <w:lang w:eastAsia="fr-FR"/>
        </w:rPr>
        <w:t>voorzien binnen een termijn van 14 dagen</w:t>
      </w:r>
      <w:r w:rsidRPr="003A4841">
        <w:rPr>
          <w:sz w:val="20"/>
          <w:szCs w:val="20"/>
          <w:vertAlign w:val="superscript"/>
          <w:lang w:val="fr-BE" w:eastAsia="fr-FR"/>
        </w:rPr>
        <w:footnoteReference w:id="16"/>
      </w:r>
      <w:r w:rsidRPr="003A4841">
        <w:rPr>
          <w:rFonts w:cs="Arial"/>
          <w:szCs w:val="20"/>
          <w:lang w:eastAsia="fr-FR"/>
        </w:rPr>
        <w:t xml:space="preserve">; de soorten onderhoudsservice werden voorzien in artikel 10 maar kregen in de </w:t>
      </w:r>
      <w:proofErr w:type="spellStart"/>
      <w:r w:rsidRPr="003A4841">
        <w:rPr>
          <w:rFonts w:cs="Arial"/>
          <w:szCs w:val="20"/>
          <w:lang w:eastAsia="fr-FR"/>
        </w:rPr>
        <w:t>draftversies</w:t>
      </w:r>
      <w:proofErr w:type="spellEnd"/>
      <w:r w:rsidRPr="003A4841">
        <w:rPr>
          <w:rFonts w:cs="Arial"/>
          <w:szCs w:val="20"/>
          <w:lang w:eastAsia="fr-FR"/>
        </w:rPr>
        <w:t xml:space="preserve"> nog geen concrete invulling. Desalniettemin heeft Dommel in zijn huidige algemene voorwaarden iedere verwijzing naar de wachttijd bij eerste aansluiting en naar de soorten onderhoudsdienst laten vallen hoewel, zoals eerder gemeld aan Dommel, deze elementen wel degelijk in de algemene voorwaarden opgenomen moeten worden. </w:t>
      </w:r>
    </w:p>
    <w:p w:rsidR="003A4841" w:rsidRPr="003A4841" w:rsidRDefault="003A4841" w:rsidP="003A4841">
      <w:pPr>
        <w:keepLines/>
        <w:spacing w:line="276" w:lineRule="auto"/>
        <w:ind w:left="1417"/>
        <w:rPr>
          <w:rFonts w:cs="Arial"/>
          <w:szCs w:val="20"/>
          <w:lang w:eastAsia="fr-FR"/>
        </w:rPr>
      </w:pPr>
    </w:p>
    <w:p w:rsidR="003A4841" w:rsidRPr="003A4841" w:rsidRDefault="003A4841" w:rsidP="003A4841">
      <w:pPr>
        <w:keepNext/>
        <w:keepLines/>
        <w:spacing w:before="240"/>
        <w:ind w:left="709"/>
        <w:outlineLvl w:val="1"/>
        <w:rPr>
          <w:rFonts w:ascii="Calibri" w:hAnsi="Calibri" w:cs="Calibri"/>
          <w:b/>
          <w:bCs/>
          <w:sz w:val="26"/>
          <w:szCs w:val="26"/>
          <w:lang w:val="nl-NL" w:eastAsia="fr-FR"/>
        </w:rPr>
      </w:pPr>
      <w:bookmarkStart w:id="43" w:name="_Toc376423490"/>
      <w:r w:rsidRPr="003A4841">
        <w:rPr>
          <w:rFonts w:ascii="Calibri" w:hAnsi="Calibri" w:cs="Calibri"/>
          <w:b/>
          <w:bCs/>
          <w:sz w:val="26"/>
          <w:szCs w:val="26"/>
          <w:lang w:val="nl-NL" w:eastAsia="fr-FR"/>
        </w:rPr>
        <w:t>2.8. Besluit betreffende de overtreding en de procedure</w:t>
      </w:r>
      <w:bookmarkEnd w:id="43"/>
    </w:p>
    <w:p w:rsidR="003A4841" w:rsidRPr="003A4841" w:rsidRDefault="003A4841" w:rsidP="003A4841">
      <w:pPr>
        <w:keepLines/>
        <w:rPr>
          <w:szCs w:val="20"/>
          <w:lang w:eastAsia="fr-FR"/>
        </w:rPr>
      </w:pPr>
    </w:p>
    <w:p w:rsidR="003A4841" w:rsidRPr="003A4841" w:rsidRDefault="003A4841" w:rsidP="00D04E74">
      <w:pPr>
        <w:keepLines/>
        <w:ind w:left="1418"/>
        <w:rPr>
          <w:szCs w:val="20"/>
          <w:lang w:eastAsia="fr-FR"/>
        </w:rPr>
      </w:pPr>
      <w:r w:rsidRPr="003A4841">
        <w:rPr>
          <w:szCs w:val="20"/>
          <w:lang w:eastAsia="fr-FR"/>
        </w:rPr>
        <w:t xml:space="preserve">Op basis van de motivering in secties 4.1. tot 4.6 hierboven besluit het BIPT tot een overtreding in hoofde van Dommel van de artikelen 108, § 1, b), 3de en 5de onderdeel, 108, § 1, f), 108, § 2, en 111/3, §§ 1 en 3, WEC. </w:t>
      </w:r>
    </w:p>
    <w:p w:rsidR="003A4841" w:rsidRPr="003A4841" w:rsidRDefault="003A4841" w:rsidP="003A4841">
      <w:pPr>
        <w:keepLines/>
        <w:rPr>
          <w:szCs w:val="20"/>
          <w:lang w:eastAsia="fr-FR"/>
        </w:rPr>
      </w:pPr>
    </w:p>
    <w:p w:rsidR="003A4841" w:rsidRPr="003A4841" w:rsidRDefault="003A4841" w:rsidP="00D04E74">
      <w:pPr>
        <w:keepLines/>
        <w:ind w:left="1417"/>
        <w:rPr>
          <w:szCs w:val="20"/>
          <w:lang w:eastAsia="fr-FR"/>
        </w:rPr>
      </w:pPr>
      <w:r w:rsidRPr="003A4841">
        <w:rPr>
          <w:szCs w:val="20"/>
          <w:lang w:eastAsia="fr-FR"/>
        </w:rPr>
        <w:lastRenderedPageBreak/>
        <w:t>Het BIPT beslist dan ook de procedure van artikel 21 van de wet van 17 januari 2003 op te starten en de Dommel kennis te geven van onderstaande grieven en van het beoogde bedrag van de administratieve boete.</w:t>
      </w:r>
      <w:r w:rsidR="00D04E74">
        <w:rPr>
          <w:szCs w:val="20"/>
          <w:lang w:eastAsia="fr-FR"/>
        </w:rPr>
        <w:t>”</w:t>
      </w:r>
    </w:p>
    <w:p w:rsidR="003A4841" w:rsidRPr="003A4841" w:rsidRDefault="003A4841" w:rsidP="003A4841">
      <w:pPr>
        <w:keepLines/>
        <w:rPr>
          <w:szCs w:val="20"/>
          <w:lang w:eastAsia="fr-FR"/>
        </w:rPr>
      </w:pPr>
    </w:p>
    <w:bookmarkEnd w:id="30"/>
    <w:p w:rsidR="00732B96" w:rsidRDefault="00732B96" w:rsidP="00732B96">
      <w:pPr>
        <w:spacing w:line="276" w:lineRule="auto"/>
      </w:pPr>
    </w:p>
    <w:p w:rsidR="00732B96" w:rsidRDefault="00732B96" w:rsidP="00732B96">
      <w:pPr>
        <w:pStyle w:val="Kop3"/>
        <w:spacing w:before="120"/>
        <w:rPr>
          <w:rFonts w:cs="Calibri"/>
          <w:color w:val="8DB3E2" w:themeColor="text2" w:themeTint="66"/>
          <w:sz w:val="24"/>
          <w:szCs w:val="24"/>
        </w:rPr>
      </w:pPr>
      <w:bookmarkStart w:id="44" w:name="_Toc376423491"/>
      <w:r w:rsidRPr="00DA0DDB">
        <w:rPr>
          <w:rFonts w:cs="Calibri"/>
          <w:color w:val="8DB3E2" w:themeColor="text2" w:themeTint="66"/>
          <w:sz w:val="24"/>
          <w:szCs w:val="24"/>
        </w:rPr>
        <w:t>4.</w:t>
      </w:r>
      <w:r>
        <w:rPr>
          <w:rFonts w:cs="Calibri"/>
          <w:color w:val="8DB3E2" w:themeColor="text2" w:themeTint="66"/>
          <w:sz w:val="24"/>
          <w:szCs w:val="24"/>
        </w:rPr>
        <w:t xml:space="preserve">2.2. Standpunt van </w:t>
      </w:r>
      <w:r w:rsidR="00D04E74">
        <w:rPr>
          <w:rFonts w:cs="Calibri"/>
          <w:color w:val="8DB3E2" w:themeColor="text2" w:themeTint="66"/>
          <w:sz w:val="24"/>
          <w:szCs w:val="24"/>
        </w:rPr>
        <w:t>Dommel</w:t>
      </w:r>
      <w:bookmarkEnd w:id="44"/>
      <w:r>
        <w:rPr>
          <w:rFonts w:cs="Calibri"/>
          <w:color w:val="8DB3E2" w:themeColor="text2" w:themeTint="66"/>
          <w:sz w:val="24"/>
          <w:szCs w:val="24"/>
        </w:rPr>
        <w:t xml:space="preserve"> </w:t>
      </w:r>
      <w:r w:rsidRPr="00DA0DDB">
        <w:rPr>
          <w:rFonts w:cs="Calibri"/>
          <w:color w:val="8DB3E2" w:themeColor="text2" w:themeTint="66"/>
          <w:sz w:val="24"/>
          <w:szCs w:val="24"/>
        </w:rPr>
        <w:t xml:space="preserve"> </w:t>
      </w:r>
    </w:p>
    <w:p w:rsidR="00732B96" w:rsidRDefault="00732B96" w:rsidP="00732B96"/>
    <w:p w:rsidR="00732B96" w:rsidRPr="00D23630" w:rsidRDefault="00C1026D" w:rsidP="00DC3143">
      <w:pPr>
        <w:pStyle w:val="Lijstalinea"/>
        <w:numPr>
          <w:ilvl w:val="0"/>
          <w:numId w:val="5"/>
        </w:numPr>
        <w:spacing w:line="276" w:lineRule="auto"/>
        <w:rPr>
          <w:szCs w:val="24"/>
          <w:lang w:val="nl-NL"/>
        </w:rPr>
      </w:pPr>
      <w:r>
        <w:rPr>
          <w:szCs w:val="24"/>
          <w:lang w:val="nl-NL"/>
        </w:rPr>
        <w:t xml:space="preserve">Zowel in haar schriftelijk commentaren als tijdens </w:t>
      </w:r>
      <w:r w:rsidR="00732B96" w:rsidRPr="00D23630">
        <w:rPr>
          <w:szCs w:val="24"/>
          <w:lang w:val="nl-NL"/>
        </w:rPr>
        <w:t>de hoorzi</w:t>
      </w:r>
      <w:r w:rsidR="00006002">
        <w:rPr>
          <w:szCs w:val="24"/>
          <w:lang w:val="nl-NL"/>
        </w:rPr>
        <w:t>tt</w:t>
      </w:r>
      <w:r w:rsidR="00732B96" w:rsidRPr="00D23630">
        <w:rPr>
          <w:szCs w:val="24"/>
          <w:lang w:val="nl-NL"/>
        </w:rPr>
        <w:t xml:space="preserve">ing van </w:t>
      </w:r>
      <w:r>
        <w:rPr>
          <w:szCs w:val="24"/>
          <w:lang w:val="nl-NL"/>
        </w:rPr>
        <w:t>1</w:t>
      </w:r>
      <w:r w:rsidR="00732B96" w:rsidRPr="00D23630">
        <w:rPr>
          <w:szCs w:val="24"/>
          <w:lang w:val="nl-NL"/>
        </w:rPr>
        <w:t xml:space="preserve">2 </w:t>
      </w:r>
      <w:r>
        <w:rPr>
          <w:szCs w:val="24"/>
          <w:lang w:val="nl-NL"/>
        </w:rPr>
        <w:t>december</w:t>
      </w:r>
      <w:r w:rsidR="00732B96" w:rsidRPr="00D23630">
        <w:rPr>
          <w:szCs w:val="24"/>
          <w:lang w:val="nl-NL"/>
        </w:rPr>
        <w:t xml:space="preserve"> 201</w:t>
      </w:r>
      <w:r>
        <w:rPr>
          <w:szCs w:val="24"/>
          <w:lang w:val="nl-NL"/>
        </w:rPr>
        <w:t>3</w:t>
      </w:r>
      <w:r w:rsidR="00732B96" w:rsidRPr="00D23630">
        <w:rPr>
          <w:szCs w:val="24"/>
          <w:lang w:val="nl-NL"/>
        </w:rPr>
        <w:t xml:space="preserve"> </w:t>
      </w:r>
      <w:r>
        <w:rPr>
          <w:szCs w:val="24"/>
          <w:lang w:val="nl-NL"/>
        </w:rPr>
        <w:t xml:space="preserve">ontkent Dommel de </w:t>
      </w:r>
      <w:r w:rsidR="00D52E29">
        <w:rPr>
          <w:szCs w:val="24"/>
          <w:lang w:val="nl-NL"/>
        </w:rPr>
        <w:t>gegrondheid van de grieven</w:t>
      </w:r>
      <w:r>
        <w:rPr>
          <w:szCs w:val="24"/>
          <w:lang w:val="nl-NL"/>
        </w:rPr>
        <w:t xml:space="preserve"> niet. </w:t>
      </w:r>
      <w:r w:rsidR="00732B96" w:rsidRPr="00D23630">
        <w:rPr>
          <w:szCs w:val="24"/>
          <w:lang w:val="nl-NL"/>
        </w:rPr>
        <w:t xml:space="preserve"> </w:t>
      </w:r>
    </w:p>
    <w:p w:rsidR="00732B96" w:rsidRDefault="00732B96" w:rsidP="00732B96"/>
    <w:p w:rsidR="00732B96" w:rsidRPr="00D23630" w:rsidRDefault="00712085" w:rsidP="00DC3143">
      <w:pPr>
        <w:pStyle w:val="Lijstalinea"/>
        <w:numPr>
          <w:ilvl w:val="0"/>
          <w:numId w:val="5"/>
        </w:numPr>
        <w:spacing w:line="276" w:lineRule="auto"/>
        <w:rPr>
          <w:szCs w:val="24"/>
          <w:lang w:val="nl-NL"/>
        </w:rPr>
      </w:pPr>
      <w:r>
        <w:rPr>
          <w:szCs w:val="24"/>
          <w:lang w:val="nl-NL"/>
        </w:rPr>
        <w:t>Tijdens de hoorziting stelde Dommel expliciet dat de door</w:t>
      </w:r>
      <w:r w:rsidR="00D52E29">
        <w:rPr>
          <w:szCs w:val="24"/>
          <w:lang w:val="nl-NL"/>
        </w:rPr>
        <w:t xml:space="preserve"> h</w:t>
      </w:r>
      <w:r w:rsidR="008A5283">
        <w:rPr>
          <w:szCs w:val="24"/>
          <w:lang w:val="nl-NL"/>
        </w:rPr>
        <w:t>aar</w:t>
      </w:r>
      <w:r w:rsidR="00D52E29">
        <w:rPr>
          <w:szCs w:val="24"/>
          <w:lang w:val="nl-NL"/>
        </w:rPr>
        <w:t xml:space="preserve"> gehanteerde versie van de algemene v</w:t>
      </w:r>
      <w:r>
        <w:rPr>
          <w:szCs w:val="24"/>
          <w:lang w:val="nl-NL"/>
        </w:rPr>
        <w:t xml:space="preserve">oorwaarden dateert van 2007. De voettekst bij de </w:t>
      </w:r>
      <w:r w:rsidR="00D52E29">
        <w:rPr>
          <w:szCs w:val="24"/>
          <w:lang w:val="nl-NL"/>
        </w:rPr>
        <w:t>a</w:t>
      </w:r>
      <w:r>
        <w:rPr>
          <w:szCs w:val="24"/>
          <w:lang w:val="nl-NL"/>
        </w:rPr>
        <w:t xml:space="preserve">lgemene </w:t>
      </w:r>
      <w:r w:rsidR="00D52E29">
        <w:rPr>
          <w:szCs w:val="24"/>
          <w:lang w:val="nl-NL"/>
        </w:rPr>
        <w:t>v</w:t>
      </w:r>
      <w:r>
        <w:rPr>
          <w:szCs w:val="24"/>
          <w:lang w:val="nl-NL"/>
        </w:rPr>
        <w:t xml:space="preserve">oorwaarden is niet het versienummer </w:t>
      </w:r>
      <w:r w:rsidR="0005031F">
        <w:rPr>
          <w:szCs w:val="24"/>
          <w:lang w:val="nl-NL"/>
        </w:rPr>
        <w:t xml:space="preserve">ervan </w:t>
      </w:r>
      <w:r>
        <w:rPr>
          <w:szCs w:val="24"/>
          <w:lang w:val="nl-NL"/>
        </w:rPr>
        <w:t xml:space="preserve">maar verwijst </w:t>
      </w:r>
      <w:r w:rsidR="003043AD">
        <w:rPr>
          <w:szCs w:val="24"/>
          <w:lang w:val="nl-NL"/>
        </w:rPr>
        <w:t xml:space="preserve">volgens Dommel </w:t>
      </w:r>
      <w:r>
        <w:rPr>
          <w:szCs w:val="24"/>
          <w:lang w:val="nl-NL"/>
        </w:rPr>
        <w:t xml:space="preserve">naar de datum waarop de </w:t>
      </w:r>
      <w:r w:rsidR="005C330C">
        <w:rPr>
          <w:szCs w:val="24"/>
          <w:lang w:val="nl-NL"/>
        </w:rPr>
        <w:t>a</w:t>
      </w:r>
      <w:r>
        <w:rPr>
          <w:szCs w:val="24"/>
          <w:lang w:val="nl-NL"/>
        </w:rPr>
        <w:t xml:space="preserve">lgemene </w:t>
      </w:r>
      <w:r w:rsidR="005C330C">
        <w:rPr>
          <w:szCs w:val="24"/>
          <w:lang w:val="nl-NL"/>
        </w:rPr>
        <w:t>v</w:t>
      </w:r>
      <w:r>
        <w:rPr>
          <w:szCs w:val="24"/>
          <w:lang w:val="nl-NL"/>
        </w:rPr>
        <w:t xml:space="preserve">oorwaarden voor de betreffende klant in het ICT-systeem van Dommel werd ingebracht.  </w:t>
      </w:r>
      <w:r w:rsidR="00D52E29">
        <w:rPr>
          <w:szCs w:val="24"/>
          <w:lang w:val="nl-NL"/>
        </w:rPr>
        <w:t xml:space="preserve">Er zijn bijgevolg geen verschillende versies van de algemene voorwaarden van Dommel in omloop. Dommel gebruikt slechts één versie, </w:t>
      </w:r>
      <w:r w:rsidR="002B5384">
        <w:rPr>
          <w:szCs w:val="24"/>
          <w:lang w:val="nl-NL"/>
        </w:rPr>
        <w:t xml:space="preserve">namelijk </w:t>
      </w:r>
      <w:r w:rsidR="00D52E29">
        <w:rPr>
          <w:szCs w:val="24"/>
          <w:lang w:val="nl-NL"/>
        </w:rPr>
        <w:t xml:space="preserve">die van 2007. </w:t>
      </w:r>
    </w:p>
    <w:p w:rsidR="00732B96" w:rsidRDefault="003C1A02" w:rsidP="00732B96">
      <w:r>
        <w:t xml:space="preserve">   </w:t>
      </w:r>
    </w:p>
    <w:p w:rsidR="003043AD" w:rsidRPr="003043AD" w:rsidRDefault="00712085" w:rsidP="00DC3143">
      <w:pPr>
        <w:pStyle w:val="Lijstalinea"/>
        <w:numPr>
          <w:ilvl w:val="0"/>
          <w:numId w:val="5"/>
        </w:numPr>
        <w:spacing w:line="276" w:lineRule="auto"/>
        <w:rPr>
          <w:szCs w:val="24"/>
          <w:lang w:val="nl-NL"/>
        </w:rPr>
      </w:pPr>
      <w:r w:rsidRPr="003043AD">
        <w:rPr>
          <w:szCs w:val="24"/>
          <w:lang w:val="nl-NL"/>
        </w:rPr>
        <w:t>Dommel is er zich van bewust dat de door h</w:t>
      </w:r>
      <w:r w:rsidR="008A5283">
        <w:rPr>
          <w:szCs w:val="24"/>
          <w:lang w:val="nl-NL"/>
        </w:rPr>
        <w:t>aar</w:t>
      </w:r>
      <w:r w:rsidRPr="003043AD">
        <w:rPr>
          <w:szCs w:val="24"/>
          <w:lang w:val="nl-NL"/>
        </w:rPr>
        <w:t xml:space="preserve"> gehanteerde </w:t>
      </w:r>
      <w:r w:rsidR="003043AD" w:rsidRPr="003043AD">
        <w:rPr>
          <w:szCs w:val="24"/>
          <w:lang w:val="nl-NL"/>
        </w:rPr>
        <w:t>a</w:t>
      </w:r>
      <w:r w:rsidRPr="003043AD">
        <w:rPr>
          <w:szCs w:val="24"/>
          <w:lang w:val="nl-NL"/>
        </w:rPr>
        <w:t xml:space="preserve">lgemene </w:t>
      </w:r>
      <w:r w:rsidR="003043AD" w:rsidRPr="003043AD">
        <w:rPr>
          <w:szCs w:val="24"/>
          <w:lang w:val="nl-NL"/>
        </w:rPr>
        <w:t>v</w:t>
      </w:r>
      <w:r w:rsidRPr="003043AD">
        <w:rPr>
          <w:szCs w:val="24"/>
          <w:lang w:val="nl-NL"/>
        </w:rPr>
        <w:t>oorwaarden niet in overeenstemming zijn met de vigerende regelgeving maar zij voegt er aan toe dat zij</w:t>
      </w:r>
      <w:r w:rsidR="003043AD">
        <w:rPr>
          <w:szCs w:val="24"/>
          <w:lang w:val="nl-NL"/>
        </w:rPr>
        <w:t xml:space="preserve"> niet te kwader trouw is en </w:t>
      </w:r>
      <w:r w:rsidRPr="003043AD">
        <w:rPr>
          <w:szCs w:val="24"/>
          <w:lang w:val="nl-NL"/>
        </w:rPr>
        <w:t xml:space="preserve">de facto de wet respecteert. Als er al inbreuken zijn t.a.v. individuele klanten, dan gaat het om vergissingen of tekortkomingen van medewerkers maar niet om een beleid of strategie vanwege de operator. </w:t>
      </w:r>
      <w:r w:rsidR="003043AD" w:rsidRPr="003043AD">
        <w:rPr>
          <w:szCs w:val="24"/>
          <w:lang w:val="nl-NL"/>
        </w:rPr>
        <w:t>Dommel meent dat er</w:t>
      </w:r>
      <w:r w:rsidR="003043AD">
        <w:rPr>
          <w:szCs w:val="24"/>
          <w:lang w:val="nl-NL"/>
        </w:rPr>
        <w:t xml:space="preserve"> in die zin </w:t>
      </w:r>
      <w:r w:rsidR="003043AD" w:rsidRPr="003043AD">
        <w:rPr>
          <w:szCs w:val="24"/>
          <w:lang w:val="nl-NL"/>
        </w:rPr>
        <w:t xml:space="preserve">wel degelijk van verzachtende omstandigheden sprake </w:t>
      </w:r>
      <w:r w:rsidR="003043AD">
        <w:rPr>
          <w:szCs w:val="24"/>
          <w:lang w:val="nl-NL"/>
        </w:rPr>
        <w:t xml:space="preserve">kan zijn. </w:t>
      </w:r>
      <w:r w:rsidR="003043AD" w:rsidRPr="003043AD">
        <w:rPr>
          <w:szCs w:val="24"/>
          <w:lang w:val="nl-NL"/>
        </w:rPr>
        <w:t xml:space="preserve">Dommel voegt daaraan toe : </w:t>
      </w:r>
      <w:r w:rsidR="003043AD" w:rsidRPr="003043AD">
        <w:rPr>
          <w:i/>
          <w:szCs w:val="24"/>
          <w:lang w:val="nl-NL"/>
        </w:rPr>
        <w:t>“Het feit dat de voorwaarden tot voor kort nog niet waren aangepast is eerder te wijten aan een gebrekkige opvolging van onze kant en kan zeker niet beschouwd worden als een moedwillig negeren, laat staan ingaan tegen, de opmerkingen van het BIPT.”</w:t>
      </w:r>
    </w:p>
    <w:p w:rsidR="00732B96" w:rsidRDefault="00732B96" w:rsidP="00732B96"/>
    <w:p w:rsidR="00732B96" w:rsidRPr="00D23630" w:rsidRDefault="00712085" w:rsidP="00DC3143">
      <w:pPr>
        <w:pStyle w:val="Lijstalinea"/>
        <w:numPr>
          <w:ilvl w:val="0"/>
          <w:numId w:val="5"/>
        </w:numPr>
        <w:spacing w:line="276" w:lineRule="auto"/>
        <w:rPr>
          <w:szCs w:val="24"/>
          <w:lang w:val="nl-NL"/>
        </w:rPr>
      </w:pPr>
      <w:r>
        <w:rPr>
          <w:szCs w:val="24"/>
          <w:lang w:val="nl-NL"/>
        </w:rPr>
        <w:t xml:space="preserve">Tevens was Dommel ook </w:t>
      </w:r>
      <w:r w:rsidR="00006002">
        <w:rPr>
          <w:szCs w:val="24"/>
          <w:lang w:val="nl-NL"/>
        </w:rPr>
        <w:t>in de veronderstel</w:t>
      </w:r>
      <w:r>
        <w:rPr>
          <w:szCs w:val="24"/>
          <w:lang w:val="nl-NL"/>
        </w:rPr>
        <w:t xml:space="preserve">ling dat zij nog steeds samen met het BIPT de </w:t>
      </w:r>
      <w:r w:rsidR="003043AD">
        <w:rPr>
          <w:szCs w:val="24"/>
          <w:lang w:val="nl-NL"/>
        </w:rPr>
        <w:t>a</w:t>
      </w:r>
      <w:r>
        <w:rPr>
          <w:szCs w:val="24"/>
          <w:lang w:val="nl-NL"/>
        </w:rPr>
        <w:t xml:space="preserve">lgemene </w:t>
      </w:r>
      <w:r w:rsidR="003043AD">
        <w:rPr>
          <w:szCs w:val="24"/>
          <w:lang w:val="nl-NL"/>
        </w:rPr>
        <w:t>v</w:t>
      </w:r>
      <w:r>
        <w:rPr>
          <w:szCs w:val="24"/>
          <w:lang w:val="nl-NL"/>
        </w:rPr>
        <w:t xml:space="preserve">oorwaarden in overeenstemming aan het brengen was met de geldende regelgeving.  </w:t>
      </w:r>
      <w:r w:rsidR="00056FE7" w:rsidRPr="00056FE7">
        <w:rPr>
          <w:szCs w:val="24"/>
          <w:lang w:val="nl-NL"/>
        </w:rPr>
        <w:t xml:space="preserve">In haar schrijven stelt Dommel hieromtrent : </w:t>
      </w:r>
      <w:r w:rsidR="00056FE7" w:rsidRPr="00056FE7">
        <w:rPr>
          <w:i/>
          <w:szCs w:val="24"/>
          <w:lang w:val="nl-NL"/>
        </w:rPr>
        <w:t>“Voor alle duidelijkheid wensen wij te benadrukken dat Dommel steeds de wil heeft gehad om de aanbevelingen van het BIPT correct op te volgen en te implementeren. Echter, om het aantal communicaties aan klanten zoveel mogelijk te beperken en bij hen geen verwarring teweeg te brengen, is het onze overtuiging geweest om te wachten met de invoering van nieuwe algemene voorwaarden totdat deze formeel door het BIPT werden goedgekeurd.”</w:t>
      </w:r>
    </w:p>
    <w:p w:rsidR="00732B96" w:rsidRDefault="00732B96" w:rsidP="00732B96"/>
    <w:p w:rsidR="003043AD" w:rsidRPr="003043AD" w:rsidRDefault="003043AD" w:rsidP="00DC3143">
      <w:pPr>
        <w:pStyle w:val="Lijstalinea"/>
        <w:numPr>
          <w:ilvl w:val="0"/>
          <w:numId w:val="5"/>
        </w:numPr>
        <w:spacing w:line="276" w:lineRule="auto"/>
        <w:rPr>
          <w:szCs w:val="24"/>
          <w:lang w:val="nl-NL"/>
        </w:rPr>
      </w:pPr>
      <w:r w:rsidRPr="003043AD">
        <w:rPr>
          <w:szCs w:val="24"/>
          <w:lang w:val="nl-NL"/>
        </w:rPr>
        <w:t>Dommel wenst eveneens nunaces aan te brengen aan de verzwarende omstandigheden die in de brief met grieven worden aangehaald : Dommel hee</w:t>
      </w:r>
      <w:r w:rsidR="002B5384">
        <w:rPr>
          <w:szCs w:val="24"/>
          <w:lang w:val="nl-NL"/>
        </w:rPr>
        <w:t>ft steeds de wil gehad om haar algemene v</w:t>
      </w:r>
      <w:r w:rsidRPr="003043AD">
        <w:rPr>
          <w:szCs w:val="24"/>
          <w:lang w:val="nl-NL"/>
        </w:rPr>
        <w:t xml:space="preserve">oorwaarden in overeenstemming te brengen met de vigerende wetgeving. Op 12 juni 2012 vroeg Dommel per mail om samen met de juristen de </w:t>
      </w:r>
      <w:r w:rsidR="002B5384">
        <w:rPr>
          <w:szCs w:val="24"/>
          <w:lang w:val="nl-NL"/>
        </w:rPr>
        <w:t xml:space="preserve">algemene </w:t>
      </w:r>
      <w:r w:rsidRPr="003043AD">
        <w:rPr>
          <w:szCs w:val="24"/>
          <w:lang w:val="nl-NL"/>
        </w:rPr>
        <w:t xml:space="preserve">voorwaarden af te werken. Op 7 augustus 2013 heeft Dommel nog per e-mail de vraag gesteld aan het BIPT of het dossier was afgesloten. Op deze berichten </w:t>
      </w:r>
      <w:r w:rsidR="002B5384">
        <w:rPr>
          <w:szCs w:val="24"/>
          <w:lang w:val="nl-NL"/>
        </w:rPr>
        <w:t>zegt</w:t>
      </w:r>
      <w:r w:rsidRPr="003043AD">
        <w:rPr>
          <w:szCs w:val="24"/>
          <w:lang w:val="nl-NL"/>
        </w:rPr>
        <w:t xml:space="preserve"> Dommel geen reactie </w:t>
      </w:r>
      <w:r w:rsidR="002B5384">
        <w:rPr>
          <w:szCs w:val="24"/>
          <w:lang w:val="nl-NL"/>
        </w:rPr>
        <w:t xml:space="preserve">te hebben </w:t>
      </w:r>
      <w:r w:rsidRPr="003043AD">
        <w:rPr>
          <w:szCs w:val="24"/>
          <w:lang w:val="nl-NL"/>
        </w:rPr>
        <w:t xml:space="preserve">ontvangen. </w:t>
      </w:r>
    </w:p>
    <w:p w:rsidR="003043AD" w:rsidRPr="003043AD" w:rsidRDefault="003043AD" w:rsidP="003043AD">
      <w:pPr>
        <w:rPr>
          <w:szCs w:val="24"/>
          <w:lang w:val="nl-NL"/>
        </w:rPr>
      </w:pPr>
    </w:p>
    <w:p w:rsidR="00732B96" w:rsidRPr="00D23630" w:rsidRDefault="0005031F" w:rsidP="00DC3143">
      <w:pPr>
        <w:pStyle w:val="Lijstalinea"/>
        <w:numPr>
          <w:ilvl w:val="0"/>
          <w:numId w:val="5"/>
        </w:numPr>
        <w:spacing w:line="276" w:lineRule="auto"/>
        <w:rPr>
          <w:szCs w:val="24"/>
          <w:lang w:val="nl-NL"/>
        </w:rPr>
      </w:pPr>
      <w:r>
        <w:rPr>
          <w:szCs w:val="24"/>
          <w:lang w:val="nl-NL"/>
        </w:rPr>
        <w:t xml:space="preserve">Dommel haalt ook aan dat zij </w:t>
      </w:r>
      <w:r w:rsidR="003043AD">
        <w:rPr>
          <w:szCs w:val="24"/>
          <w:lang w:val="nl-NL"/>
        </w:rPr>
        <w:t xml:space="preserve">een nieuwe versie van </w:t>
      </w:r>
      <w:r>
        <w:rPr>
          <w:szCs w:val="24"/>
          <w:lang w:val="nl-NL"/>
        </w:rPr>
        <w:t xml:space="preserve">haar kaderovereenkomst </w:t>
      </w:r>
      <w:r w:rsidR="003043AD">
        <w:rPr>
          <w:szCs w:val="24"/>
          <w:lang w:val="nl-NL"/>
        </w:rPr>
        <w:t>heeft</w:t>
      </w:r>
      <w:r>
        <w:rPr>
          <w:szCs w:val="24"/>
          <w:lang w:val="nl-NL"/>
        </w:rPr>
        <w:t xml:space="preserve"> aangepast</w:t>
      </w:r>
      <w:r w:rsidR="003043AD">
        <w:rPr>
          <w:szCs w:val="24"/>
          <w:lang w:val="nl-NL"/>
        </w:rPr>
        <w:t xml:space="preserve"> aan de grieven van het BIPT en gepubliceerd </w:t>
      </w:r>
      <w:r>
        <w:rPr>
          <w:szCs w:val="24"/>
          <w:lang w:val="nl-NL"/>
        </w:rPr>
        <w:t xml:space="preserve">op haar website. </w:t>
      </w:r>
    </w:p>
    <w:p w:rsidR="00575770" w:rsidRPr="00575770" w:rsidRDefault="00575770" w:rsidP="00575770">
      <w:pPr>
        <w:pStyle w:val="Lijstalinea"/>
        <w:numPr>
          <w:ilvl w:val="0"/>
          <w:numId w:val="0"/>
        </w:numPr>
        <w:ind w:left="717"/>
        <w:rPr>
          <w:szCs w:val="24"/>
          <w:lang w:val="nl-NL"/>
        </w:rPr>
      </w:pPr>
    </w:p>
    <w:p w:rsidR="00C86788" w:rsidRPr="00C86788" w:rsidRDefault="00C86788" w:rsidP="00DC3143">
      <w:pPr>
        <w:pStyle w:val="Lijstalinea"/>
        <w:numPr>
          <w:ilvl w:val="0"/>
          <w:numId w:val="5"/>
        </w:numPr>
        <w:spacing w:line="276" w:lineRule="auto"/>
        <w:rPr>
          <w:szCs w:val="24"/>
          <w:lang w:val="nl-NL"/>
        </w:rPr>
      </w:pPr>
      <w:r>
        <w:rPr>
          <w:szCs w:val="24"/>
          <w:lang w:val="nl-NL"/>
        </w:rPr>
        <w:t xml:space="preserve">Tot slot nuanceert Dommel de grief m.b.t. </w:t>
      </w:r>
      <w:r w:rsidR="00080274">
        <w:rPr>
          <w:szCs w:val="24"/>
          <w:lang w:val="nl-NL"/>
        </w:rPr>
        <w:t xml:space="preserve">factuurcycli die langer zijn dan toegestaan door artikel </w:t>
      </w:r>
      <w:r w:rsidR="00080274" w:rsidRPr="00080274">
        <w:rPr>
          <w:szCs w:val="24"/>
          <w:lang w:val="nl-NL"/>
        </w:rPr>
        <w:t xml:space="preserve">110, § 1, eerste lid, </w:t>
      </w:r>
      <w:r w:rsidR="00080274">
        <w:rPr>
          <w:szCs w:val="24"/>
          <w:lang w:val="nl-NL"/>
        </w:rPr>
        <w:t xml:space="preserve">WEC : klanten die een contract hebben met een langere factuurcyclus krijgen namelijk wel een factuur wanneer hun verbruik hun abonnementsgeld overstijgt. </w:t>
      </w:r>
    </w:p>
    <w:p w:rsidR="00732B96" w:rsidRDefault="00732B96" w:rsidP="00732B96"/>
    <w:p w:rsidR="00732B96" w:rsidRPr="00DA0DDB" w:rsidRDefault="00732B96" w:rsidP="00732B96">
      <w:pPr>
        <w:pStyle w:val="Kop3"/>
        <w:spacing w:before="120"/>
        <w:rPr>
          <w:rFonts w:cs="Calibri"/>
          <w:color w:val="8DB3E2" w:themeColor="text2" w:themeTint="66"/>
          <w:sz w:val="24"/>
          <w:szCs w:val="24"/>
        </w:rPr>
      </w:pPr>
      <w:bookmarkStart w:id="45" w:name="_Toc376423492"/>
      <w:r w:rsidRPr="00DA0DDB">
        <w:rPr>
          <w:rFonts w:cs="Calibri"/>
          <w:color w:val="8DB3E2" w:themeColor="text2" w:themeTint="66"/>
          <w:sz w:val="24"/>
          <w:szCs w:val="24"/>
        </w:rPr>
        <w:t>4.</w:t>
      </w:r>
      <w:r>
        <w:rPr>
          <w:rFonts w:cs="Calibri"/>
          <w:color w:val="8DB3E2" w:themeColor="text2" w:themeTint="66"/>
          <w:sz w:val="24"/>
          <w:szCs w:val="24"/>
        </w:rPr>
        <w:t>2.3.</w:t>
      </w:r>
      <w:r w:rsidRPr="00DA0DDB">
        <w:rPr>
          <w:rFonts w:cs="Calibri"/>
          <w:color w:val="8DB3E2" w:themeColor="text2" w:themeTint="66"/>
          <w:sz w:val="24"/>
          <w:szCs w:val="24"/>
        </w:rPr>
        <w:t xml:space="preserve"> </w:t>
      </w:r>
      <w:r>
        <w:rPr>
          <w:rFonts w:cs="Calibri"/>
          <w:color w:val="8DB3E2" w:themeColor="text2" w:themeTint="66"/>
          <w:sz w:val="24"/>
          <w:szCs w:val="24"/>
        </w:rPr>
        <w:t>Beoordeling door het BIPT</w:t>
      </w:r>
      <w:bookmarkEnd w:id="45"/>
      <w:r w:rsidRPr="00DA0DDB">
        <w:rPr>
          <w:rFonts w:cs="Calibri"/>
          <w:color w:val="8DB3E2" w:themeColor="text2" w:themeTint="66"/>
          <w:sz w:val="24"/>
          <w:szCs w:val="24"/>
        </w:rPr>
        <w:t xml:space="preserve"> </w:t>
      </w:r>
    </w:p>
    <w:p w:rsidR="00732B96" w:rsidRPr="005E77A4" w:rsidRDefault="00732B96" w:rsidP="00732B96"/>
    <w:p w:rsidR="00732B96" w:rsidRDefault="00732B96" w:rsidP="00DC3143">
      <w:pPr>
        <w:pStyle w:val="Lijstalinea"/>
        <w:numPr>
          <w:ilvl w:val="0"/>
          <w:numId w:val="5"/>
        </w:numPr>
        <w:spacing w:line="276" w:lineRule="auto"/>
        <w:rPr>
          <w:szCs w:val="24"/>
          <w:lang w:val="nl-NL"/>
        </w:rPr>
      </w:pPr>
      <w:r w:rsidRPr="00D23630">
        <w:rPr>
          <w:szCs w:val="24"/>
          <w:lang w:val="nl-NL"/>
        </w:rPr>
        <w:t xml:space="preserve">Het BIPT is van oordeel dat </w:t>
      </w:r>
      <w:r w:rsidR="00AE20BB" w:rsidRPr="00AE20BB">
        <w:rPr>
          <w:szCs w:val="24"/>
          <w:lang w:val="nl-NL"/>
        </w:rPr>
        <w:t xml:space="preserve">de artikelen 108, § 1, b), 3de en 5de onderdeel, 108, § 1, f), 108, § 2, 110, § 1 en 111/3, §§ 1 en 3, WEC </w:t>
      </w:r>
      <w:r w:rsidR="00AE20BB">
        <w:rPr>
          <w:szCs w:val="24"/>
          <w:lang w:val="nl-NL"/>
        </w:rPr>
        <w:t xml:space="preserve">duidelijke verplichtingen opleggen aan de operatoren en dat de naleving van deze bepalingen in het belang is van de consumenten. </w:t>
      </w:r>
    </w:p>
    <w:p w:rsidR="00874B7E" w:rsidRDefault="00874B7E" w:rsidP="00874B7E">
      <w:pPr>
        <w:spacing w:line="276" w:lineRule="auto"/>
        <w:rPr>
          <w:szCs w:val="24"/>
          <w:lang w:val="nl-NL"/>
        </w:rPr>
      </w:pPr>
    </w:p>
    <w:p w:rsidR="00874B7E" w:rsidRPr="00874B7E" w:rsidRDefault="00874B7E" w:rsidP="00DC3143">
      <w:pPr>
        <w:pStyle w:val="Lijstalinea"/>
        <w:numPr>
          <w:ilvl w:val="0"/>
          <w:numId w:val="5"/>
        </w:numPr>
        <w:spacing w:line="276" w:lineRule="auto"/>
        <w:rPr>
          <w:szCs w:val="24"/>
          <w:lang w:val="nl-NL"/>
        </w:rPr>
      </w:pPr>
      <w:r>
        <w:rPr>
          <w:szCs w:val="24"/>
          <w:lang w:val="nl-NL"/>
        </w:rPr>
        <w:t xml:space="preserve">Het BIPT wenst te benadrukken dat Dommel als enige verantwoordelijk is voor de conformiteit van haar algemene voorwaarden met de vigerende wetgeving. </w:t>
      </w:r>
    </w:p>
    <w:p w:rsidR="00732B96" w:rsidRPr="00D23630" w:rsidRDefault="00732B96" w:rsidP="00074194">
      <w:pPr>
        <w:pStyle w:val="Lijstalinea"/>
        <w:numPr>
          <w:ilvl w:val="0"/>
          <w:numId w:val="0"/>
        </w:numPr>
        <w:spacing w:line="276" w:lineRule="auto"/>
        <w:ind w:left="720"/>
        <w:rPr>
          <w:szCs w:val="24"/>
          <w:lang w:val="nl-NL"/>
        </w:rPr>
      </w:pPr>
    </w:p>
    <w:p w:rsidR="002E37C5" w:rsidRDefault="00854450" w:rsidP="00DC3143">
      <w:pPr>
        <w:pStyle w:val="Lijstalinea"/>
        <w:numPr>
          <w:ilvl w:val="0"/>
          <w:numId w:val="5"/>
        </w:numPr>
        <w:spacing w:line="276" w:lineRule="auto"/>
        <w:rPr>
          <w:szCs w:val="24"/>
          <w:lang w:val="nl-NL"/>
        </w:rPr>
      </w:pPr>
      <w:r>
        <w:rPr>
          <w:szCs w:val="24"/>
          <w:lang w:val="nl-NL"/>
        </w:rPr>
        <w:t>In</w:t>
      </w:r>
      <w:r w:rsidRPr="00854450">
        <w:rPr>
          <w:szCs w:val="24"/>
          <w:lang w:val="nl-NL"/>
        </w:rPr>
        <w:t xml:space="preserve"> februari 2012 </w:t>
      </w:r>
      <w:r>
        <w:rPr>
          <w:szCs w:val="24"/>
          <w:lang w:val="nl-NL"/>
        </w:rPr>
        <w:t xml:space="preserve">heeft een medewerker van het BIPT op vraag van Dommel </w:t>
      </w:r>
      <w:r w:rsidRPr="00854450">
        <w:rPr>
          <w:szCs w:val="24"/>
          <w:lang w:val="nl-NL"/>
        </w:rPr>
        <w:t xml:space="preserve">de </w:t>
      </w:r>
      <w:r>
        <w:rPr>
          <w:szCs w:val="24"/>
          <w:lang w:val="nl-NL"/>
        </w:rPr>
        <w:t>ontwerpversie van de algemene voorwaarden</w:t>
      </w:r>
      <w:r w:rsidRPr="00854450">
        <w:rPr>
          <w:szCs w:val="24"/>
          <w:lang w:val="nl-NL"/>
        </w:rPr>
        <w:t xml:space="preserve"> </w:t>
      </w:r>
      <w:r w:rsidR="00DE6B95">
        <w:rPr>
          <w:szCs w:val="24"/>
          <w:lang w:val="nl-NL"/>
        </w:rPr>
        <w:t>van</w:t>
      </w:r>
      <w:r w:rsidRPr="00854450">
        <w:rPr>
          <w:szCs w:val="24"/>
          <w:lang w:val="nl-NL"/>
        </w:rPr>
        <w:t xml:space="preserve"> Dommel</w:t>
      </w:r>
      <w:r w:rsidRPr="00854450">
        <w:t xml:space="preserve"> </w:t>
      </w:r>
      <w:r w:rsidR="00DE6B95">
        <w:rPr>
          <w:szCs w:val="24"/>
          <w:lang w:val="nl-NL"/>
        </w:rPr>
        <w:t>nagekeken en gecorrigeerd</w:t>
      </w:r>
      <w:r w:rsidRPr="00854450">
        <w:rPr>
          <w:szCs w:val="24"/>
          <w:lang w:val="nl-NL"/>
        </w:rPr>
        <w:t xml:space="preserve">. Dommel </w:t>
      </w:r>
      <w:r>
        <w:rPr>
          <w:szCs w:val="24"/>
          <w:lang w:val="nl-NL"/>
        </w:rPr>
        <w:t>heeft deze</w:t>
      </w:r>
      <w:r w:rsidRPr="00854450">
        <w:rPr>
          <w:szCs w:val="24"/>
          <w:lang w:val="nl-NL"/>
        </w:rPr>
        <w:t xml:space="preserve"> </w:t>
      </w:r>
      <w:r w:rsidR="00DE6B95">
        <w:rPr>
          <w:szCs w:val="24"/>
          <w:lang w:val="nl-NL"/>
        </w:rPr>
        <w:t>correcties</w:t>
      </w:r>
      <w:r w:rsidRPr="00854450">
        <w:rPr>
          <w:szCs w:val="24"/>
          <w:lang w:val="nl-NL"/>
        </w:rPr>
        <w:t xml:space="preserve"> </w:t>
      </w:r>
      <w:r>
        <w:rPr>
          <w:szCs w:val="24"/>
          <w:lang w:val="nl-NL"/>
        </w:rPr>
        <w:t xml:space="preserve">noch de herziening van de </w:t>
      </w:r>
      <w:r w:rsidRPr="00854450">
        <w:rPr>
          <w:szCs w:val="24"/>
          <w:lang w:val="nl-NL"/>
        </w:rPr>
        <w:t>wetgeving</w:t>
      </w:r>
      <w:r>
        <w:rPr>
          <w:rStyle w:val="Voetnootmarkering"/>
          <w:szCs w:val="24"/>
          <w:lang w:val="nl-NL"/>
        </w:rPr>
        <w:footnoteReference w:id="17"/>
      </w:r>
      <w:r w:rsidRPr="00854450">
        <w:rPr>
          <w:szCs w:val="24"/>
          <w:lang w:val="nl-NL"/>
        </w:rPr>
        <w:t xml:space="preserve"> in hun </w:t>
      </w:r>
      <w:r>
        <w:rPr>
          <w:szCs w:val="24"/>
          <w:lang w:val="nl-NL"/>
        </w:rPr>
        <w:t>algemene voorwaarden</w:t>
      </w:r>
      <w:r w:rsidRPr="00854450">
        <w:rPr>
          <w:szCs w:val="24"/>
          <w:lang w:val="nl-NL"/>
        </w:rPr>
        <w:t xml:space="preserve"> verwerkt</w:t>
      </w:r>
      <w:r>
        <w:rPr>
          <w:szCs w:val="24"/>
          <w:lang w:val="nl-NL"/>
        </w:rPr>
        <w:t xml:space="preserve">. </w:t>
      </w:r>
      <w:r w:rsidR="00DE6B95">
        <w:rPr>
          <w:szCs w:val="24"/>
          <w:lang w:val="nl-NL"/>
        </w:rPr>
        <w:t>Dit heeft to</w:t>
      </w:r>
      <w:r w:rsidR="002B5384">
        <w:rPr>
          <w:szCs w:val="24"/>
          <w:lang w:val="nl-NL"/>
        </w:rPr>
        <w:t>t</w:t>
      </w:r>
      <w:r w:rsidR="00DE6B95">
        <w:rPr>
          <w:szCs w:val="24"/>
          <w:lang w:val="nl-NL"/>
        </w:rPr>
        <w:t xml:space="preserve"> gevolg </w:t>
      </w:r>
      <w:r w:rsidRPr="00854450">
        <w:rPr>
          <w:szCs w:val="24"/>
          <w:lang w:val="nl-NL"/>
        </w:rPr>
        <w:t xml:space="preserve">dat de meerderheid van de grieven </w:t>
      </w:r>
      <w:r w:rsidR="00DE6B95">
        <w:rPr>
          <w:szCs w:val="24"/>
          <w:lang w:val="nl-NL"/>
        </w:rPr>
        <w:t xml:space="preserve">vermeld in de brief van 18 november 2013 </w:t>
      </w:r>
      <w:r w:rsidRPr="00854450">
        <w:rPr>
          <w:szCs w:val="24"/>
          <w:lang w:val="nl-NL"/>
        </w:rPr>
        <w:t>overtredi</w:t>
      </w:r>
      <w:r>
        <w:rPr>
          <w:szCs w:val="24"/>
          <w:lang w:val="nl-NL"/>
        </w:rPr>
        <w:t>ngen zijn die in februari 2012</w:t>
      </w:r>
      <w:r w:rsidRPr="00854450">
        <w:rPr>
          <w:szCs w:val="24"/>
          <w:lang w:val="nl-NL"/>
        </w:rPr>
        <w:t xml:space="preserve"> door </w:t>
      </w:r>
      <w:r>
        <w:rPr>
          <w:szCs w:val="24"/>
          <w:lang w:val="nl-NL"/>
        </w:rPr>
        <w:t>de medewerker van het BIPT</w:t>
      </w:r>
      <w:r w:rsidRPr="00854450">
        <w:rPr>
          <w:szCs w:val="24"/>
          <w:lang w:val="nl-NL"/>
        </w:rPr>
        <w:t xml:space="preserve"> werden gecorrigeerd</w:t>
      </w:r>
      <w:r>
        <w:rPr>
          <w:rStyle w:val="Voetnootmarkering"/>
          <w:szCs w:val="24"/>
          <w:lang w:val="nl-NL"/>
        </w:rPr>
        <w:footnoteReference w:id="18"/>
      </w:r>
      <w:r w:rsidR="002E37C5">
        <w:rPr>
          <w:szCs w:val="24"/>
          <w:lang w:val="nl-NL"/>
        </w:rPr>
        <w:t xml:space="preserve"> en die reeds vermeld werden in de </w:t>
      </w:r>
      <w:r>
        <w:rPr>
          <w:szCs w:val="24"/>
          <w:lang w:val="nl-NL"/>
        </w:rPr>
        <w:t xml:space="preserve"> </w:t>
      </w:r>
      <w:r w:rsidR="002E37C5">
        <w:rPr>
          <w:szCs w:val="24"/>
          <w:lang w:val="nl-NL"/>
        </w:rPr>
        <w:t xml:space="preserve">brief die het BIPT op </w:t>
      </w:r>
      <w:r w:rsidR="002E37C5" w:rsidRPr="002E37C5">
        <w:rPr>
          <w:szCs w:val="24"/>
          <w:lang w:val="nl-NL"/>
        </w:rPr>
        <w:t xml:space="preserve"> 23 december 2011 </w:t>
      </w:r>
      <w:r w:rsidR="002E37C5">
        <w:rPr>
          <w:szCs w:val="24"/>
          <w:lang w:val="nl-NL"/>
        </w:rPr>
        <w:t>aan</w:t>
      </w:r>
      <w:r w:rsidR="002E37C5" w:rsidRPr="002E37C5">
        <w:rPr>
          <w:szCs w:val="24"/>
          <w:lang w:val="nl-NL"/>
        </w:rPr>
        <w:t xml:space="preserve"> Dommel </w:t>
      </w:r>
      <w:r w:rsidR="002E37C5">
        <w:rPr>
          <w:szCs w:val="24"/>
          <w:lang w:val="nl-NL"/>
        </w:rPr>
        <w:t xml:space="preserve">verstuurde en </w:t>
      </w:r>
      <w:r w:rsidR="002E37C5" w:rsidRPr="002E37C5">
        <w:rPr>
          <w:szCs w:val="24"/>
          <w:lang w:val="nl-NL"/>
        </w:rPr>
        <w:t xml:space="preserve">waarin het BIPT het vermoeden opperde dat de algemene voorwaarden van Dommel niet in overeenstemming waren met het toenmalige artikel 108, WEC. </w:t>
      </w:r>
      <w:r w:rsidRPr="00854450">
        <w:rPr>
          <w:szCs w:val="24"/>
          <w:lang w:val="nl-NL"/>
        </w:rPr>
        <w:t xml:space="preserve"> </w:t>
      </w:r>
    </w:p>
    <w:p w:rsidR="002E37C5" w:rsidRPr="002E37C5" w:rsidRDefault="002E37C5" w:rsidP="002E37C5">
      <w:pPr>
        <w:pStyle w:val="Lijstalinea"/>
        <w:numPr>
          <w:ilvl w:val="0"/>
          <w:numId w:val="0"/>
        </w:numPr>
        <w:ind w:left="717"/>
        <w:rPr>
          <w:szCs w:val="24"/>
          <w:lang w:val="nl-NL"/>
        </w:rPr>
      </w:pPr>
    </w:p>
    <w:p w:rsidR="00732B96" w:rsidRPr="002E37C5" w:rsidRDefault="002E37C5" w:rsidP="00DC3143">
      <w:pPr>
        <w:pStyle w:val="Lijstalinea"/>
        <w:numPr>
          <w:ilvl w:val="0"/>
          <w:numId w:val="5"/>
        </w:numPr>
        <w:spacing w:line="276" w:lineRule="auto"/>
        <w:rPr>
          <w:szCs w:val="24"/>
          <w:lang w:val="nl-NL"/>
        </w:rPr>
      </w:pPr>
      <w:r w:rsidRPr="002E37C5">
        <w:rPr>
          <w:szCs w:val="24"/>
          <w:lang w:val="nl-NL"/>
        </w:rPr>
        <w:t xml:space="preserve">Aldus werd Dommel </w:t>
      </w:r>
      <w:r w:rsidR="00874B7E">
        <w:rPr>
          <w:szCs w:val="24"/>
          <w:lang w:val="nl-NL"/>
        </w:rPr>
        <w:t>herhaaldelijk gewezen op steeds dezelfde</w:t>
      </w:r>
      <w:r w:rsidRPr="002E37C5">
        <w:rPr>
          <w:szCs w:val="24"/>
          <w:lang w:val="nl-NL"/>
        </w:rPr>
        <w:t xml:space="preserve"> tekortkomingen in hun algemene voorwaarden. Vastgesteld moet worden dat Dommel zelf geen initiat</w:t>
      </w:r>
      <w:r w:rsidR="00874B7E">
        <w:rPr>
          <w:szCs w:val="24"/>
          <w:lang w:val="nl-NL"/>
        </w:rPr>
        <w:t>ie</w:t>
      </w:r>
      <w:r w:rsidRPr="002E37C5">
        <w:rPr>
          <w:szCs w:val="24"/>
          <w:lang w:val="nl-NL"/>
        </w:rPr>
        <w:t>f heeft genomen o</w:t>
      </w:r>
      <w:r w:rsidR="00874B7E">
        <w:rPr>
          <w:szCs w:val="24"/>
          <w:lang w:val="nl-NL"/>
        </w:rPr>
        <w:t>m</w:t>
      </w:r>
      <w:r w:rsidRPr="002E37C5">
        <w:rPr>
          <w:szCs w:val="24"/>
          <w:lang w:val="nl-NL"/>
        </w:rPr>
        <w:t xml:space="preserve"> haar algemene voorwaarden </w:t>
      </w:r>
      <w:r w:rsidR="002B5384">
        <w:rPr>
          <w:szCs w:val="24"/>
          <w:lang w:val="nl-NL"/>
        </w:rPr>
        <w:t xml:space="preserve">voor haar klanten </w:t>
      </w:r>
      <w:r w:rsidRPr="002E37C5">
        <w:rPr>
          <w:szCs w:val="24"/>
          <w:lang w:val="nl-NL"/>
        </w:rPr>
        <w:t xml:space="preserve">aan te passen. </w:t>
      </w:r>
    </w:p>
    <w:p w:rsidR="002E37C5" w:rsidRPr="002E37C5" w:rsidRDefault="002E37C5" w:rsidP="002E37C5">
      <w:pPr>
        <w:pStyle w:val="Lijstalinea"/>
        <w:numPr>
          <w:ilvl w:val="0"/>
          <w:numId w:val="0"/>
        </w:numPr>
        <w:ind w:left="717"/>
        <w:rPr>
          <w:szCs w:val="24"/>
          <w:lang w:val="nl-NL"/>
        </w:rPr>
      </w:pPr>
    </w:p>
    <w:p w:rsidR="002E37C5" w:rsidRDefault="002E37C5" w:rsidP="00DC3143">
      <w:pPr>
        <w:pStyle w:val="Lijstalinea"/>
        <w:numPr>
          <w:ilvl w:val="0"/>
          <w:numId w:val="5"/>
        </w:numPr>
        <w:spacing w:line="276" w:lineRule="auto"/>
        <w:rPr>
          <w:szCs w:val="24"/>
          <w:lang w:val="nl-NL"/>
        </w:rPr>
      </w:pPr>
      <w:r w:rsidRPr="002E37C5">
        <w:rPr>
          <w:szCs w:val="24"/>
          <w:lang w:val="nl-NL"/>
        </w:rPr>
        <w:t>Het BIPT neemt kennis van de n</w:t>
      </w:r>
      <w:r w:rsidR="00874B7E">
        <w:rPr>
          <w:szCs w:val="24"/>
          <w:lang w:val="nl-NL"/>
        </w:rPr>
        <w:t>ieuwe a</w:t>
      </w:r>
      <w:r w:rsidRPr="002E37C5">
        <w:rPr>
          <w:szCs w:val="24"/>
          <w:lang w:val="nl-NL"/>
        </w:rPr>
        <w:t xml:space="preserve">lgemene </w:t>
      </w:r>
      <w:r w:rsidR="00874B7E">
        <w:rPr>
          <w:szCs w:val="24"/>
          <w:lang w:val="nl-NL"/>
        </w:rPr>
        <w:t>v</w:t>
      </w:r>
      <w:r w:rsidRPr="002E37C5">
        <w:rPr>
          <w:szCs w:val="24"/>
          <w:lang w:val="nl-NL"/>
        </w:rPr>
        <w:t>oorwaarden die Dommel klaarblijkelijk na de ontvangst van de brief met grieven  heeft opgesteld en gepubliceerd</w:t>
      </w:r>
      <w:r w:rsidR="00874B7E">
        <w:rPr>
          <w:szCs w:val="24"/>
          <w:lang w:val="nl-NL"/>
        </w:rPr>
        <w:t xml:space="preserve"> heeft </w:t>
      </w:r>
      <w:r w:rsidRPr="002E37C5">
        <w:rPr>
          <w:szCs w:val="24"/>
          <w:lang w:val="nl-NL"/>
        </w:rPr>
        <w:t xml:space="preserve"> op haar website. In deze </w:t>
      </w:r>
      <w:r w:rsidR="00874B7E">
        <w:rPr>
          <w:szCs w:val="24"/>
          <w:lang w:val="nl-NL"/>
        </w:rPr>
        <w:t>a</w:t>
      </w:r>
      <w:r w:rsidRPr="002E37C5">
        <w:rPr>
          <w:szCs w:val="24"/>
          <w:lang w:val="nl-NL"/>
        </w:rPr>
        <w:t xml:space="preserve">lgemene </w:t>
      </w:r>
      <w:r w:rsidR="00874B7E">
        <w:rPr>
          <w:szCs w:val="24"/>
          <w:lang w:val="nl-NL"/>
        </w:rPr>
        <w:t>v</w:t>
      </w:r>
      <w:r w:rsidRPr="002E37C5">
        <w:rPr>
          <w:szCs w:val="24"/>
          <w:lang w:val="nl-NL"/>
        </w:rPr>
        <w:t xml:space="preserve">oorwaarden zegt Dommel rekening gehouden te hebben met de grieven die het BIPT haar bezorgd heeft.  Deze vernieuwde versie van de </w:t>
      </w:r>
      <w:r w:rsidR="00874B7E">
        <w:rPr>
          <w:szCs w:val="24"/>
          <w:lang w:val="nl-NL"/>
        </w:rPr>
        <w:t>a</w:t>
      </w:r>
      <w:r w:rsidRPr="002E37C5">
        <w:rPr>
          <w:szCs w:val="24"/>
          <w:lang w:val="nl-NL"/>
        </w:rPr>
        <w:t xml:space="preserve">lgemene </w:t>
      </w:r>
      <w:r w:rsidR="00874B7E">
        <w:rPr>
          <w:szCs w:val="24"/>
          <w:lang w:val="nl-NL"/>
        </w:rPr>
        <w:t>v</w:t>
      </w:r>
      <w:r w:rsidRPr="002E37C5">
        <w:rPr>
          <w:szCs w:val="24"/>
          <w:lang w:val="nl-NL"/>
        </w:rPr>
        <w:t xml:space="preserve">oorwaarden zal verder in dit besluit mee in overweging genomen worden. </w:t>
      </w:r>
    </w:p>
    <w:p w:rsidR="00603CBC" w:rsidRDefault="00603CBC" w:rsidP="00DC3143">
      <w:pPr>
        <w:pStyle w:val="Lijstalinea"/>
        <w:numPr>
          <w:ilvl w:val="0"/>
          <w:numId w:val="5"/>
        </w:numPr>
        <w:spacing w:line="276" w:lineRule="auto"/>
        <w:rPr>
          <w:szCs w:val="24"/>
          <w:lang w:val="nl-NL"/>
        </w:rPr>
      </w:pPr>
      <w:r>
        <w:rPr>
          <w:szCs w:val="24"/>
          <w:lang w:val="nl-NL"/>
        </w:rPr>
        <w:lastRenderedPageBreak/>
        <w:t xml:space="preserve">De bewering van Dommel als zou zij de vigerende wetgeving naleven ondanks de bepalingen in haar algemene voorwaarden die niet in overeenstemming zijn met diezelfde wetgeving, kan niet worden gevolgd : het belang van de algemene voorwaarden is precies dat zij de klanten duidelijkheid bieden over de rechten en plichten die zij hebben ten aanzien van hun operator.  In die zin is het onaanvaardbaar dat de algemene voorwaarden bepalingen bevaten die niet in overeenstemming zijn met de vigerende wetgeving, ook al past Dommel naar eigen zeggen deze wetgeving toe : het kan immers niet uitgesloten worden dat klanten hun gedragingen t.a.v. Dommel afstemmen op de algemene voorwaarden van Dommel en zich zodoende rechten ontzeggen die door de wetgever worden gegarandeerd. </w:t>
      </w:r>
    </w:p>
    <w:p w:rsidR="00603CBC" w:rsidRPr="00C53147" w:rsidRDefault="00603CBC" w:rsidP="00603CBC">
      <w:pPr>
        <w:pStyle w:val="Lijstalinea"/>
        <w:numPr>
          <w:ilvl w:val="0"/>
          <w:numId w:val="0"/>
        </w:numPr>
        <w:ind w:left="717"/>
        <w:rPr>
          <w:szCs w:val="24"/>
          <w:lang w:val="nl-NL"/>
        </w:rPr>
      </w:pPr>
    </w:p>
    <w:p w:rsidR="00603CBC" w:rsidRPr="00603CBC" w:rsidRDefault="00603CBC" w:rsidP="00DC3143">
      <w:pPr>
        <w:pStyle w:val="Lijstalinea"/>
        <w:numPr>
          <w:ilvl w:val="0"/>
          <w:numId w:val="5"/>
        </w:numPr>
        <w:spacing w:line="276" w:lineRule="auto"/>
        <w:rPr>
          <w:szCs w:val="24"/>
          <w:lang w:val="nl-NL"/>
        </w:rPr>
      </w:pPr>
      <w:r>
        <w:rPr>
          <w:szCs w:val="24"/>
          <w:lang w:val="nl-NL"/>
        </w:rPr>
        <w:t xml:space="preserve">Bovendien biedt het de facto-beleid van een operator geen enkele zekerheid voor de klanten : de operator kan dit beleid immers op ieder ogenblik wijzigen of toepassen à la tête du client. </w:t>
      </w:r>
    </w:p>
    <w:p w:rsidR="002E37C5" w:rsidRDefault="002E37C5" w:rsidP="002E37C5">
      <w:pPr>
        <w:pStyle w:val="Lijstalinea"/>
        <w:numPr>
          <w:ilvl w:val="0"/>
          <w:numId w:val="0"/>
        </w:numPr>
        <w:spacing w:line="276" w:lineRule="auto"/>
        <w:ind w:left="720"/>
        <w:rPr>
          <w:szCs w:val="24"/>
          <w:lang w:val="nl-NL"/>
        </w:rPr>
      </w:pPr>
    </w:p>
    <w:p w:rsidR="0045094E" w:rsidRDefault="0045094E" w:rsidP="002B5384">
      <w:pPr>
        <w:pStyle w:val="Lijstalinea"/>
        <w:numPr>
          <w:ilvl w:val="0"/>
          <w:numId w:val="5"/>
        </w:numPr>
        <w:spacing w:line="276" w:lineRule="auto"/>
        <w:rPr>
          <w:szCs w:val="24"/>
          <w:lang w:val="nl-NL"/>
        </w:rPr>
      </w:pPr>
      <w:r>
        <w:rPr>
          <w:szCs w:val="24"/>
          <w:lang w:val="nl-NL"/>
        </w:rPr>
        <w:t xml:space="preserve">De bewering dat </w:t>
      </w:r>
      <w:r w:rsidRPr="0045094E">
        <w:rPr>
          <w:szCs w:val="24"/>
          <w:lang w:val="nl-NL"/>
        </w:rPr>
        <w:t>Dommel zi</w:t>
      </w:r>
      <w:r>
        <w:rPr>
          <w:szCs w:val="24"/>
          <w:lang w:val="nl-NL"/>
        </w:rPr>
        <w:t>j</w:t>
      </w:r>
      <w:r w:rsidRPr="0045094E">
        <w:rPr>
          <w:szCs w:val="24"/>
          <w:lang w:val="nl-NL"/>
        </w:rPr>
        <w:t xml:space="preserve">n klanten altijd </w:t>
      </w:r>
      <w:r w:rsidR="00874B7E">
        <w:rPr>
          <w:szCs w:val="24"/>
          <w:lang w:val="nl-NL"/>
        </w:rPr>
        <w:t>conform de geldende wetgeving</w:t>
      </w:r>
      <w:r w:rsidRPr="0045094E">
        <w:rPr>
          <w:szCs w:val="24"/>
          <w:lang w:val="nl-NL"/>
        </w:rPr>
        <w:t xml:space="preserve"> behandeld heeft, </w:t>
      </w:r>
      <w:r w:rsidR="00DE6B95">
        <w:rPr>
          <w:szCs w:val="24"/>
          <w:lang w:val="nl-NL"/>
        </w:rPr>
        <w:t>is</w:t>
      </w:r>
      <w:r w:rsidRPr="0045094E">
        <w:rPr>
          <w:szCs w:val="24"/>
          <w:lang w:val="nl-NL"/>
        </w:rPr>
        <w:t xml:space="preserve"> niet helemaal</w:t>
      </w:r>
      <w:r w:rsidR="00DE6B95">
        <w:rPr>
          <w:szCs w:val="24"/>
          <w:lang w:val="nl-NL"/>
        </w:rPr>
        <w:t xml:space="preserve"> correct</w:t>
      </w:r>
      <w:r w:rsidRPr="0045094E">
        <w:rPr>
          <w:szCs w:val="24"/>
          <w:lang w:val="nl-NL"/>
        </w:rPr>
        <w:t xml:space="preserve"> : in december 2011 </w:t>
      </w:r>
      <w:r>
        <w:rPr>
          <w:szCs w:val="24"/>
          <w:lang w:val="nl-NL"/>
        </w:rPr>
        <w:t xml:space="preserve">bezorgde het BIPT </w:t>
      </w:r>
      <w:r w:rsidRPr="0045094E">
        <w:rPr>
          <w:szCs w:val="24"/>
          <w:lang w:val="nl-NL"/>
        </w:rPr>
        <w:t xml:space="preserve"> een prenotificatie van grieven aan Dommel wegens de ondermaatse samenwerking van Dommel met de Ombudsdienst</w:t>
      </w:r>
      <w:r w:rsidR="00DE6B95">
        <w:rPr>
          <w:rStyle w:val="Voetnootmarkering"/>
          <w:szCs w:val="24"/>
          <w:lang w:val="nl-NL"/>
        </w:rPr>
        <w:footnoteReference w:id="19"/>
      </w:r>
      <w:r w:rsidRPr="0045094E">
        <w:rPr>
          <w:szCs w:val="24"/>
          <w:lang w:val="nl-NL"/>
        </w:rPr>
        <w:t xml:space="preserve">. Op 29/10/2013 </w:t>
      </w:r>
      <w:r>
        <w:rPr>
          <w:szCs w:val="24"/>
          <w:lang w:val="nl-NL"/>
        </w:rPr>
        <w:t>ontving het BIPT</w:t>
      </w:r>
      <w:r w:rsidRPr="0045094E">
        <w:rPr>
          <w:szCs w:val="24"/>
          <w:lang w:val="nl-NL"/>
        </w:rPr>
        <w:t xml:space="preserve"> een brief van de Ombudsdienst waaruit blijkt dat Dommel </w:t>
      </w:r>
      <w:r w:rsidR="002B5384" w:rsidRPr="002B5384">
        <w:rPr>
          <w:szCs w:val="24"/>
          <w:lang w:val="nl-NL"/>
        </w:rPr>
        <w:t>artikel</w:t>
      </w:r>
      <w:r w:rsidRPr="0045094E">
        <w:rPr>
          <w:szCs w:val="24"/>
          <w:lang w:val="nl-NL"/>
        </w:rPr>
        <w:t xml:space="preserve"> 111/3, WEC niet respecteert t.a.v. klanten die resp. 3 maanden en 1 jaar op voorhand hebben betaald</w:t>
      </w:r>
      <w:r w:rsidR="00E9452C">
        <w:rPr>
          <w:szCs w:val="24"/>
          <w:lang w:val="nl-NL"/>
        </w:rPr>
        <w:t xml:space="preserve"> :</w:t>
      </w:r>
      <w:r w:rsidRPr="0045094E">
        <w:rPr>
          <w:szCs w:val="24"/>
          <w:lang w:val="nl-NL"/>
        </w:rPr>
        <w:t xml:space="preserve"> die klanten krijgen </w:t>
      </w:r>
      <w:r>
        <w:rPr>
          <w:szCs w:val="24"/>
          <w:lang w:val="nl-NL"/>
        </w:rPr>
        <w:t>het teveel betaalde abonnementsgeld</w:t>
      </w:r>
      <w:r w:rsidRPr="0045094E">
        <w:rPr>
          <w:szCs w:val="24"/>
          <w:lang w:val="nl-NL"/>
        </w:rPr>
        <w:t xml:space="preserve"> niet terug</w:t>
      </w:r>
      <w:r>
        <w:rPr>
          <w:szCs w:val="24"/>
          <w:lang w:val="nl-NL"/>
        </w:rPr>
        <w:t xml:space="preserve">betaald </w:t>
      </w:r>
      <w:r w:rsidRPr="0045094E">
        <w:rPr>
          <w:szCs w:val="24"/>
          <w:lang w:val="nl-NL"/>
        </w:rPr>
        <w:t>hoewel zij wettelijk gezien van een kostenl</w:t>
      </w:r>
      <w:r>
        <w:rPr>
          <w:szCs w:val="24"/>
          <w:lang w:val="nl-NL"/>
        </w:rPr>
        <w:t>oos opzegrecht kunnen genieten</w:t>
      </w:r>
      <w:r w:rsidR="00DE6B95">
        <w:rPr>
          <w:rStyle w:val="Voetnootmarkering"/>
          <w:szCs w:val="24"/>
          <w:lang w:val="nl-NL"/>
        </w:rPr>
        <w:footnoteReference w:id="20"/>
      </w:r>
      <w:r>
        <w:rPr>
          <w:szCs w:val="24"/>
          <w:lang w:val="nl-NL"/>
        </w:rPr>
        <w:t>.</w:t>
      </w:r>
    </w:p>
    <w:p w:rsidR="00874B7E" w:rsidRPr="00874B7E" w:rsidRDefault="00874B7E" w:rsidP="00874B7E">
      <w:pPr>
        <w:pStyle w:val="Lijstalinea"/>
        <w:numPr>
          <w:ilvl w:val="0"/>
          <w:numId w:val="0"/>
        </w:numPr>
        <w:ind w:left="717"/>
        <w:rPr>
          <w:szCs w:val="24"/>
          <w:lang w:val="nl-NL"/>
        </w:rPr>
      </w:pPr>
    </w:p>
    <w:p w:rsidR="00874B7E" w:rsidRDefault="00874B7E" w:rsidP="00DC3143">
      <w:pPr>
        <w:pStyle w:val="Lijstalinea"/>
        <w:numPr>
          <w:ilvl w:val="0"/>
          <w:numId w:val="5"/>
        </w:numPr>
        <w:spacing w:line="276" w:lineRule="auto"/>
        <w:rPr>
          <w:szCs w:val="24"/>
          <w:lang w:val="nl-NL"/>
        </w:rPr>
      </w:pPr>
      <w:r>
        <w:rPr>
          <w:szCs w:val="24"/>
          <w:lang w:val="nl-NL"/>
        </w:rPr>
        <w:t>Het BIPT neemt er kennis van dat klanten met een lange facturatiecyclus een factuur ontvangen wanneer hun abonnementsgeld wordt overschreden. Artikel 110, § 1, WEC, bepaalt echter duidelijk dat abonnees ten minste één keer om de 3 maanden een factuur moeten ontvangen</w:t>
      </w:r>
      <w:r w:rsidR="002B5384">
        <w:rPr>
          <w:szCs w:val="24"/>
          <w:lang w:val="nl-NL"/>
        </w:rPr>
        <w:t>, ongeacht of zij</w:t>
      </w:r>
      <w:r>
        <w:rPr>
          <w:szCs w:val="24"/>
          <w:lang w:val="nl-NL"/>
        </w:rPr>
        <w:t xml:space="preserve"> in de voorafgaande periode</w:t>
      </w:r>
      <w:r w:rsidR="002B5384">
        <w:rPr>
          <w:szCs w:val="24"/>
          <w:lang w:val="nl-NL"/>
        </w:rPr>
        <w:t xml:space="preserve"> al dan niet hun abonnementsgeld overschreden hebben</w:t>
      </w:r>
      <w:r>
        <w:rPr>
          <w:szCs w:val="24"/>
          <w:lang w:val="nl-NL"/>
        </w:rPr>
        <w:t xml:space="preserve">.  </w:t>
      </w:r>
    </w:p>
    <w:p w:rsidR="00732B96" w:rsidRDefault="00732B96" w:rsidP="00732B96">
      <w:pPr>
        <w:spacing w:line="276" w:lineRule="auto"/>
      </w:pPr>
    </w:p>
    <w:p w:rsidR="00732B96" w:rsidRDefault="00732B96" w:rsidP="00732B96">
      <w:pPr>
        <w:pStyle w:val="Kop2"/>
        <w:rPr>
          <w:rFonts w:asciiTheme="minorHAnsi" w:eastAsiaTheme="majorEastAsia" w:hAnsiTheme="minorHAnsi" w:cstheme="minorHAnsi"/>
          <w:color w:val="4F81BD" w:themeColor="accent1"/>
          <w:lang w:val="nl-NL"/>
        </w:rPr>
      </w:pPr>
      <w:bookmarkStart w:id="46" w:name="_Toc376423493"/>
      <w:r w:rsidRPr="00DA0DDB">
        <w:rPr>
          <w:rFonts w:asciiTheme="minorHAnsi" w:eastAsiaTheme="majorEastAsia" w:hAnsiTheme="minorHAnsi" w:cstheme="minorHAnsi"/>
          <w:color w:val="4F81BD" w:themeColor="accent1"/>
          <w:lang w:val="nl-NL"/>
        </w:rPr>
        <w:t>4.</w:t>
      </w:r>
      <w:r>
        <w:rPr>
          <w:rFonts w:asciiTheme="minorHAnsi" w:eastAsiaTheme="majorEastAsia" w:hAnsiTheme="minorHAnsi" w:cstheme="minorHAnsi"/>
          <w:color w:val="4F81BD" w:themeColor="accent1"/>
          <w:lang w:val="nl-NL"/>
        </w:rPr>
        <w:t xml:space="preserve">3. Besluit betreffende de naleving van </w:t>
      </w:r>
      <w:r w:rsidR="002B3052" w:rsidRPr="002B3052">
        <w:rPr>
          <w:rFonts w:asciiTheme="minorHAnsi" w:eastAsiaTheme="majorEastAsia" w:hAnsiTheme="minorHAnsi" w:cstheme="minorHAnsi"/>
          <w:color w:val="4F81BD" w:themeColor="accent1"/>
          <w:lang w:val="nl-NL"/>
        </w:rPr>
        <w:t>de artikelen 108, § 1, b), 3de en 5de onderdeel, 108, § 1, f), 108, § 2, 110, § 1 en 111/3, §§ 1 en 3, WEC</w:t>
      </w:r>
      <w:bookmarkEnd w:id="46"/>
    </w:p>
    <w:p w:rsidR="00732B96" w:rsidRPr="00DE7375" w:rsidRDefault="00732B96" w:rsidP="00732B96">
      <w:pPr>
        <w:rPr>
          <w:rFonts w:eastAsiaTheme="majorEastAsia"/>
          <w:lang w:val="nl-NL"/>
        </w:rPr>
      </w:pPr>
    </w:p>
    <w:p w:rsidR="00732B96" w:rsidRPr="00D23630" w:rsidRDefault="00732B96" w:rsidP="00DC3143">
      <w:pPr>
        <w:pStyle w:val="Lijstalinea"/>
        <w:numPr>
          <w:ilvl w:val="0"/>
          <w:numId w:val="5"/>
        </w:numPr>
        <w:spacing w:line="276" w:lineRule="auto"/>
        <w:rPr>
          <w:szCs w:val="24"/>
          <w:lang w:val="nl-NL"/>
        </w:rPr>
      </w:pPr>
      <w:r w:rsidRPr="00D23630">
        <w:rPr>
          <w:szCs w:val="24"/>
          <w:lang w:val="nl-NL"/>
        </w:rPr>
        <w:t>Het BIPT weerhoudt dan ook definitief de grie</w:t>
      </w:r>
      <w:r w:rsidR="002B3052">
        <w:rPr>
          <w:szCs w:val="24"/>
          <w:lang w:val="nl-NL"/>
        </w:rPr>
        <w:t>ven</w:t>
      </w:r>
      <w:r w:rsidRPr="00D23630">
        <w:rPr>
          <w:szCs w:val="24"/>
          <w:lang w:val="nl-NL"/>
        </w:rPr>
        <w:t xml:space="preserve"> meegedeeld per brief van </w:t>
      </w:r>
      <w:r w:rsidR="002B3052">
        <w:rPr>
          <w:szCs w:val="24"/>
          <w:lang w:val="nl-NL"/>
        </w:rPr>
        <w:t>18 november 2013</w:t>
      </w:r>
      <w:r w:rsidRPr="00D23630">
        <w:rPr>
          <w:szCs w:val="24"/>
          <w:lang w:val="nl-NL"/>
        </w:rPr>
        <w:t xml:space="preserve"> en beschouwt dan ook definitief dat </w:t>
      </w:r>
      <w:r w:rsidR="002B3052">
        <w:rPr>
          <w:szCs w:val="24"/>
          <w:lang w:val="nl-NL"/>
        </w:rPr>
        <w:t xml:space="preserve">Dommel </w:t>
      </w:r>
      <w:r w:rsidRPr="00D23630">
        <w:rPr>
          <w:szCs w:val="24"/>
          <w:lang w:val="nl-NL"/>
        </w:rPr>
        <w:t xml:space="preserve"> </w:t>
      </w:r>
      <w:r w:rsidR="002B3052" w:rsidRPr="002B3052">
        <w:rPr>
          <w:szCs w:val="24"/>
          <w:lang w:val="nl-NL"/>
        </w:rPr>
        <w:t xml:space="preserve">de artikelen 108, § 1, b), 3de en 5de onderdeel, 108, § 1, f), 108, § 2, 110, § 1 en 111/3, §§ 1 en 3, WEC </w:t>
      </w:r>
      <w:r w:rsidR="002B3052">
        <w:rPr>
          <w:szCs w:val="24"/>
          <w:lang w:val="nl-NL"/>
        </w:rPr>
        <w:t xml:space="preserve">niet heeft nageleefd door de publicatie van </w:t>
      </w:r>
      <w:r w:rsidR="0045094E">
        <w:rPr>
          <w:szCs w:val="24"/>
          <w:lang w:val="nl-NL"/>
        </w:rPr>
        <w:t>a</w:t>
      </w:r>
      <w:r w:rsidR="002B3052">
        <w:rPr>
          <w:szCs w:val="24"/>
          <w:lang w:val="nl-NL"/>
        </w:rPr>
        <w:t xml:space="preserve">lgemene </w:t>
      </w:r>
      <w:r w:rsidR="0045094E">
        <w:rPr>
          <w:szCs w:val="24"/>
          <w:lang w:val="nl-NL"/>
        </w:rPr>
        <w:t>v</w:t>
      </w:r>
      <w:r w:rsidR="002B3052">
        <w:rPr>
          <w:szCs w:val="24"/>
          <w:lang w:val="nl-NL"/>
        </w:rPr>
        <w:t xml:space="preserve">oorwaarden die niet in overeenstemming zijn met de genoemde wetsartikelen. </w:t>
      </w:r>
    </w:p>
    <w:p w:rsidR="00732B96" w:rsidRDefault="00732B96" w:rsidP="00732B96">
      <w:pPr>
        <w:pStyle w:val="Kop2"/>
        <w:rPr>
          <w:rFonts w:asciiTheme="minorHAnsi" w:eastAsiaTheme="majorEastAsia" w:hAnsiTheme="minorHAnsi" w:cstheme="minorHAnsi"/>
          <w:color w:val="4F81BD" w:themeColor="accent1"/>
          <w:lang w:val="nl-NL"/>
        </w:rPr>
      </w:pPr>
    </w:p>
    <w:p w:rsidR="00732B96" w:rsidRPr="00DA65E4" w:rsidRDefault="00732B96" w:rsidP="00732B96">
      <w:pPr>
        <w:pStyle w:val="Kop1"/>
        <w:rPr>
          <w:rFonts w:asciiTheme="minorHAnsi" w:eastAsiaTheme="majorEastAsia" w:hAnsiTheme="minorHAnsi" w:cstheme="minorHAnsi"/>
          <w:color w:val="365F91" w:themeColor="accent1" w:themeShade="BF"/>
          <w:lang w:val="nl-NL"/>
        </w:rPr>
      </w:pPr>
      <w:bookmarkStart w:id="47" w:name="_Toc376423494"/>
      <w:r w:rsidRPr="00DA65E4">
        <w:rPr>
          <w:rFonts w:asciiTheme="minorHAnsi" w:eastAsiaTheme="majorEastAsia" w:hAnsiTheme="minorHAnsi" w:cstheme="minorHAnsi"/>
          <w:color w:val="365F91" w:themeColor="accent1" w:themeShade="BF"/>
          <w:lang w:val="nl-NL"/>
        </w:rPr>
        <w:lastRenderedPageBreak/>
        <w:t>MOTIVERING VAN HET BIPT BETREFFENDE HET OPLEGGEN VAN DE BOETE EN DE BEPALING VAN HET BEDRAG ERVAN</w:t>
      </w:r>
      <w:bookmarkEnd w:id="47"/>
      <w:r w:rsidRPr="00DA65E4">
        <w:rPr>
          <w:rFonts w:asciiTheme="minorHAnsi" w:eastAsiaTheme="majorEastAsia" w:hAnsiTheme="minorHAnsi" w:cstheme="minorHAnsi"/>
          <w:color w:val="365F91" w:themeColor="accent1" w:themeShade="BF"/>
          <w:lang w:val="nl-NL"/>
        </w:rPr>
        <w:t xml:space="preserve"> </w:t>
      </w:r>
    </w:p>
    <w:p w:rsidR="00732B96" w:rsidRDefault="00732B96" w:rsidP="00732B96">
      <w:pPr>
        <w:rPr>
          <w:rFonts w:eastAsiaTheme="majorEastAsia"/>
          <w:lang w:val="nl-NL"/>
        </w:rPr>
      </w:pPr>
    </w:p>
    <w:p w:rsidR="00732B96" w:rsidRPr="00DA65E4" w:rsidRDefault="00732B96" w:rsidP="00732B96">
      <w:pPr>
        <w:pStyle w:val="Kop2"/>
        <w:rPr>
          <w:rFonts w:asciiTheme="minorHAnsi" w:eastAsiaTheme="majorEastAsia" w:hAnsiTheme="minorHAnsi" w:cstheme="minorHAnsi"/>
          <w:color w:val="4F81BD" w:themeColor="accent1"/>
          <w:lang w:val="nl-NL"/>
        </w:rPr>
      </w:pPr>
      <w:bookmarkStart w:id="48" w:name="_Toc376423495"/>
      <w:r w:rsidRPr="00DA65E4">
        <w:rPr>
          <w:rFonts w:asciiTheme="minorHAnsi" w:eastAsiaTheme="majorEastAsia" w:hAnsiTheme="minorHAnsi" w:cstheme="minorHAnsi"/>
          <w:color w:val="4F81BD" w:themeColor="accent1"/>
          <w:lang w:val="nl-NL"/>
        </w:rPr>
        <w:t xml:space="preserve">5.1. Beoogd bedrag van de administratieve boete meegedeeld aan </w:t>
      </w:r>
      <w:r w:rsidR="00F21C83">
        <w:rPr>
          <w:rFonts w:asciiTheme="minorHAnsi" w:eastAsiaTheme="majorEastAsia" w:hAnsiTheme="minorHAnsi" w:cstheme="minorHAnsi"/>
          <w:color w:val="4F81BD" w:themeColor="accent1"/>
          <w:lang w:val="nl-NL"/>
        </w:rPr>
        <w:t>Dommel</w:t>
      </w:r>
      <w:bookmarkEnd w:id="48"/>
    </w:p>
    <w:p w:rsidR="00732B96" w:rsidRDefault="00732B96" w:rsidP="00732B96">
      <w:pPr>
        <w:rPr>
          <w:rFonts w:eastAsiaTheme="majorEastAsia"/>
          <w:lang w:val="nl-NL"/>
        </w:rPr>
      </w:pPr>
    </w:p>
    <w:p w:rsidR="00732B96" w:rsidRPr="00D23630" w:rsidRDefault="00732B96" w:rsidP="00DC3143">
      <w:pPr>
        <w:pStyle w:val="Lijstalinea"/>
        <w:numPr>
          <w:ilvl w:val="0"/>
          <w:numId w:val="5"/>
        </w:numPr>
        <w:spacing w:line="276" w:lineRule="auto"/>
        <w:rPr>
          <w:szCs w:val="24"/>
          <w:lang w:val="nl-NL"/>
        </w:rPr>
      </w:pPr>
      <w:r w:rsidRPr="00D23630">
        <w:rPr>
          <w:szCs w:val="24"/>
          <w:lang w:val="nl-NL"/>
        </w:rPr>
        <w:t xml:space="preserve">Op basis van de ontwerpredenering, opgenomen in het onderdeel </w:t>
      </w:r>
      <w:r w:rsidR="00AE20BB">
        <w:rPr>
          <w:szCs w:val="24"/>
          <w:lang w:val="nl-NL"/>
        </w:rPr>
        <w:t>3.1</w:t>
      </w:r>
      <w:r w:rsidRPr="00D23630">
        <w:rPr>
          <w:szCs w:val="24"/>
          <w:lang w:val="nl-NL"/>
        </w:rPr>
        <w:t xml:space="preserve"> van de brief van het BIPT van </w:t>
      </w:r>
      <w:r w:rsidR="00AE20BB">
        <w:rPr>
          <w:szCs w:val="24"/>
          <w:lang w:val="nl-NL"/>
        </w:rPr>
        <w:t>18 november 2013</w:t>
      </w:r>
      <w:r w:rsidRPr="00D23630">
        <w:rPr>
          <w:szCs w:val="24"/>
          <w:lang w:val="nl-NL"/>
        </w:rPr>
        <w:t xml:space="preserve"> deelde het BIPT, conform artikel 21 van de wet van 17 januari 2003, een beoogd bedrag van de administratieve geldboete aan </w:t>
      </w:r>
      <w:r w:rsidR="00AE20BB">
        <w:rPr>
          <w:szCs w:val="24"/>
          <w:lang w:val="nl-NL"/>
        </w:rPr>
        <w:t>Dommel</w:t>
      </w:r>
      <w:r w:rsidRPr="00D23630">
        <w:rPr>
          <w:szCs w:val="24"/>
          <w:lang w:val="nl-NL"/>
        </w:rPr>
        <w:t xml:space="preserve"> mee van </w:t>
      </w:r>
      <w:r w:rsidR="00AE20BB">
        <w:rPr>
          <w:szCs w:val="24"/>
          <w:lang w:val="nl-NL"/>
        </w:rPr>
        <w:t>2</w:t>
      </w:r>
      <w:r w:rsidRPr="00D23630">
        <w:rPr>
          <w:szCs w:val="24"/>
          <w:lang w:val="nl-NL"/>
        </w:rPr>
        <w:t xml:space="preserve">0.000 €. </w:t>
      </w:r>
    </w:p>
    <w:p w:rsidR="00732B96" w:rsidRDefault="00732B96" w:rsidP="00732B96">
      <w:pPr>
        <w:rPr>
          <w:rFonts w:eastAsiaTheme="majorEastAsia"/>
          <w:lang w:val="nl-NL"/>
        </w:rPr>
      </w:pPr>
    </w:p>
    <w:p w:rsidR="00732B96" w:rsidRPr="00DA65E4" w:rsidRDefault="00732B96" w:rsidP="00732B96">
      <w:pPr>
        <w:pStyle w:val="Kop2"/>
        <w:rPr>
          <w:rFonts w:asciiTheme="minorHAnsi" w:eastAsiaTheme="majorEastAsia" w:hAnsiTheme="minorHAnsi" w:cstheme="minorHAnsi"/>
          <w:color w:val="4F81BD" w:themeColor="accent1"/>
          <w:lang w:val="nl-NL"/>
        </w:rPr>
      </w:pPr>
      <w:bookmarkStart w:id="49" w:name="_Toc376423496"/>
      <w:r w:rsidRPr="00DA65E4">
        <w:rPr>
          <w:rFonts w:asciiTheme="minorHAnsi" w:eastAsiaTheme="majorEastAsia" w:hAnsiTheme="minorHAnsi" w:cstheme="minorHAnsi"/>
          <w:color w:val="4F81BD" w:themeColor="accent1"/>
          <w:lang w:val="nl-NL"/>
        </w:rPr>
        <w:t xml:space="preserve">5.2. Standpunt van </w:t>
      </w:r>
      <w:r w:rsidR="002B3052">
        <w:rPr>
          <w:rFonts w:asciiTheme="minorHAnsi" w:eastAsiaTheme="majorEastAsia" w:hAnsiTheme="minorHAnsi" w:cstheme="minorHAnsi"/>
          <w:color w:val="4F81BD" w:themeColor="accent1"/>
          <w:lang w:val="nl-NL"/>
        </w:rPr>
        <w:t>Dommel</w:t>
      </w:r>
      <w:r w:rsidRPr="00DA65E4">
        <w:rPr>
          <w:rFonts w:asciiTheme="minorHAnsi" w:eastAsiaTheme="majorEastAsia" w:hAnsiTheme="minorHAnsi" w:cstheme="minorHAnsi"/>
          <w:color w:val="4F81BD" w:themeColor="accent1"/>
          <w:lang w:val="nl-NL"/>
        </w:rPr>
        <w:t xml:space="preserve"> ten aanzien van het beoogd bedrag van de administratieve boete</w:t>
      </w:r>
      <w:bookmarkEnd w:id="49"/>
    </w:p>
    <w:p w:rsidR="00732B96" w:rsidRDefault="00732B96" w:rsidP="00732B96">
      <w:pPr>
        <w:rPr>
          <w:rFonts w:eastAsiaTheme="majorEastAsia"/>
          <w:lang w:val="nl-NL"/>
        </w:rPr>
      </w:pPr>
    </w:p>
    <w:p w:rsidR="00575770" w:rsidRDefault="00575770" w:rsidP="00575770">
      <w:pPr>
        <w:pStyle w:val="Lijstalinea"/>
        <w:numPr>
          <w:ilvl w:val="0"/>
          <w:numId w:val="0"/>
        </w:numPr>
        <w:spacing w:line="276" w:lineRule="auto"/>
        <w:ind w:left="720"/>
        <w:rPr>
          <w:szCs w:val="24"/>
          <w:lang w:val="nl-NL"/>
        </w:rPr>
      </w:pPr>
    </w:p>
    <w:p w:rsidR="00575770" w:rsidRDefault="00575770" w:rsidP="00DC3143">
      <w:pPr>
        <w:pStyle w:val="Lijstalinea"/>
        <w:numPr>
          <w:ilvl w:val="0"/>
          <w:numId w:val="5"/>
        </w:numPr>
        <w:spacing w:line="276" w:lineRule="auto"/>
        <w:rPr>
          <w:szCs w:val="24"/>
          <w:lang w:val="nl-NL"/>
        </w:rPr>
      </w:pPr>
      <w:r>
        <w:rPr>
          <w:szCs w:val="24"/>
          <w:lang w:val="nl-NL"/>
        </w:rPr>
        <w:t>Inzake de bepaling van het basisbedrag stelt Dommel dat het BIPT zijn berekeningen moet baseren op de meest recente cijfers, zijnde die van 2012 :</w:t>
      </w:r>
      <w:r w:rsidR="001B4BC2">
        <w:rPr>
          <w:szCs w:val="24"/>
          <w:lang w:val="nl-NL"/>
        </w:rPr>
        <w:t xml:space="preserve"> (…)</w:t>
      </w:r>
      <w:r>
        <w:rPr>
          <w:szCs w:val="24"/>
          <w:lang w:val="nl-NL"/>
        </w:rPr>
        <w:t xml:space="preserve">. </w:t>
      </w:r>
    </w:p>
    <w:p w:rsidR="00F21C83" w:rsidRDefault="00F21C83" w:rsidP="00F21C83">
      <w:pPr>
        <w:pStyle w:val="Lijstalinea"/>
        <w:numPr>
          <w:ilvl w:val="0"/>
          <w:numId w:val="0"/>
        </w:numPr>
        <w:spacing w:line="276" w:lineRule="auto"/>
        <w:ind w:left="720"/>
        <w:rPr>
          <w:szCs w:val="24"/>
          <w:lang w:val="nl-NL"/>
        </w:rPr>
      </w:pPr>
    </w:p>
    <w:p w:rsidR="00F21C83" w:rsidRDefault="00F21C83" w:rsidP="00DC3143">
      <w:pPr>
        <w:pStyle w:val="Lijstalinea"/>
        <w:numPr>
          <w:ilvl w:val="0"/>
          <w:numId w:val="5"/>
        </w:numPr>
        <w:spacing w:line="276" w:lineRule="auto"/>
        <w:rPr>
          <w:szCs w:val="24"/>
          <w:lang w:val="nl-NL"/>
        </w:rPr>
      </w:pPr>
      <w:r>
        <w:rPr>
          <w:szCs w:val="24"/>
          <w:lang w:val="nl-NL"/>
        </w:rPr>
        <w:t xml:space="preserve">Dommel verzoekt het BIPT om rekening te houden met de moeilijke situatie waarin Dommel zich bevindt : </w:t>
      </w:r>
      <w:r w:rsidR="001B4BC2">
        <w:rPr>
          <w:szCs w:val="24"/>
          <w:lang w:val="nl-NL"/>
        </w:rPr>
        <w:t>(…)</w:t>
      </w:r>
      <w:r w:rsidR="002B5384">
        <w:rPr>
          <w:szCs w:val="24"/>
          <w:lang w:val="nl-NL"/>
        </w:rPr>
        <w:t xml:space="preserve"> </w:t>
      </w:r>
      <w:r>
        <w:rPr>
          <w:szCs w:val="24"/>
          <w:lang w:val="nl-NL"/>
        </w:rPr>
        <w:t xml:space="preserve">en Dommel werkt hard om te overleven.  </w:t>
      </w:r>
    </w:p>
    <w:p w:rsidR="00732B96" w:rsidRPr="00575770" w:rsidRDefault="00732B96" w:rsidP="00732B96">
      <w:pPr>
        <w:spacing w:line="276" w:lineRule="auto"/>
        <w:rPr>
          <w:lang w:val="nl-NL"/>
        </w:rPr>
      </w:pPr>
    </w:p>
    <w:p w:rsidR="00575770" w:rsidRPr="00575770" w:rsidRDefault="00575770" w:rsidP="00DC3143">
      <w:pPr>
        <w:pStyle w:val="Lijstalinea"/>
        <w:numPr>
          <w:ilvl w:val="0"/>
          <w:numId w:val="5"/>
        </w:numPr>
        <w:spacing w:line="276" w:lineRule="auto"/>
        <w:rPr>
          <w:szCs w:val="24"/>
          <w:lang w:val="nl-NL"/>
        </w:rPr>
      </w:pPr>
      <w:r>
        <w:rPr>
          <w:szCs w:val="24"/>
          <w:lang w:val="nl-NL"/>
        </w:rPr>
        <w:t>Wat betreft de proportionaliteit van de boete verwijst Dommel naar de eerder op</w:t>
      </w:r>
      <w:r w:rsidR="0045094E">
        <w:rPr>
          <w:szCs w:val="24"/>
          <w:lang w:val="nl-NL"/>
        </w:rPr>
        <w:t>gel</w:t>
      </w:r>
      <w:r>
        <w:rPr>
          <w:szCs w:val="24"/>
          <w:lang w:val="nl-NL"/>
        </w:rPr>
        <w:t>egde boete</w:t>
      </w:r>
      <w:r w:rsidR="0045094E">
        <w:rPr>
          <w:szCs w:val="24"/>
          <w:lang w:val="nl-NL"/>
        </w:rPr>
        <w:t xml:space="preserve">s </w:t>
      </w:r>
      <w:r>
        <w:rPr>
          <w:szCs w:val="24"/>
          <w:lang w:val="nl-NL"/>
        </w:rPr>
        <w:t xml:space="preserve">aan Belgacom, Scarlet en Telenet. </w:t>
      </w:r>
      <w:r w:rsidRPr="00AE20BB">
        <w:rPr>
          <w:i/>
          <w:szCs w:val="24"/>
          <w:lang w:val="nl-NL"/>
        </w:rPr>
        <w:t xml:space="preserve">“Rekening houdend met hun omzet en aantal klanten, zou het opleggen van de voorgestelde boete van 20.000 euro ertoe leiden dat Dommel in deze zaak velen malen zwaarder wordt bestraft </w:t>
      </w:r>
      <w:r>
        <w:rPr>
          <w:i/>
          <w:szCs w:val="24"/>
          <w:lang w:val="nl-NL"/>
        </w:rPr>
        <w:t>dan voornoemde markt</w:t>
      </w:r>
      <w:r w:rsidRPr="00AE20BB">
        <w:rPr>
          <w:i/>
          <w:szCs w:val="24"/>
          <w:lang w:val="nl-NL"/>
        </w:rPr>
        <w:t>spelers.”</w:t>
      </w:r>
    </w:p>
    <w:p w:rsidR="00575770" w:rsidRPr="00575770" w:rsidRDefault="00575770" w:rsidP="00575770">
      <w:pPr>
        <w:pStyle w:val="Lijstalinea"/>
        <w:numPr>
          <w:ilvl w:val="0"/>
          <w:numId w:val="0"/>
        </w:numPr>
        <w:ind w:left="717"/>
        <w:rPr>
          <w:szCs w:val="24"/>
          <w:lang w:val="nl-NL"/>
        </w:rPr>
      </w:pPr>
    </w:p>
    <w:p w:rsidR="00732B96" w:rsidRPr="008C139A" w:rsidRDefault="00732B96" w:rsidP="00732B96">
      <w:pPr>
        <w:pStyle w:val="Kop2"/>
        <w:rPr>
          <w:rFonts w:asciiTheme="minorHAnsi" w:eastAsiaTheme="majorEastAsia" w:hAnsiTheme="minorHAnsi" w:cstheme="minorHAnsi"/>
          <w:color w:val="4F81BD" w:themeColor="accent1"/>
          <w:lang w:val="nl-NL"/>
        </w:rPr>
      </w:pPr>
      <w:bookmarkStart w:id="50" w:name="_Toc376423497"/>
      <w:r w:rsidRPr="008C139A">
        <w:rPr>
          <w:rFonts w:asciiTheme="minorHAnsi" w:eastAsiaTheme="majorEastAsia" w:hAnsiTheme="minorHAnsi" w:cstheme="minorHAnsi"/>
          <w:color w:val="4F81BD" w:themeColor="accent1"/>
          <w:lang w:val="nl-NL"/>
        </w:rPr>
        <w:t>5.3. Motivering betreffende het opleggen van een boete</w:t>
      </w:r>
      <w:bookmarkEnd w:id="50"/>
    </w:p>
    <w:p w:rsidR="00732B96" w:rsidRDefault="00732B96" w:rsidP="00732B96">
      <w:pPr>
        <w:rPr>
          <w:rFonts w:eastAsiaTheme="majorEastAsia"/>
          <w:lang w:val="nl-NL"/>
        </w:rPr>
      </w:pPr>
    </w:p>
    <w:p w:rsidR="00732B96" w:rsidRPr="00D23630" w:rsidRDefault="00732B96" w:rsidP="00DC3143">
      <w:pPr>
        <w:pStyle w:val="Lijstalinea"/>
        <w:numPr>
          <w:ilvl w:val="0"/>
          <w:numId w:val="5"/>
        </w:numPr>
        <w:spacing w:line="276" w:lineRule="auto"/>
        <w:rPr>
          <w:szCs w:val="24"/>
          <w:lang w:val="nl-NL"/>
        </w:rPr>
      </w:pPr>
      <w:r w:rsidRPr="00D23630">
        <w:rPr>
          <w:szCs w:val="24"/>
          <w:lang w:val="nl-NL"/>
        </w:rPr>
        <w:t>Gelet op het weerhouden van de grie</w:t>
      </w:r>
      <w:r w:rsidR="00874B7E">
        <w:rPr>
          <w:szCs w:val="24"/>
          <w:lang w:val="nl-NL"/>
        </w:rPr>
        <w:t>ven</w:t>
      </w:r>
      <w:r w:rsidRPr="00D23630">
        <w:rPr>
          <w:szCs w:val="24"/>
          <w:lang w:val="nl-NL"/>
        </w:rPr>
        <w:t xml:space="preserve"> die een inbreuk vorm</w:t>
      </w:r>
      <w:r w:rsidR="002B5384">
        <w:rPr>
          <w:szCs w:val="24"/>
          <w:lang w:val="nl-NL"/>
        </w:rPr>
        <w:t>en op</w:t>
      </w:r>
      <w:r w:rsidRPr="00D23630">
        <w:rPr>
          <w:szCs w:val="24"/>
          <w:lang w:val="nl-NL"/>
        </w:rPr>
        <w:t xml:space="preserve"> </w:t>
      </w:r>
      <w:r w:rsidR="003F4BAD" w:rsidRPr="002B3052">
        <w:rPr>
          <w:szCs w:val="24"/>
          <w:lang w:val="nl-NL"/>
        </w:rPr>
        <w:t>de artikelen 108, § 1, b), 3de en 5de onderdeel, 108, § 1, f), 108, § 2, 110, § 1 en 111/3, §§ 1 en 3, WEC</w:t>
      </w:r>
      <w:r w:rsidRPr="00D23630">
        <w:rPr>
          <w:szCs w:val="24"/>
          <w:lang w:val="nl-NL"/>
        </w:rPr>
        <w:t>, en de impact die de gepleegde inbreuk</w:t>
      </w:r>
      <w:r w:rsidR="002B5384">
        <w:rPr>
          <w:szCs w:val="24"/>
          <w:lang w:val="nl-NL"/>
        </w:rPr>
        <w:t>en</w:t>
      </w:r>
      <w:r w:rsidRPr="00D23630">
        <w:rPr>
          <w:szCs w:val="24"/>
          <w:lang w:val="nl-NL"/>
        </w:rPr>
        <w:t xml:space="preserve"> </w:t>
      </w:r>
      <w:r w:rsidR="002B5384">
        <w:rPr>
          <w:szCs w:val="24"/>
          <w:lang w:val="nl-NL"/>
        </w:rPr>
        <w:t>hebben</w:t>
      </w:r>
      <w:r w:rsidRPr="00D23630">
        <w:rPr>
          <w:szCs w:val="24"/>
          <w:lang w:val="nl-NL"/>
        </w:rPr>
        <w:t xml:space="preserve"> op belangen van de gebruikers is het BIPT van oordeel dat het opleggen van een administratieve boete aan </w:t>
      </w:r>
      <w:r w:rsidR="003F4BAD">
        <w:rPr>
          <w:szCs w:val="24"/>
          <w:lang w:val="nl-NL"/>
        </w:rPr>
        <w:t>Dommel</w:t>
      </w:r>
      <w:r w:rsidRPr="00D23630">
        <w:rPr>
          <w:szCs w:val="24"/>
          <w:lang w:val="nl-NL"/>
        </w:rPr>
        <w:t xml:space="preserve"> gerechtvaardigd is.</w:t>
      </w:r>
    </w:p>
    <w:p w:rsidR="00732B96" w:rsidRPr="00D23630" w:rsidRDefault="00732B96" w:rsidP="00074194">
      <w:pPr>
        <w:pStyle w:val="Lijstalinea"/>
        <w:numPr>
          <w:ilvl w:val="0"/>
          <w:numId w:val="0"/>
        </w:numPr>
        <w:spacing w:line="276" w:lineRule="auto"/>
        <w:ind w:left="720"/>
        <w:rPr>
          <w:szCs w:val="24"/>
          <w:lang w:val="nl-NL"/>
        </w:rPr>
      </w:pPr>
    </w:p>
    <w:p w:rsidR="00732B96" w:rsidRDefault="00F21C83" w:rsidP="00DC3143">
      <w:pPr>
        <w:pStyle w:val="Lijstalinea"/>
        <w:numPr>
          <w:ilvl w:val="0"/>
          <w:numId w:val="5"/>
        </w:numPr>
        <w:spacing w:line="276" w:lineRule="auto"/>
        <w:rPr>
          <w:szCs w:val="24"/>
          <w:lang w:val="nl-NL"/>
        </w:rPr>
      </w:pPr>
      <w:r>
        <w:rPr>
          <w:szCs w:val="24"/>
          <w:lang w:val="nl-NL"/>
        </w:rPr>
        <w:t>Door haar</w:t>
      </w:r>
      <w:r w:rsidR="0045094E">
        <w:rPr>
          <w:szCs w:val="24"/>
          <w:lang w:val="nl-NL"/>
        </w:rPr>
        <w:t xml:space="preserve"> algemene voorwaarden niet in overeenstemming </w:t>
      </w:r>
      <w:r>
        <w:rPr>
          <w:szCs w:val="24"/>
          <w:lang w:val="nl-NL"/>
        </w:rPr>
        <w:t>te brengen met</w:t>
      </w:r>
      <w:r w:rsidR="0045094E">
        <w:rPr>
          <w:szCs w:val="24"/>
          <w:lang w:val="nl-NL"/>
        </w:rPr>
        <w:t xml:space="preserve"> de huidige wetgeving, </w:t>
      </w:r>
      <w:r>
        <w:rPr>
          <w:szCs w:val="24"/>
          <w:lang w:val="nl-NL"/>
        </w:rPr>
        <w:t>ondergraaft Dommel</w:t>
      </w:r>
      <w:r w:rsidR="0045094E">
        <w:rPr>
          <w:szCs w:val="24"/>
          <w:lang w:val="nl-NL"/>
        </w:rPr>
        <w:t xml:space="preserve"> immers de bescherming die deze wetgeving</w:t>
      </w:r>
      <w:r w:rsidR="002B5384">
        <w:rPr>
          <w:szCs w:val="24"/>
          <w:lang w:val="nl-NL"/>
        </w:rPr>
        <w:t xml:space="preserve">, - </w:t>
      </w:r>
      <w:r w:rsidR="0045094E">
        <w:rPr>
          <w:szCs w:val="24"/>
          <w:lang w:val="nl-NL"/>
        </w:rPr>
        <w:t xml:space="preserve"> en meer bepaald de door Dommel genegeerde bepalingen</w:t>
      </w:r>
      <w:r w:rsidR="002B5384">
        <w:rPr>
          <w:szCs w:val="24"/>
          <w:lang w:val="nl-NL"/>
        </w:rPr>
        <w:t xml:space="preserve">, - </w:t>
      </w:r>
      <w:r w:rsidR="0045094E">
        <w:rPr>
          <w:szCs w:val="24"/>
          <w:lang w:val="nl-NL"/>
        </w:rPr>
        <w:t xml:space="preserve"> bieden aan de consumenten. </w:t>
      </w:r>
    </w:p>
    <w:p w:rsidR="00713030" w:rsidRPr="00713030" w:rsidRDefault="00713030" w:rsidP="00713030">
      <w:pPr>
        <w:pStyle w:val="Lijstalinea"/>
        <w:numPr>
          <w:ilvl w:val="0"/>
          <w:numId w:val="0"/>
        </w:numPr>
        <w:ind w:left="717"/>
        <w:rPr>
          <w:szCs w:val="24"/>
          <w:lang w:val="nl-NL"/>
        </w:rPr>
      </w:pPr>
    </w:p>
    <w:p w:rsidR="00FC6BFE" w:rsidRPr="00FC6BFE" w:rsidRDefault="00FC6BFE" w:rsidP="00DC3143">
      <w:pPr>
        <w:pStyle w:val="Lijstalinea"/>
        <w:numPr>
          <w:ilvl w:val="0"/>
          <w:numId w:val="5"/>
        </w:numPr>
        <w:spacing w:line="276" w:lineRule="auto"/>
        <w:rPr>
          <w:szCs w:val="24"/>
          <w:lang w:val="nl-NL"/>
        </w:rPr>
      </w:pPr>
      <w:r>
        <w:rPr>
          <w:szCs w:val="24"/>
          <w:lang w:val="nl-NL"/>
        </w:rPr>
        <w:t xml:space="preserve">Wat betreft de vraag van Dommel om rekening te houden met de zakelijke  moeilijkheden waarmee zij te kampen </w:t>
      </w:r>
      <w:r w:rsidR="002B5384">
        <w:rPr>
          <w:szCs w:val="24"/>
          <w:lang w:val="nl-NL"/>
        </w:rPr>
        <w:t>heeft</w:t>
      </w:r>
      <w:r>
        <w:rPr>
          <w:szCs w:val="24"/>
          <w:lang w:val="nl-NL"/>
        </w:rPr>
        <w:t>, kan verwezen worden naar de r</w:t>
      </w:r>
      <w:r w:rsidRPr="00FC6BFE">
        <w:rPr>
          <w:szCs w:val="24"/>
          <w:lang w:val="nl-NL"/>
        </w:rPr>
        <w:t>ecente Europese rechtspraktijk</w:t>
      </w:r>
      <w:r>
        <w:rPr>
          <w:szCs w:val="24"/>
          <w:lang w:val="nl-NL"/>
        </w:rPr>
        <w:t xml:space="preserve"> </w:t>
      </w:r>
      <w:r w:rsidRPr="00FC6BFE">
        <w:rPr>
          <w:szCs w:val="24"/>
          <w:lang w:val="nl-NL"/>
        </w:rPr>
        <w:t xml:space="preserve">: </w:t>
      </w:r>
      <w:r>
        <w:rPr>
          <w:szCs w:val="24"/>
          <w:lang w:val="nl-NL"/>
        </w:rPr>
        <w:t>v</w:t>
      </w:r>
      <w:r w:rsidRPr="00FC6BFE">
        <w:rPr>
          <w:szCs w:val="24"/>
          <w:lang w:val="nl-NL"/>
        </w:rPr>
        <w:t xml:space="preserve">ooreerst bepalen De Richtsnoeren voor de berekening van geldboeten die uit hoofde van artikel 23, lid 2, onder a), van Verordening (EG) nr. 1/2003 worden opgelegd (2006/C 210/02) in onderdeel 35 : </w:t>
      </w:r>
    </w:p>
    <w:p w:rsidR="00FC6BFE" w:rsidRPr="00FC6BFE" w:rsidRDefault="00FC6BFE" w:rsidP="00FC6BFE">
      <w:pPr>
        <w:pStyle w:val="Lijstalinea"/>
        <w:numPr>
          <w:ilvl w:val="0"/>
          <w:numId w:val="0"/>
        </w:numPr>
        <w:spacing w:line="276" w:lineRule="auto"/>
        <w:ind w:left="720"/>
        <w:rPr>
          <w:szCs w:val="24"/>
          <w:lang w:val="nl-NL"/>
        </w:rPr>
      </w:pPr>
    </w:p>
    <w:p w:rsidR="00FC6BFE" w:rsidRPr="00FC6BFE" w:rsidRDefault="00874B7E" w:rsidP="00874B7E">
      <w:pPr>
        <w:spacing w:line="276" w:lineRule="auto"/>
        <w:ind w:left="709"/>
        <w:rPr>
          <w:i/>
          <w:szCs w:val="24"/>
          <w:lang w:val="nl-NL"/>
        </w:rPr>
      </w:pPr>
      <w:r>
        <w:rPr>
          <w:i/>
          <w:szCs w:val="24"/>
          <w:lang w:val="nl-NL"/>
        </w:rPr>
        <w:lastRenderedPageBreak/>
        <w:t>“</w:t>
      </w:r>
      <w:r w:rsidR="00FC6BFE" w:rsidRPr="00FC6BFE">
        <w:rPr>
          <w:i/>
          <w:szCs w:val="24"/>
          <w:lang w:val="nl-NL"/>
        </w:rPr>
        <w:t>35. In uitzonderlijke omstandigheden kan de Commissie op verzoek, in een bijzondere sociale en economische context, rekening houden met het onvermogen van een onderneming om te betalen. Een verlaging van de boete in dit verband zal echter nooit uitsluitend op basis van een ongunstige of deficitaire financiële positie worden toegekend.</w:t>
      </w:r>
    </w:p>
    <w:p w:rsidR="00FC6BFE" w:rsidRPr="00874B7E" w:rsidRDefault="00FC6BFE" w:rsidP="00874B7E">
      <w:pPr>
        <w:spacing w:line="276" w:lineRule="auto"/>
        <w:ind w:left="717" w:hanging="8"/>
        <w:rPr>
          <w:i/>
          <w:szCs w:val="24"/>
          <w:lang w:val="nl-NL"/>
        </w:rPr>
      </w:pPr>
      <w:r w:rsidRPr="00874B7E">
        <w:rPr>
          <w:i/>
          <w:szCs w:val="24"/>
          <w:lang w:val="nl-NL"/>
        </w:rPr>
        <w:t>Een verlaging kan slechts worden toegekend indien wordt aangetoond aan de hand van objectief bewijs dat het opleggen van een boete onder de in de onderhavige richtsnoeren vastgestelde voorwaarden, de levensvatbaarheid van de betrokken onderneming onherroepelijk in gevaar zou brengen en haar activa volledig van hun waarde zou beroven.</w:t>
      </w:r>
      <w:r w:rsidR="00874B7E">
        <w:rPr>
          <w:i/>
          <w:szCs w:val="24"/>
          <w:lang w:val="nl-NL"/>
        </w:rPr>
        <w:t>”</w:t>
      </w:r>
    </w:p>
    <w:p w:rsidR="00FC6BFE" w:rsidRPr="00FC6BFE" w:rsidRDefault="00FC6BFE" w:rsidP="00FC6BFE">
      <w:pPr>
        <w:pStyle w:val="Lijstalinea"/>
        <w:numPr>
          <w:ilvl w:val="0"/>
          <w:numId w:val="0"/>
        </w:numPr>
        <w:spacing w:line="276" w:lineRule="auto"/>
        <w:ind w:left="720"/>
        <w:rPr>
          <w:szCs w:val="24"/>
          <w:lang w:val="nl-NL"/>
        </w:rPr>
      </w:pPr>
    </w:p>
    <w:p w:rsidR="00FC6BFE" w:rsidRPr="00FC6BFE" w:rsidRDefault="00FC6BFE" w:rsidP="00DC3143">
      <w:pPr>
        <w:pStyle w:val="Lijstalinea"/>
        <w:numPr>
          <w:ilvl w:val="0"/>
          <w:numId w:val="5"/>
        </w:numPr>
        <w:spacing w:line="276" w:lineRule="auto"/>
        <w:rPr>
          <w:szCs w:val="24"/>
          <w:lang w:val="nl-NL"/>
        </w:rPr>
      </w:pPr>
      <w:r w:rsidRPr="00FC6BFE">
        <w:rPr>
          <w:szCs w:val="24"/>
          <w:lang w:val="nl-NL"/>
        </w:rPr>
        <w:t>Het Gerecht van de EU beslist in vaste rechtspraak dat onderdeel 35 geen uitweg is voor deficitaire ondernemingen om zich te onttrekken aan strenge boetes :</w:t>
      </w:r>
    </w:p>
    <w:p w:rsidR="00FC6BFE" w:rsidRDefault="00FC6BFE" w:rsidP="00FC6BFE">
      <w:pPr>
        <w:pStyle w:val="Lijstalinea"/>
        <w:numPr>
          <w:ilvl w:val="0"/>
          <w:numId w:val="0"/>
        </w:numPr>
        <w:spacing w:line="276" w:lineRule="auto"/>
        <w:ind w:left="720"/>
        <w:rPr>
          <w:szCs w:val="24"/>
          <w:lang w:val="nl-NL"/>
        </w:rPr>
      </w:pPr>
    </w:p>
    <w:p w:rsidR="00FC6BFE" w:rsidRPr="0030153F" w:rsidRDefault="0030153F" w:rsidP="0030153F">
      <w:pPr>
        <w:spacing w:line="276" w:lineRule="auto"/>
        <w:ind w:left="717" w:hanging="8"/>
        <w:rPr>
          <w:i/>
          <w:szCs w:val="24"/>
          <w:lang w:val="nl-NL"/>
        </w:rPr>
      </w:pPr>
      <w:r>
        <w:rPr>
          <w:i/>
          <w:szCs w:val="24"/>
          <w:lang w:val="nl-NL"/>
        </w:rPr>
        <w:t>“</w:t>
      </w:r>
      <w:r w:rsidR="00FC6BFE" w:rsidRPr="0030153F">
        <w:rPr>
          <w:i/>
          <w:szCs w:val="24"/>
          <w:lang w:val="nl-NL"/>
        </w:rPr>
        <w:t>De Commissie is bij de vaststelling van het bedrag van de geldboete wegens inbreuk op de mededingingsregels niet verplicht rekening te houden met de deficitaire financiële situatie van een onderneming, aangezien de erkenning van deze verplichting erop zou neerkomen dat een ongerechtvaardigd concurrentievoordeel wordt toegekend aan de ondernemingen die het minst aangepast zijn aan de marktomstandigheden.</w:t>
      </w:r>
    </w:p>
    <w:p w:rsidR="0030153F" w:rsidRPr="0030153F" w:rsidRDefault="00FC6BFE" w:rsidP="0030153F">
      <w:pPr>
        <w:spacing w:line="276" w:lineRule="auto"/>
        <w:ind w:left="709"/>
        <w:rPr>
          <w:i/>
          <w:szCs w:val="24"/>
        </w:rPr>
      </w:pPr>
      <w:r w:rsidRPr="00FC6BFE">
        <w:rPr>
          <w:i/>
          <w:szCs w:val="24"/>
          <w:lang w:val="nl-NL"/>
        </w:rPr>
        <w:t>Dit beginsel wordt niet ontkracht door punt 5, sub b, van de richtsnoeren voor de berekening van geldboeten die uit hoofde van artikel 15, lid 2, van verordening (EEG) nr. 17/62 van de Raad van 6 februari 1962 over de toepassing van de artikelen 85 en 86 van het verdrag, respectievelijk artikel 65, lid 5, EGKS worden opgelegd. De financiële draagkracht speelt immers alleen een rol in een bepaalde sociale context, namelijk tegen de achtergrond van de gevolgen die de betaling van de geldboete zou kunnen hebben voor met name de stijging van de werkloosheid of de verslechtering van de economische situatie van de sectoren die aan de betrokken onderneming leveren of haar producten afnemen</w:t>
      </w:r>
      <w:r>
        <w:rPr>
          <w:rStyle w:val="Voetnootmarkering"/>
          <w:i/>
          <w:szCs w:val="24"/>
          <w:lang w:val="nl-NL"/>
        </w:rPr>
        <w:footnoteReference w:id="21"/>
      </w:r>
      <w:r w:rsidR="0030153F">
        <w:rPr>
          <w:i/>
          <w:szCs w:val="24"/>
          <w:lang w:val="nl-NL"/>
        </w:rPr>
        <w:t>,</w:t>
      </w:r>
      <w:r>
        <w:rPr>
          <w:rStyle w:val="Voetnootmarkering"/>
          <w:i/>
          <w:szCs w:val="24"/>
          <w:lang w:val="nl-NL"/>
        </w:rPr>
        <w:footnoteReference w:id="22"/>
      </w:r>
      <w:r w:rsidRPr="0030153F">
        <w:rPr>
          <w:i/>
          <w:szCs w:val="24"/>
        </w:rPr>
        <w:t>.</w:t>
      </w:r>
      <w:r w:rsidR="0030153F">
        <w:rPr>
          <w:i/>
          <w:szCs w:val="24"/>
        </w:rPr>
        <w:t>”</w:t>
      </w:r>
    </w:p>
    <w:p w:rsidR="0030153F" w:rsidRPr="0030153F" w:rsidRDefault="0030153F" w:rsidP="0030153F">
      <w:pPr>
        <w:pStyle w:val="Lijstalinea"/>
        <w:numPr>
          <w:ilvl w:val="0"/>
          <w:numId w:val="0"/>
        </w:numPr>
        <w:spacing w:line="276" w:lineRule="auto"/>
        <w:ind w:left="720"/>
        <w:rPr>
          <w:i/>
          <w:szCs w:val="24"/>
        </w:rPr>
      </w:pPr>
    </w:p>
    <w:p w:rsidR="0030153F" w:rsidRPr="0030153F" w:rsidRDefault="0030153F" w:rsidP="00DC3143">
      <w:pPr>
        <w:pStyle w:val="Lijstalinea"/>
        <w:numPr>
          <w:ilvl w:val="0"/>
          <w:numId w:val="5"/>
        </w:numPr>
        <w:spacing w:line="276" w:lineRule="auto"/>
        <w:rPr>
          <w:szCs w:val="24"/>
          <w:lang w:val="nl-NL"/>
        </w:rPr>
      </w:pPr>
      <w:r w:rsidRPr="0030153F">
        <w:rPr>
          <w:szCs w:val="24"/>
          <w:lang w:val="nl-NL"/>
        </w:rPr>
        <w:t xml:space="preserve">Wat betreft de vergelijking met andere boetes die het BIPT in het verleden heeft opgelegd, meent het BIPT dat een dergelijke vergelijking slechts zinvol kan zijn wanneer de betrokken operatoren voor gelijkaardige overtredingen werden beboet. Dit is in concreto evenwel niet het geval hetgeen een vergelijking tussen onderhavige zaak en de overige zaken waarin het BIPT een boete heeft opgelegd, </w:t>
      </w:r>
      <w:r w:rsidR="005A4B69">
        <w:rPr>
          <w:szCs w:val="24"/>
          <w:lang w:val="nl-NL"/>
        </w:rPr>
        <w:t>zinloos</w:t>
      </w:r>
      <w:r w:rsidRPr="0030153F">
        <w:rPr>
          <w:szCs w:val="24"/>
          <w:lang w:val="nl-NL"/>
        </w:rPr>
        <w:t xml:space="preserve"> maakt. </w:t>
      </w:r>
    </w:p>
    <w:p w:rsidR="00732B96" w:rsidRDefault="00732B96" w:rsidP="00732B96">
      <w:pPr>
        <w:spacing w:line="276" w:lineRule="auto"/>
      </w:pPr>
    </w:p>
    <w:p w:rsidR="00732B96" w:rsidRPr="00AF0636" w:rsidRDefault="00732B96" w:rsidP="00732B96">
      <w:pPr>
        <w:pStyle w:val="Kop2"/>
        <w:rPr>
          <w:rFonts w:asciiTheme="minorHAnsi" w:eastAsiaTheme="majorEastAsia" w:hAnsiTheme="minorHAnsi" w:cstheme="minorHAnsi"/>
          <w:color w:val="4F81BD" w:themeColor="accent1"/>
          <w:lang w:val="nl-NL"/>
        </w:rPr>
      </w:pPr>
      <w:bookmarkStart w:id="51" w:name="_Toc376423498"/>
      <w:r w:rsidRPr="00AF0636">
        <w:rPr>
          <w:rFonts w:asciiTheme="minorHAnsi" w:eastAsiaTheme="majorEastAsia" w:hAnsiTheme="minorHAnsi" w:cstheme="minorHAnsi"/>
          <w:color w:val="4F81BD" w:themeColor="accent1"/>
          <w:lang w:val="nl-NL"/>
        </w:rPr>
        <w:t>5.4. Motivering betreffende het bedrag van de boete</w:t>
      </w:r>
      <w:bookmarkEnd w:id="51"/>
    </w:p>
    <w:p w:rsidR="00732B96" w:rsidRDefault="00732B96" w:rsidP="00732B96">
      <w:pPr>
        <w:spacing w:line="276" w:lineRule="auto"/>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 xml:space="preserve">Artikel 21, §§ 1 en 5, van de </w:t>
      </w:r>
      <w:r>
        <w:rPr>
          <w:szCs w:val="24"/>
          <w:lang w:val="nl-NL"/>
        </w:rPr>
        <w:t>BIPT-wet</w:t>
      </w:r>
      <w:r w:rsidRPr="00CF7983">
        <w:rPr>
          <w:szCs w:val="24"/>
          <w:lang w:val="nl-NL"/>
        </w:rPr>
        <w:t xml:space="preserve"> </w:t>
      </w:r>
      <w:r w:rsidR="005A4B69">
        <w:rPr>
          <w:szCs w:val="24"/>
          <w:lang w:val="nl-NL"/>
        </w:rPr>
        <w:t xml:space="preserve">bepaalt </w:t>
      </w:r>
      <w:r w:rsidRPr="00CF7983">
        <w:rPr>
          <w:szCs w:val="24"/>
          <w:lang w:val="nl-NL"/>
        </w:rPr>
        <w:t>:</w:t>
      </w:r>
    </w:p>
    <w:p w:rsidR="00732B96" w:rsidRPr="00217A1B" w:rsidRDefault="00732B96" w:rsidP="00732B96">
      <w:pPr>
        <w:spacing w:line="276" w:lineRule="auto"/>
        <w:ind w:left="720"/>
      </w:pPr>
    </w:p>
    <w:p w:rsidR="00732B96" w:rsidRDefault="00732B96" w:rsidP="00603CBC">
      <w:pPr>
        <w:spacing w:line="276" w:lineRule="auto"/>
        <w:ind w:left="709"/>
        <w:rPr>
          <w:i/>
        </w:rPr>
      </w:pPr>
      <w:r w:rsidRPr="00170037">
        <w:rPr>
          <w:i/>
        </w:rPr>
        <w:t xml:space="preserve">« § 1. Indien de Raad over een reeks aanwijzingen beschikt die zouden kunnen wijzen op een overtreding van de wetgeving of reglementering waarvan de naleving door het Instituut wordt gecontroleerd of van de besluiten van het Instituut genomen ter uitvoering van die wetgeving of reglementering, deelt hij zijn grieven mee aan de betrokkene, alsook </w:t>
      </w:r>
      <w:r w:rsidRPr="00170037">
        <w:rPr>
          <w:i/>
        </w:rPr>
        <w:lastRenderedPageBreak/>
        <w:t>de beoogde maatregelen bedoeld in paragraaf 5 die toegepast zullen worden, indien de overtreding bevestigd wordt. »;</w:t>
      </w:r>
    </w:p>
    <w:p w:rsidR="00732B96" w:rsidRDefault="00732B96" w:rsidP="00603CBC">
      <w:pPr>
        <w:spacing w:line="276" w:lineRule="auto"/>
        <w:ind w:left="707" w:firstLine="2"/>
        <w:rPr>
          <w:i/>
        </w:rPr>
      </w:pPr>
      <w:r>
        <w:rPr>
          <w:i/>
        </w:rPr>
        <w:t>(…)</w:t>
      </w:r>
    </w:p>
    <w:p w:rsidR="00732B96" w:rsidRDefault="00732B96" w:rsidP="00603CBC">
      <w:pPr>
        <w:spacing w:line="276" w:lineRule="auto"/>
        <w:ind w:left="707"/>
        <w:rPr>
          <w:i/>
        </w:rPr>
      </w:pPr>
      <w:r w:rsidRPr="00170037">
        <w:rPr>
          <w:i/>
        </w:rPr>
        <w:t>« § 5. Indien de Raad een overtreding constateert, beveelt hij de stopzetting ervan, hetzij onmiddellijk, hetzij binnen de redelijke termijn die hij bepaalt.</w:t>
      </w:r>
      <w:r>
        <w:rPr>
          <w:i/>
        </w:rPr>
        <w:t xml:space="preserve"> </w:t>
      </w:r>
    </w:p>
    <w:p w:rsidR="00732B96" w:rsidRDefault="00732B96" w:rsidP="00603CBC">
      <w:pPr>
        <w:spacing w:line="276" w:lineRule="auto"/>
        <w:ind w:left="707"/>
        <w:rPr>
          <w:i/>
        </w:rPr>
      </w:pPr>
      <w:r w:rsidRPr="00170037">
        <w:rPr>
          <w:i/>
        </w:rPr>
        <w:t>Het bevel tot stopzetting kan gepaard gaan met één of meerdere van de volgende maatregelen :</w:t>
      </w:r>
      <w:r>
        <w:rPr>
          <w:i/>
        </w:rPr>
        <w:t xml:space="preserve"> </w:t>
      </w:r>
      <w:r w:rsidRPr="00170037">
        <w:rPr>
          <w:i/>
        </w:rPr>
        <w:t>1° voorschriften in verband met de manier waarop de overtreding ongedaan moet worden gemaakt;</w:t>
      </w:r>
      <w:r>
        <w:rPr>
          <w:i/>
        </w:rPr>
        <w:t xml:space="preserve"> </w:t>
      </w:r>
    </w:p>
    <w:p w:rsidR="00732B96" w:rsidRDefault="00732B96" w:rsidP="00603CBC">
      <w:pPr>
        <w:spacing w:line="276" w:lineRule="auto"/>
        <w:ind w:left="707"/>
        <w:rPr>
          <w:i/>
        </w:rPr>
      </w:pPr>
      <w:r w:rsidRPr="00170037">
        <w:rPr>
          <w:i/>
        </w:rPr>
        <w:t>2° de betaling binnen de termijn bepaald door de Raad van een administratieve boete die aan de Schatkist toekomt ten bedrage van maximaal 5 % van de omzet van de overtreder gedurende het jongste volledige boekjaar in de sector voor elektronische communicatie of voor postdiensten in België of, indien de overtreder geen activiteiten ontwikkelt waarmee een omzet wordt behaald, ten bedrage van maximaal 5.000 euro;</w:t>
      </w:r>
    </w:p>
    <w:p w:rsidR="00732B96" w:rsidRDefault="00732B96" w:rsidP="00732B96">
      <w:pPr>
        <w:spacing w:line="276" w:lineRule="auto"/>
        <w:ind w:left="720"/>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Er moet vastgesteld worden dat de wetgever geen specifieke berekeningsmethode van administratieve boetes heeft vastgelegd noch specifieke criteria heeft bepaald waarmee de Raad rekening moet houden ingeval van het bepalen van het bedrag van de administratieve boete.</w:t>
      </w:r>
    </w:p>
    <w:p w:rsidR="00732B96" w:rsidRDefault="00732B96" w:rsidP="00732B96">
      <w:pPr>
        <w:spacing w:line="276" w:lineRule="auto"/>
        <w:ind w:left="720"/>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Bij het bepalen van het bedrag van de administratieve boete past het dan ook rekening te houden met de principes, die de Europese wetgever terzake oplegt aan de nationale regelgevende instanties.</w:t>
      </w:r>
    </w:p>
    <w:p w:rsidR="00732B96" w:rsidRPr="00217A1B" w:rsidRDefault="00732B96" w:rsidP="00732B96">
      <w:pPr>
        <w:spacing w:line="276" w:lineRule="auto"/>
        <w:ind w:left="720"/>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In casu betekent dit dat er geredeneerd moet worden op basis van de algemene beginselen opgenomen in de artikelen 10.2 en volgende van Richtlijn 2002/20/EG van 7 maart 2002 betreffende de machtiging voor elektronische communicatienetwerken en - diensten, zoals gewijzigd door Richtlijn 2009/140/EG van 18 december 2009 (hierna: de Machtigingsrichtlijn). Die artikelen betreffen de nakoming van voorwaarden of verplichtingen opgelegd door wetgeving (in de brede zin van het woord) of besluiten van de regulator.</w:t>
      </w:r>
    </w:p>
    <w:p w:rsidR="00732B96" w:rsidRPr="00217A1B" w:rsidRDefault="00732B96" w:rsidP="00732B96">
      <w:pPr>
        <w:spacing w:line="276" w:lineRule="auto"/>
        <w:ind w:left="720"/>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In die artikelen wordt met betrekking tot de sancties gesteld dat NRA’s “</w:t>
      </w:r>
      <w:r w:rsidRPr="00074194">
        <w:rPr>
          <w:i/>
          <w:szCs w:val="24"/>
          <w:lang w:val="nl-NL"/>
        </w:rPr>
        <w:t>passende en evenredige maatregelen</w:t>
      </w:r>
      <w:r w:rsidRPr="00CF7983">
        <w:rPr>
          <w:szCs w:val="24"/>
          <w:lang w:val="nl-NL"/>
        </w:rPr>
        <w:t>” moeten kunnen nemen met het oog op de naleving van een eis om een inbreuk te stoppen (art. 10.3, eerste zin, Machtigingsrichtlijn) en dat de lidstaten in dat verband aan de NRA’s de bevoegdheid mogen geven om, waar zulks passend is, “</w:t>
      </w:r>
      <w:r w:rsidRPr="00074194">
        <w:rPr>
          <w:i/>
          <w:szCs w:val="24"/>
          <w:lang w:val="nl-NL"/>
        </w:rPr>
        <w:t>ontmoedigende geldelijke sancties</w:t>
      </w:r>
      <w:r w:rsidRPr="00CF7983">
        <w:rPr>
          <w:szCs w:val="24"/>
          <w:lang w:val="nl-NL"/>
        </w:rPr>
        <w:t>” op te leggen (art. 10.3, tweede zin, a), Machtigingsrichtlijn).</w:t>
      </w:r>
    </w:p>
    <w:p w:rsidR="00732B96" w:rsidRDefault="00732B96" w:rsidP="00732B96">
      <w:pPr>
        <w:spacing w:line="276" w:lineRule="auto"/>
        <w:ind w:left="720"/>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Uit deze passages kunnen minstens de algemene beginselen van de “</w:t>
      </w:r>
      <w:r w:rsidRPr="00074194">
        <w:rPr>
          <w:i/>
          <w:szCs w:val="24"/>
          <w:lang w:val="nl-NL"/>
        </w:rPr>
        <w:t>passendheid</w:t>
      </w:r>
      <w:r w:rsidRPr="00CF7983">
        <w:rPr>
          <w:szCs w:val="24"/>
          <w:lang w:val="nl-NL"/>
        </w:rPr>
        <w:t>” (beter: geschiktheid) en evenredigheid (of proportionnaliteit) van de boete worden afgeleid.</w:t>
      </w:r>
    </w:p>
    <w:p w:rsidR="00732B96" w:rsidRPr="00CF7983" w:rsidRDefault="00732B96" w:rsidP="00074194">
      <w:pPr>
        <w:pStyle w:val="Lijstalinea"/>
        <w:numPr>
          <w:ilvl w:val="0"/>
          <w:numId w:val="0"/>
        </w:numPr>
        <w:spacing w:line="276" w:lineRule="auto"/>
        <w:ind w:left="720"/>
        <w:rPr>
          <w:szCs w:val="24"/>
          <w:lang w:val="nl-NL"/>
        </w:rPr>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Bij de toepassing van deze beginselen beschikt het BIPT over een discretionnaire bevoegdheid</w:t>
      </w:r>
      <w:r w:rsidRPr="00CF7983">
        <w:rPr>
          <w:rStyle w:val="Voetnootmarkering"/>
          <w:rFonts w:cs="Times New Roman"/>
          <w:noProof w:val="0"/>
          <w:sz w:val="20"/>
          <w:lang w:eastAsia="en-US"/>
        </w:rPr>
        <w:footnoteReference w:id="23"/>
      </w:r>
      <w:r w:rsidRPr="00CF7983">
        <w:rPr>
          <w:szCs w:val="24"/>
          <w:lang w:val="nl-NL"/>
        </w:rPr>
        <w:t>.</w:t>
      </w:r>
    </w:p>
    <w:p w:rsidR="00732B96" w:rsidRPr="00CF7983" w:rsidRDefault="00732B96" w:rsidP="00074194">
      <w:pPr>
        <w:pStyle w:val="Lijstalinea"/>
        <w:numPr>
          <w:ilvl w:val="0"/>
          <w:numId w:val="0"/>
        </w:numPr>
        <w:spacing w:line="276" w:lineRule="auto"/>
        <w:ind w:left="720"/>
        <w:rPr>
          <w:szCs w:val="24"/>
          <w:lang w:val="nl-NL"/>
        </w:rPr>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Het BIPT vindt het passend en proportionneel dat er bij het bepalen van een administratieve boete uitgegaan wordt van een basisbedrag, dat in relatie staat tot de ernst en de duur van de overtreding. Vervolgens is het gepast en evenredig om dit concrete bedrag aan te passen in functie van de concrete gedragingen van de overtreder in het concrete dossier, door het in rekening brengen van boeteverhogende en –verlagende factoren. Doorheen deze oefening past het te overwegen of het boetebedrag aangepast moet worden om prikkels te creëren met het oog op disciplinering of ontmoediging van het gedrag van de overtreder en, desgevallend van anderen die een soortgelijke gedraging zouden kunnen aannemen.</w:t>
      </w:r>
    </w:p>
    <w:p w:rsidR="00732B96" w:rsidRDefault="00732B96" w:rsidP="00732B96">
      <w:pPr>
        <w:spacing w:line="276" w:lineRule="auto"/>
        <w:ind w:left="720"/>
      </w:pPr>
    </w:p>
    <w:p w:rsidR="00732B96" w:rsidRPr="00AF0636" w:rsidRDefault="00732B96" w:rsidP="00732B96">
      <w:pPr>
        <w:pStyle w:val="Kop3"/>
        <w:spacing w:before="120"/>
        <w:rPr>
          <w:rFonts w:cs="Calibri"/>
          <w:color w:val="8DB3E2" w:themeColor="text2" w:themeTint="66"/>
          <w:sz w:val="24"/>
          <w:szCs w:val="24"/>
        </w:rPr>
      </w:pPr>
      <w:bookmarkStart w:id="52" w:name="_Toc376423499"/>
      <w:r w:rsidRPr="00AF0636">
        <w:rPr>
          <w:rFonts w:cs="Calibri"/>
          <w:color w:val="8DB3E2" w:themeColor="text2" w:themeTint="66"/>
          <w:sz w:val="24"/>
          <w:szCs w:val="24"/>
        </w:rPr>
        <w:t>5.4.1. Bepaling van het basisbedrag</w:t>
      </w:r>
      <w:bookmarkEnd w:id="52"/>
      <w:r w:rsidRPr="00AF0636">
        <w:rPr>
          <w:rFonts w:cs="Calibri"/>
          <w:color w:val="8DB3E2" w:themeColor="text2" w:themeTint="66"/>
          <w:sz w:val="24"/>
          <w:szCs w:val="24"/>
        </w:rPr>
        <w:t xml:space="preserve"> </w:t>
      </w:r>
    </w:p>
    <w:p w:rsidR="00732B96" w:rsidRDefault="00732B96" w:rsidP="00732B96">
      <w:pPr>
        <w:spacing w:line="276" w:lineRule="auto"/>
        <w:ind w:left="720"/>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 xml:space="preserve">Gelet op de bijkomende informatie die het BIPT ontving vanwege </w:t>
      </w:r>
      <w:r w:rsidR="00341C0B">
        <w:rPr>
          <w:szCs w:val="24"/>
          <w:lang w:val="nl-NL"/>
        </w:rPr>
        <w:t>Dommel</w:t>
      </w:r>
      <w:r w:rsidR="00F21C83">
        <w:rPr>
          <w:szCs w:val="24"/>
          <w:lang w:val="nl-NL"/>
        </w:rPr>
        <w:t xml:space="preserve"> inzake het omzetcijfer van 2012</w:t>
      </w:r>
      <w:r w:rsidRPr="00CF7983">
        <w:rPr>
          <w:szCs w:val="24"/>
          <w:lang w:val="nl-NL"/>
        </w:rPr>
        <w:t xml:space="preserve">,  vindt het BIPT het gepast en proportioneel om het basisbedrag voor de weerhouden overtreding  </w:t>
      </w:r>
      <w:r w:rsidR="00F21C83">
        <w:rPr>
          <w:szCs w:val="24"/>
          <w:lang w:val="nl-NL"/>
        </w:rPr>
        <w:t xml:space="preserve">dienovereenkomstig aan te passen en </w:t>
      </w:r>
      <w:r w:rsidRPr="00CF7983">
        <w:rPr>
          <w:szCs w:val="24"/>
          <w:lang w:val="nl-NL"/>
        </w:rPr>
        <w:t xml:space="preserve">vast te stellen op </w:t>
      </w:r>
      <w:r w:rsidR="00341C0B">
        <w:rPr>
          <w:szCs w:val="24"/>
          <w:lang w:val="nl-NL"/>
        </w:rPr>
        <w:t>10</w:t>
      </w:r>
      <w:r w:rsidR="00E9452C">
        <w:rPr>
          <w:szCs w:val="24"/>
          <w:lang w:val="nl-NL"/>
        </w:rPr>
        <w:t>.000 EUR</w:t>
      </w:r>
      <w:r w:rsidR="00E9452C">
        <w:rPr>
          <w:rStyle w:val="Voetnootmarkering"/>
          <w:szCs w:val="24"/>
          <w:lang w:val="nl-NL"/>
        </w:rPr>
        <w:footnoteReference w:id="24"/>
      </w:r>
      <w:r w:rsidRPr="00CF7983">
        <w:rPr>
          <w:szCs w:val="24"/>
          <w:lang w:val="nl-NL"/>
        </w:rPr>
        <w:t xml:space="preserve">. </w:t>
      </w:r>
    </w:p>
    <w:p w:rsidR="00732B96" w:rsidRPr="00CF7983" w:rsidRDefault="00732B96" w:rsidP="00074194">
      <w:pPr>
        <w:pStyle w:val="Lijstalinea"/>
        <w:numPr>
          <w:ilvl w:val="0"/>
          <w:numId w:val="0"/>
        </w:numPr>
        <w:spacing w:line="276" w:lineRule="auto"/>
        <w:ind w:left="720"/>
        <w:rPr>
          <w:szCs w:val="24"/>
          <w:lang w:val="nl-NL"/>
        </w:rPr>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Bij het vaststellen van het basisbedrag van de administratieve boete heeft het BIPT rekening gehouden met de onderstaande elementen:</w:t>
      </w:r>
    </w:p>
    <w:p w:rsidR="00732B96" w:rsidRPr="001A1D22" w:rsidRDefault="00732B96" w:rsidP="00732B96">
      <w:pPr>
        <w:tabs>
          <w:tab w:val="left" w:pos="0"/>
        </w:tabs>
        <w:spacing w:line="276" w:lineRule="auto"/>
        <w:outlineLvl w:val="0"/>
        <w:rPr>
          <w:szCs w:val="24"/>
        </w:rPr>
      </w:pPr>
    </w:p>
    <w:p w:rsidR="00732B96" w:rsidRPr="0040520C" w:rsidRDefault="00732B96" w:rsidP="00732B96">
      <w:pPr>
        <w:pStyle w:val="Kop3"/>
        <w:spacing w:before="120"/>
        <w:rPr>
          <w:rFonts w:cs="Calibri"/>
          <w:i/>
          <w:color w:val="8DB3E2" w:themeColor="text2" w:themeTint="66"/>
          <w:sz w:val="24"/>
          <w:szCs w:val="24"/>
        </w:rPr>
      </w:pPr>
      <w:bookmarkStart w:id="53" w:name="_Toc376423500"/>
      <w:r>
        <w:rPr>
          <w:rFonts w:cs="Calibri"/>
          <w:i/>
          <w:color w:val="8DB3E2" w:themeColor="text2" w:themeTint="66"/>
          <w:sz w:val="24"/>
          <w:szCs w:val="24"/>
        </w:rPr>
        <w:t>5.4.1.1.</w:t>
      </w:r>
      <w:r w:rsidRPr="0040520C">
        <w:rPr>
          <w:rFonts w:cs="Calibri"/>
          <w:i/>
          <w:color w:val="8DB3E2" w:themeColor="text2" w:themeTint="66"/>
          <w:sz w:val="24"/>
          <w:szCs w:val="24"/>
        </w:rPr>
        <w:t xml:space="preserve"> Principe van proportionaliteit en omzet op de betrokken markt</w:t>
      </w:r>
      <w:bookmarkEnd w:id="53"/>
    </w:p>
    <w:p w:rsidR="00732B96" w:rsidRDefault="00732B96" w:rsidP="00732B96">
      <w:pPr>
        <w:tabs>
          <w:tab w:val="left" w:pos="0"/>
        </w:tabs>
        <w:spacing w:line="276" w:lineRule="auto"/>
        <w:outlineLvl w:val="0"/>
        <w:rPr>
          <w:b/>
          <w:bCs/>
          <w:szCs w:val="24"/>
          <w:lang w:val="nl-NL"/>
        </w:rPr>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 xml:space="preserve">De administratieve geldboete kan overeenkomstig artikel 21, § 1, van de BIPT-wet maximaal 5% van de omzet van </w:t>
      </w:r>
      <w:r w:rsidR="00341C0B">
        <w:rPr>
          <w:szCs w:val="24"/>
          <w:lang w:val="nl-NL"/>
        </w:rPr>
        <w:t>Dommel</w:t>
      </w:r>
      <w:r w:rsidRPr="00CF7983">
        <w:rPr>
          <w:szCs w:val="24"/>
          <w:lang w:val="nl-NL"/>
        </w:rPr>
        <w:t xml:space="preserve"> gedurende het jongste volledige referentiejaar in de sector voor elektronische communicatie bedragen.</w:t>
      </w:r>
    </w:p>
    <w:p w:rsidR="00732B96" w:rsidRPr="00CF7983" w:rsidRDefault="00732B96" w:rsidP="00074194">
      <w:pPr>
        <w:pStyle w:val="Lijstalinea"/>
        <w:numPr>
          <w:ilvl w:val="0"/>
          <w:numId w:val="0"/>
        </w:numPr>
        <w:spacing w:line="276" w:lineRule="auto"/>
        <w:ind w:left="720"/>
        <w:rPr>
          <w:szCs w:val="24"/>
          <w:lang w:val="nl-NL"/>
        </w:rPr>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Het j</w:t>
      </w:r>
      <w:r w:rsidR="00603CBC">
        <w:rPr>
          <w:szCs w:val="24"/>
          <w:lang w:val="nl-NL"/>
        </w:rPr>
        <w:t>ongste volledige referentiejaar</w:t>
      </w:r>
      <w:r w:rsidRPr="00CF7983">
        <w:rPr>
          <w:szCs w:val="24"/>
          <w:lang w:val="nl-NL"/>
        </w:rPr>
        <w:t xml:space="preserve"> dat door het BIPT gekend is, is 201</w:t>
      </w:r>
      <w:r w:rsidR="00341C0B">
        <w:rPr>
          <w:szCs w:val="24"/>
          <w:lang w:val="nl-NL"/>
        </w:rPr>
        <w:t>2</w:t>
      </w:r>
      <w:r w:rsidRPr="00CF7983">
        <w:rPr>
          <w:szCs w:val="24"/>
          <w:lang w:val="nl-NL"/>
        </w:rPr>
        <w:t xml:space="preserve">. </w:t>
      </w:r>
    </w:p>
    <w:p w:rsidR="00732B96" w:rsidRPr="00CF7983" w:rsidRDefault="00732B96" w:rsidP="00074194">
      <w:pPr>
        <w:pStyle w:val="Lijstalinea"/>
        <w:numPr>
          <w:ilvl w:val="0"/>
          <w:numId w:val="0"/>
        </w:numPr>
        <w:spacing w:line="276" w:lineRule="auto"/>
        <w:ind w:left="720"/>
        <w:rPr>
          <w:szCs w:val="24"/>
          <w:lang w:val="nl-NL"/>
        </w:rPr>
      </w:pPr>
    </w:p>
    <w:p w:rsidR="00732B96" w:rsidRPr="00CF7983" w:rsidRDefault="00341C0B" w:rsidP="00DC3143">
      <w:pPr>
        <w:pStyle w:val="Lijstalinea"/>
        <w:numPr>
          <w:ilvl w:val="0"/>
          <w:numId w:val="5"/>
        </w:numPr>
        <w:spacing w:line="276" w:lineRule="auto"/>
        <w:rPr>
          <w:szCs w:val="24"/>
          <w:lang w:val="nl-NL"/>
        </w:rPr>
      </w:pPr>
      <w:r>
        <w:rPr>
          <w:szCs w:val="24"/>
          <w:lang w:val="nl-NL"/>
        </w:rPr>
        <w:t>Dommel</w:t>
      </w:r>
      <w:r w:rsidR="00732B96" w:rsidRPr="00CF7983">
        <w:rPr>
          <w:szCs w:val="24"/>
          <w:lang w:val="nl-NL"/>
        </w:rPr>
        <w:t xml:space="preserve"> heeft in het jaar 201</w:t>
      </w:r>
      <w:r>
        <w:rPr>
          <w:szCs w:val="24"/>
          <w:lang w:val="nl-NL"/>
        </w:rPr>
        <w:t>2</w:t>
      </w:r>
      <w:r w:rsidR="00732B96" w:rsidRPr="00CF7983">
        <w:rPr>
          <w:szCs w:val="24"/>
          <w:lang w:val="nl-NL"/>
        </w:rPr>
        <w:t xml:space="preserve"> een totale omzet gerealiseerd van </w:t>
      </w:r>
      <w:r w:rsidR="001B4BC2">
        <w:rPr>
          <w:szCs w:val="24"/>
          <w:lang w:val="nl-NL"/>
        </w:rPr>
        <w:t>(…)</w:t>
      </w:r>
      <w:r w:rsidR="00732B96" w:rsidRPr="00CF7983">
        <w:rPr>
          <w:szCs w:val="24"/>
          <w:lang w:val="nl-NL"/>
        </w:rPr>
        <w:t xml:space="preserve"> euro.  </w:t>
      </w:r>
    </w:p>
    <w:p w:rsidR="00732B96" w:rsidRPr="00CF7983" w:rsidRDefault="00732B96" w:rsidP="00074194">
      <w:pPr>
        <w:pStyle w:val="Lijstalinea"/>
        <w:numPr>
          <w:ilvl w:val="0"/>
          <w:numId w:val="0"/>
        </w:numPr>
        <w:spacing w:line="276" w:lineRule="auto"/>
        <w:ind w:left="720"/>
        <w:rPr>
          <w:szCs w:val="24"/>
          <w:lang w:val="nl-NL"/>
        </w:rPr>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 xml:space="preserve">Het BIPT kan </w:t>
      </w:r>
      <w:r w:rsidR="00603CBC">
        <w:rPr>
          <w:szCs w:val="24"/>
          <w:lang w:val="nl-NL"/>
        </w:rPr>
        <w:t xml:space="preserve">bijgevolg aan Dommel </w:t>
      </w:r>
      <w:r w:rsidRPr="00CF7983">
        <w:rPr>
          <w:szCs w:val="24"/>
          <w:lang w:val="nl-NL"/>
        </w:rPr>
        <w:t xml:space="preserve">een administratieve geldboete opleggen van maximaal </w:t>
      </w:r>
      <w:r w:rsidR="001B4BC2">
        <w:rPr>
          <w:szCs w:val="24"/>
          <w:lang w:val="nl-NL"/>
        </w:rPr>
        <w:t>(…)</w:t>
      </w:r>
      <w:r w:rsidRPr="00CF7983">
        <w:rPr>
          <w:szCs w:val="24"/>
          <w:lang w:val="nl-NL"/>
        </w:rPr>
        <w:t xml:space="preserve"> euro (5 % van voormeld bedrag).  </w:t>
      </w:r>
    </w:p>
    <w:p w:rsidR="00732B96" w:rsidRPr="00CF7983" w:rsidRDefault="00732B96" w:rsidP="00074194">
      <w:pPr>
        <w:pStyle w:val="Lijstalinea"/>
        <w:numPr>
          <w:ilvl w:val="0"/>
          <w:numId w:val="0"/>
        </w:numPr>
        <w:spacing w:line="276" w:lineRule="auto"/>
        <w:ind w:left="720"/>
        <w:rPr>
          <w:szCs w:val="24"/>
          <w:lang w:val="nl-NL"/>
        </w:rPr>
      </w:pPr>
    </w:p>
    <w:p w:rsidR="00732B96" w:rsidRPr="00CF7983" w:rsidRDefault="00732B96" w:rsidP="00DC3143">
      <w:pPr>
        <w:pStyle w:val="Lijstalinea"/>
        <w:numPr>
          <w:ilvl w:val="0"/>
          <w:numId w:val="5"/>
        </w:numPr>
        <w:spacing w:line="276" w:lineRule="auto"/>
        <w:rPr>
          <w:szCs w:val="24"/>
          <w:lang w:val="nl-NL"/>
        </w:rPr>
      </w:pPr>
      <w:r w:rsidRPr="00CF7983">
        <w:rPr>
          <w:szCs w:val="24"/>
          <w:lang w:val="nl-NL"/>
        </w:rPr>
        <w:t>Het BIPT acht een maximale boete evenwel niet proportioneel en niet opportuun.</w:t>
      </w:r>
    </w:p>
    <w:p w:rsidR="007E5D17" w:rsidRPr="001022D8" w:rsidRDefault="007E5D17" w:rsidP="00732B96">
      <w:pPr>
        <w:spacing w:line="276" w:lineRule="auto"/>
        <w:ind w:left="720"/>
      </w:pPr>
    </w:p>
    <w:p w:rsidR="00732B96" w:rsidRPr="0040520C" w:rsidRDefault="00732B96" w:rsidP="00732B96">
      <w:pPr>
        <w:pStyle w:val="Kop3"/>
        <w:spacing w:before="120"/>
        <w:rPr>
          <w:rFonts w:cs="Calibri"/>
          <w:i/>
          <w:color w:val="8DB3E2" w:themeColor="text2" w:themeTint="66"/>
          <w:sz w:val="24"/>
          <w:szCs w:val="24"/>
        </w:rPr>
      </w:pPr>
      <w:bookmarkStart w:id="54" w:name="_Toc376423501"/>
      <w:r>
        <w:rPr>
          <w:rFonts w:cs="Calibri"/>
          <w:i/>
          <w:color w:val="8DB3E2" w:themeColor="text2" w:themeTint="66"/>
          <w:sz w:val="24"/>
          <w:szCs w:val="24"/>
        </w:rPr>
        <w:t>5.4.1.2.</w:t>
      </w:r>
      <w:r w:rsidRPr="0040520C">
        <w:rPr>
          <w:rFonts w:cs="Calibri"/>
          <w:i/>
          <w:color w:val="8DB3E2" w:themeColor="text2" w:themeTint="66"/>
          <w:sz w:val="24"/>
          <w:szCs w:val="24"/>
        </w:rPr>
        <w:t xml:space="preserve"> Ernst van de overtreding</w:t>
      </w:r>
      <w:bookmarkEnd w:id="54"/>
    </w:p>
    <w:p w:rsidR="00732B96" w:rsidRDefault="00732B96" w:rsidP="00732B96">
      <w:pPr>
        <w:spacing w:line="276" w:lineRule="auto"/>
        <w:ind w:left="720"/>
        <w:rPr>
          <w:b/>
        </w:rPr>
      </w:pPr>
    </w:p>
    <w:p w:rsidR="00F21C83" w:rsidRDefault="00732B96" w:rsidP="00DC3143">
      <w:pPr>
        <w:pStyle w:val="Lijstalinea"/>
        <w:numPr>
          <w:ilvl w:val="0"/>
          <w:numId w:val="5"/>
        </w:numPr>
        <w:spacing w:line="276" w:lineRule="auto"/>
        <w:rPr>
          <w:szCs w:val="24"/>
          <w:lang w:val="nl-NL"/>
        </w:rPr>
      </w:pPr>
      <w:r w:rsidRPr="00CF7983">
        <w:rPr>
          <w:szCs w:val="24"/>
          <w:lang w:val="nl-NL"/>
        </w:rPr>
        <w:t xml:space="preserve">De ernst van de overtreding wordt afgemeten aan de aard van de overtreding en de invloed die zij heeft op de hoofddoelstellingen die de wetgever beoogd : de bevordering van de concurrentie en de bescherming van de belangen van de gebruikers. </w:t>
      </w:r>
    </w:p>
    <w:p w:rsidR="001C0E34" w:rsidRDefault="001C0E34" w:rsidP="001C0E34">
      <w:pPr>
        <w:pStyle w:val="Lijstalinea"/>
        <w:numPr>
          <w:ilvl w:val="0"/>
          <w:numId w:val="0"/>
        </w:numPr>
        <w:spacing w:line="276" w:lineRule="auto"/>
        <w:ind w:left="720"/>
        <w:rPr>
          <w:szCs w:val="24"/>
          <w:lang w:val="nl-NL"/>
        </w:rPr>
      </w:pPr>
    </w:p>
    <w:p w:rsidR="001C0E34" w:rsidRPr="001C0E34" w:rsidRDefault="001C0E34" w:rsidP="00DC3143">
      <w:pPr>
        <w:pStyle w:val="Lijstalinea"/>
        <w:numPr>
          <w:ilvl w:val="0"/>
          <w:numId w:val="5"/>
        </w:numPr>
        <w:rPr>
          <w:szCs w:val="24"/>
          <w:lang w:val="nl-NL"/>
        </w:rPr>
      </w:pPr>
      <w:r w:rsidRPr="001C0E34">
        <w:rPr>
          <w:szCs w:val="24"/>
          <w:lang w:val="nl-NL"/>
        </w:rPr>
        <w:lastRenderedPageBreak/>
        <w:t xml:space="preserve">De overtreding door Dommel van de artikelen 108, § 1, b), 3de en 5de onderdeel, 108, § 1, f), 108, § 2, 110, § 1 en 111/3, §§ 1 en 3, WEC, heeft een beperkte invloed op de concurrentie op de markt. </w:t>
      </w:r>
    </w:p>
    <w:p w:rsidR="001C0E34" w:rsidRDefault="001C0E34" w:rsidP="001C0E34">
      <w:pPr>
        <w:pStyle w:val="Lijstalinea"/>
        <w:numPr>
          <w:ilvl w:val="0"/>
          <w:numId w:val="0"/>
        </w:numPr>
        <w:spacing w:line="276" w:lineRule="auto"/>
        <w:ind w:left="720"/>
        <w:rPr>
          <w:szCs w:val="24"/>
          <w:lang w:val="nl-NL"/>
        </w:rPr>
      </w:pPr>
    </w:p>
    <w:p w:rsidR="00732B96" w:rsidRPr="001C0E34" w:rsidRDefault="00F21C83" w:rsidP="00DC3143">
      <w:pPr>
        <w:pStyle w:val="Lijstalinea"/>
        <w:numPr>
          <w:ilvl w:val="0"/>
          <w:numId w:val="5"/>
        </w:numPr>
        <w:spacing w:line="276" w:lineRule="auto"/>
        <w:rPr>
          <w:szCs w:val="24"/>
          <w:lang w:val="nl-NL"/>
        </w:rPr>
      </w:pPr>
      <w:r>
        <w:rPr>
          <w:szCs w:val="24"/>
          <w:lang w:val="nl-NL"/>
        </w:rPr>
        <w:t>D</w:t>
      </w:r>
      <w:r w:rsidRPr="00F21C83">
        <w:rPr>
          <w:szCs w:val="24"/>
          <w:lang w:val="nl-NL"/>
        </w:rPr>
        <w:t>e artikelen 108, § 1, b), 3de en 5de onderdeel, 108, § 1, f), 108, § 2, 110, § 1 en 111/3, §§ 1 en 3, WEC,</w:t>
      </w:r>
      <w:r>
        <w:rPr>
          <w:szCs w:val="24"/>
          <w:lang w:val="nl-NL"/>
        </w:rPr>
        <w:t xml:space="preserve"> beschrijven </w:t>
      </w:r>
      <w:r w:rsidR="001C0E34">
        <w:rPr>
          <w:szCs w:val="24"/>
          <w:lang w:val="nl-NL"/>
        </w:rPr>
        <w:t xml:space="preserve">evenwel </w:t>
      </w:r>
      <w:r>
        <w:rPr>
          <w:szCs w:val="24"/>
          <w:lang w:val="nl-NL"/>
        </w:rPr>
        <w:t xml:space="preserve">op duidelijke wijze de verplichtingen waaraan operatoren </w:t>
      </w:r>
      <w:r w:rsidR="001C0E34">
        <w:rPr>
          <w:szCs w:val="24"/>
          <w:lang w:val="nl-NL"/>
        </w:rPr>
        <w:t xml:space="preserve">t.a.v. hun klanten </w:t>
      </w:r>
      <w:r>
        <w:rPr>
          <w:szCs w:val="24"/>
          <w:lang w:val="nl-NL"/>
        </w:rPr>
        <w:t xml:space="preserve">moeten voldoen. </w:t>
      </w:r>
      <w:r w:rsidR="00732B96" w:rsidRPr="001C0E34">
        <w:rPr>
          <w:szCs w:val="24"/>
          <w:lang w:val="nl-NL"/>
        </w:rPr>
        <w:t xml:space="preserve">Dat </w:t>
      </w:r>
      <w:r w:rsidRPr="001C0E34">
        <w:rPr>
          <w:szCs w:val="24"/>
          <w:lang w:val="nl-NL"/>
        </w:rPr>
        <w:t xml:space="preserve">de algemene voorwaarden van Dommel deze verplichtingen miskennen, is in het nadeel van de klanten van Dommel. </w:t>
      </w:r>
      <w:r w:rsidR="00732B96" w:rsidRPr="001C0E34">
        <w:rPr>
          <w:szCs w:val="24"/>
          <w:lang w:val="nl-NL"/>
        </w:rPr>
        <w:t xml:space="preserve"> </w:t>
      </w:r>
    </w:p>
    <w:p w:rsidR="00732B96" w:rsidRDefault="00732B96" w:rsidP="00732B96">
      <w:pPr>
        <w:tabs>
          <w:tab w:val="left" w:pos="0"/>
        </w:tabs>
        <w:spacing w:line="276" w:lineRule="auto"/>
        <w:ind w:left="720"/>
      </w:pPr>
    </w:p>
    <w:p w:rsidR="00732B96" w:rsidRDefault="00215571" w:rsidP="00DC3143">
      <w:pPr>
        <w:pStyle w:val="Lijstalinea"/>
        <w:numPr>
          <w:ilvl w:val="0"/>
          <w:numId w:val="5"/>
        </w:numPr>
        <w:spacing w:line="276" w:lineRule="auto"/>
        <w:rPr>
          <w:szCs w:val="24"/>
          <w:lang w:val="nl-NL"/>
        </w:rPr>
      </w:pPr>
      <w:r w:rsidRPr="001C0E34">
        <w:rPr>
          <w:szCs w:val="24"/>
          <w:lang w:val="nl-NL"/>
        </w:rPr>
        <w:t xml:space="preserve">Omwille van voorgaande redenen kan gesteld worden dat de overtreding door Dommel  van de artikelen 108, § 1, b), 3de en 5de onderdeel, 108, § 1, f), 108, § 2, en 111/3, §§ 1 en 3, WEC </w:t>
      </w:r>
      <w:r w:rsidRPr="001C0E34">
        <w:rPr>
          <w:b/>
          <w:szCs w:val="24"/>
          <w:lang w:val="nl-NL"/>
        </w:rPr>
        <w:t>ernstig</w:t>
      </w:r>
      <w:r w:rsidRPr="001C0E34">
        <w:rPr>
          <w:szCs w:val="24"/>
          <w:lang w:val="nl-NL"/>
        </w:rPr>
        <w:t xml:space="preserve"> is.</w:t>
      </w:r>
    </w:p>
    <w:p w:rsidR="00603CBC" w:rsidRPr="00603CBC" w:rsidRDefault="00603CBC" w:rsidP="00603CBC">
      <w:pPr>
        <w:pStyle w:val="Lijstalinea"/>
        <w:numPr>
          <w:ilvl w:val="0"/>
          <w:numId w:val="0"/>
        </w:numPr>
        <w:ind w:left="717"/>
        <w:rPr>
          <w:szCs w:val="24"/>
          <w:lang w:val="nl-NL"/>
        </w:rPr>
      </w:pPr>
    </w:p>
    <w:p w:rsidR="00732B96" w:rsidRPr="0040520C" w:rsidRDefault="00732B96" w:rsidP="00732B96">
      <w:pPr>
        <w:pStyle w:val="Kop3"/>
        <w:spacing w:before="120"/>
        <w:rPr>
          <w:rFonts w:cs="Calibri"/>
          <w:i/>
          <w:color w:val="8DB3E2" w:themeColor="text2" w:themeTint="66"/>
          <w:sz w:val="24"/>
          <w:szCs w:val="24"/>
        </w:rPr>
      </w:pPr>
      <w:bookmarkStart w:id="55" w:name="_Toc376423502"/>
      <w:r>
        <w:rPr>
          <w:rFonts w:cs="Calibri"/>
          <w:i/>
          <w:color w:val="8DB3E2" w:themeColor="text2" w:themeTint="66"/>
          <w:sz w:val="24"/>
          <w:szCs w:val="24"/>
        </w:rPr>
        <w:t>5.4.1.3.</w:t>
      </w:r>
      <w:r w:rsidRPr="0040520C">
        <w:rPr>
          <w:rFonts w:cs="Calibri"/>
          <w:i/>
          <w:color w:val="8DB3E2" w:themeColor="text2" w:themeTint="66"/>
          <w:sz w:val="24"/>
          <w:szCs w:val="24"/>
        </w:rPr>
        <w:t xml:space="preserve"> Relatieve omvang van de onderneming</w:t>
      </w:r>
      <w:bookmarkEnd w:id="55"/>
    </w:p>
    <w:p w:rsidR="00732B96" w:rsidRDefault="00732B96" w:rsidP="00732B96">
      <w:pPr>
        <w:tabs>
          <w:tab w:val="left" w:pos="0"/>
        </w:tabs>
        <w:spacing w:line="276" w:lineRule="auto"/>
        <w:ind w:left="720"/>
      </w:pPr>
    </w:p>
    <w:p w:rsidR="001C0E34" w:rsidRPr="001C0E34" w:rsidRDefault="001C0E34" w:rsidP="00DC3143">
      <w:pPr>
        <w:pStyle w:val="Lijstalinea"/>
        <w:numPr>
          <w:ilvl w:val="0"/>
          <w:numId w:val="5"/>
        </w:numPr>
        <w:spacing w:line="276" w:lineRule="auto"/>
        <w:rPr>
          <w:szCs w:val="24"/>
          <w:lang w:val="nl-NL"/>
        </w:rPr>
      </w:pPr>
      <w:r w:rsidRPr="001C0E34">
        <w:rPr>
          <w:szCs w:val="24"/>
          <w:lang w:val="nl-NL"/>
        </w:rPr>
        <w:t xml:space="preserve">Dommel is op het segment van de markt waarop de overtredingen hebben plaatsgevonden een relatief kleine operator. </w:t>
      </w:r>
    </w:p>
    <w:p w:rsidR="001C0E34" w:rsidRPr="001C0E34" w:rsidRDefault="001C0E34" w:rsidP="001C0E34">
      <w:pPr>
        <w:tabs>
          <w:tab w:val="left" w:pos="0"/>
        </w:tabs>
        <w:spacing w:line="276" w:lineRule="auto"/>
        <w:ind w:left="720"/>
        <w:rPr>
          <w:rFonts w:cs="Arial"/>
          <w:noProof/>
          <w:szCs w:val="24"/>
          <w:lang w:val="nl-NL" w:eastAsia="fr-BE"/>
        </w:rPr>
      </w:pPr>
    </w:p>
    <w:p w:rsidR="001C0E34" w:rsidRPr="001C0E34" w:rsidRDefault="001C0E34" w:rsidP="00DC3143">
      <w:pPr>
        <w:pStyle w:val="Lijstalinea"/>
        <w:numPr>
          <w:ilvl w:val="0"/>
          <w:numId w:val="5"/>
        </w:numPr>
        <w:spacing w:line="276" w:lineRule="auto"/>
        <w:rPr>
          <w:szCs w:val="24"/>
          <w:lang w:val="nl-NL"/>
        </w:rPr>
      </w:pPr>
      <w:r w:rsidRPr="001C0E34">
        <w:rPr>
          <w:szCs w:val="24"/>
          <w:lang w:val="nl-NL"/>
        </w:rPr>
        <w:t xml:space="preserve">De impact van Dommel op de markt is eerder gering en het is onwaarschijnlijk dat de overtredingen die Dommel </w:t>
      </w:r>
      <w:r w:rsidR="00AA0C7B">
        <w:rPr>
          <w:szCs w:val="24"/>
          <w:lang w:val="nl-NL"/>
        </w:rPr>
        <w:t xml:space="preserve">ten laste </w:t>
      </w:r>
      <w:r w:rsidRPr="001C0E34">
        <w:rPr>
          <w:szCs w:val="24"/>
          <w:lang w:val="nl-NL"/>
        </w:rPr>
        <w:t xml:space="preserve">worden </w:t>
      </w:r>
      <w:r w:rsidR="00AA0C7B">
        <w:rPr>
          <w:szCs w:val="24"/>
          <w:lang w:val="nl-NL"/>
        </w:rPr>
        <w:t>gelegd</w:t>
      </w:r>
      <w:r w:rsidRPr="001C0E34">
        <w:rPr>
          <w:szCs w:val="24"/>
          <w:lang w:val="nl-NL"/>
        </w:rPr>
        <w:t xml:space="preserve"> de concurrentie op de markt wezenlijk zouden verstoren. </w:t>
      </w:r>
    </w:p>
    <w:p w:rsidR="001C0E34" w:rsidRPr="001C0E34" w:rsidRDefault="001C0E34" w:rsidP="001C0E34">
      <w:pPr>
        <w:tabs>
          <w:tab w:val="left" w:pos="0"/>
        </w:tabs>
        <w:spacing w:line="276" w:lineRule="auto"/>
        <w:ind w:left="720"/>
        <w:rPr>
          <w:rFonts w:cs="Arial"/>
          <w:noProof/>
          <w:szCs w:val="24"/>
          <w:lang w:val="nl-NL" w:eastAsia="fr-BE"/>
        </w:rPr>
      </w:pPr>
    </w:p>
    <w:p w:rsidR="001C0E34" w:rsidRPr="001C0E34" w:rsidRDefault="001C0E34" w:rsidP="00DC3143">
      <w:pPr>
        <w:pStyle w:val="Lijstalinea"/>
        <w:numPr>
          <w:ilvl w:val="0"/>
          <w:numId w:val="5"/>
        </w:numPr>
        <w:spacing w:line="276" w:lineRule="auto"/>
        <w:rPr>
          <w:szCs w:val="24"/>
          <w:lang w:val="nl-NL"/>
        </w:rPr>
      </w:pPr>
      <w:r w:rsidRPr="001C0E34">
        <w:rPr>
          <w:szCs w:val="24"/>
          <w:lang w:val="nl-NL"/>
        </w:rPr>
        <w:t>Daar staat evenwel tegenover dat de abonnees van Dommel recht hebben op de beschermingsmaatregelen die d</w:t>
      </w:r>
      <w:r w:rsidR="00AA0C7B">
        <w:rPr>
          <w:szCs w:val="24"/>
          <w:lang w:val="nl-NL"/>
        </w:rPr>
        <w:t xml:space="preserve">oor de wetgever voorzien zijn. </w:t>
      </w:r>
      <w:r w:rsidRPr="001C0E34">
        <w:rPr>
          <w:szCs w:val="24"/>
          <w:lang w:val="nl-NL"/>
        </w:rPr>
        <w:t xml:space="preserve">De vaststelling dat Dommel eerder een kleine operator is, ontslaat Dommel niet van de verplichting om de wet correct na te leven. </w:t>
      </w:r>
    </w:p>
    <w:p w:rsidR="00732B96" w:rsidRPr="001022D8" w:rsidRDefault="00732B96" w:rsidP="00732B96">
      <w:pPr>
        <w:tabs>
          <w:tab w:val="left" w:pos="0"/>
        </w:tabs>
        <w:spacing w:line="276" w:lineRule="auto"/>
        <w:ind w:left="720"/>
        <w:rPr>
          <w:lang w:val="nl-NL"/>
        </w:rPr>
      </w:pPr>
    </w:p>
    <w:p w:rsidR="00732B96" w:rsidRPr="0040520C" w:rsidRDefault="00732B96" w:rsidP="00732B96">
      <w:pPr>
        <w:pStyle w:val="Kop3"/>
        <w:spacing w:before="120"/>
        <w:rPr>
          <w:rFonts w:cs="Calibri"/>
          <w:i/>
          <w:color w:val="8DB3E2" w:themeColor="text2" w:themeTint="66"/>
          <w:sz w:val="24"/>
          <w:szCs w:val="24"/>
        </w:rPr>
      </w:pPr>
      <w:bookmarkStart w:id="56" w:name="_Toc376423503"/>
      <w:r>
        <w:rPr>
          <w:rFonts w:cs="Calibri"/>
          <w:i/>
          <w:color w:val="8DB3E2" w:themeColor="text2" w:themeTint="66"/>
          <w:sz w:val="24"/>
          <w:szCs w:val="24"/>
        </w:rPr>
        <w:t>5.4.1.4.</w:t>
      </w:r>
      <w:r w:rsidRPr="0040520C">
        <w:rPr>
          <w:rFonts w:cs="Calibri"/>
          <w:i/>
          <w:color w:val="8DB3E2" w:themeColor="text2" w:themeTint="66"/>
          <w:sz w:val="24"/>
          <w:szCs w:val="24"/>
        </w:rPr>
        <w:t xml:space="preserve"> Duur</w:t>
      </w:r>
      <w:bookmarkEnd w:id="56"/>
      <w:r w:rsidRPr="0040520C">
        <w:rPr>
          <w:rFonts w:cs="Calibri"/>
          <w:i/>
          <w:color w:val="8DB3E2" w:themeColor="text2" w:themeTint="66"/>
          <w:sz w:val="24"/>
          <w:szCs w:val="24"/>
        </w:rPr>
        <w:t xml:space="preserve"> </w:t>
      </w:r>
    </w:p>
    <w:p w:rsidR="00732B96" w:rsidRDefault="00732B96" w:rsidP="00732B96">
      <w:pPr>
        <w:spacing w:line="276" w:lineRule="auto"/>
        <w:ind w:left="720"/>
        <w:rPr>
          <w:b/>
        </w:rPr>
      </w:pPr>
    </w:p>
    <w:p w:rsidR="001C0E34" w:rsidRPr="001C0E34" w:rsidRDefault="001C0E34" w:rsidP="005A4B69">
      <w:pPr>
        <w:pStyle w:val="Lijstalinea"/>
        <w:numPr>
          <w:ilvl w:val="0"/>
          <w:numId w:val="5"/>
        </w:numPr>
        <w:spacing w:line="276" w:lineRule="auto"/>
        <w:rPr>
          <w:szCs w:val="24"/>
          <w:lang w:val="nl-NL"/>
        </w:rPr>
      </w:pPr>
      <w:r w:rsidRPr="001C0E34">
        <w:rPr>
          <w:szCs w:val="24"/>
          <w:lang w:val="nl-NL"/>
        </w:rPr>
        <w:t>Dommel beweert zelf dat zij steeds de algemene voorwaarden uit 2007 hanteerde</w:t>
      </w:r>
      <w:r w:rsidRPr="005A4B69">
        <w:rPr>
          <w:rStyle w:val="Voetnootmarkering"/>
          <w:rFonts w:cs="Times New Roman"/>
          <w:noProof w:val="0"/>
          <w:szCs w:val="22"/>
          <w:lang w:eastAsia="en-US"/>
        </w:rPr>
        <w:footnoteReference w:id="25"/>
      </w:r>
      <w:r w:rsidRPr="001C0E34">
        <w:rPr>
          <w:szCs w:val="24"/>
          <w:lang w:val="nl-NL"/>
        </w:rPr>
        <w:t>.  Dit verander</w:t>
      </w:r>
      <w:r w:rsidR="002B3203">
        <w:rPr>
          <w:szCs w:val="24"/>
          <w:lang w:val="nl-NL"/>
        </w:rPr>
        <w:t>d</w:t>
      </w:r>
      <w:r w:rsidRPr="001C0E34">
        <w:rPr>
          <w:szCs w:val="24"/>
          <w:lang w:val="nl-NL"/>
        </w:rPr>
        <w:t xml:space="preserve">e niet nadat het BIPT in 2011 Dommel </w:t>
      </w:r>
      <w:r>
        <w:rPr>
          <w:szCs w:val="24"/>
          <w:lang w:val="nl-NL"/>
        </w:rPr>
        <w:t>liet</w:t>
      </w:r>
      <w:r w:rsidRPr="001C0E34">
        <w:rPr>
          <w:szCs w:val="24"/>
          <w:lang w:val="nl-NL"/>
        </w:rPr>
        <w:t xml:space="preserve"> weten dat haar algemene voorwaarden niet in overeenstemming waren met de vigerende wetgeving. </w:t>
      </w:r>
    </w:p>
    <w:p w:rsidR="001C0E34" w:rsidRPr="001C0E34" w:rsidRDefault="001C0E34" w:rsidP="001C0E34">
      <w:pPr>
        <w:pStyle w:val="Lijstalinea"/>
        <w:numPr>
          <w:ilvl w:val="0"/>
          <w:numId w:val="0"/>
        </w:numPr>
        <w:spacing w:line="276" w:lineRule="auto"/>
        <w:ind w:left="720"/>
        <w:rPr>
          <w:szCs w:val="24"/>
          <w:lang w:val="nl-NL"/>
        </w:rPr>
      </w:pPr>
    </w:p>
    <w:p w:rsidR="001C0E34" w:rsidRPr="001C0E34" w:rsidRDefault="001C0E34" w:rsidP="00DC3143">
      <w:pPr>
        <w:pStyle w:val="Lijstalinea"/>
        <w:numPr>
          <w:ilvl w:val="0"/>
          <w:numId w:val="5"/>
        </w:numPr>
        <w:spacing w:line="276" w:lineRule="auto"/>
        <w:rPr>
          <w:szCs w:val="24"/>
          <w:lang w:val="nl-NL"/>
        </w:rPr>
      </w:pPr>
      <w:r w:rsidRPr="001C0E34">
        <w:rPr>
          <w:szCs w:val="24"/>
          <w:lang w:val="nl-NL"/>
        </w:rPr>
        <w:t xml:space="preserve">Voor een </w:t>
      </w:r>
      <w:r w:rsidR="00AA0C7B">
        <w:rPr>
          <w:szCs w:val="24"/>
          <w:lang w:val="nl-NL"/>
        </w:rPr>
        <w:t xml:space="preserve">groot </w:t>
      </w:r>
      <w:r w:rsidRPr="001C0E34">
        <w:rPr>
          <w:szCs w:val="24"/>
          <w:lang w:val="nl-NL"/>
        </w:rPr>
        <w:t xml:space="preserve">deel gaat het om dezelfde tekortkomingen als deze die in </w:t>
      </w:r>
      <w:r>
        <w:rPr>
          <w:szCs w:val="24"/>
          <w:lang w:val="nl-NL"/>
        </w:rPr>
        <w:t>de</w:t>
      </w:r>
      <w:r w:rsidR="00603CBC">
        <w:rPr>
          <w:szCs w:val="24"/>
          <w:lang w:val="nl-NL"/>
        </w:rPr>
        <w:t xml:space="preserve"> </w:t>
      </w:r>
      <w:r w:rsidRPr="001C0E34">
        <w:rPr>
          <w:szCs w:val="24"/>
          <w:lang w:val="nl-NL"/>
        </w:rPr>
        <w:t xml:space="preserve">brief met grieven </w:t>
      </w:r>
      <w:r>
        <w:rPr>
          <w:szCs w:val="24"/>
          <w:lang w:val="nl-NL"/>
        </w:rPr>
        <w:t xml:space="preserve">van 18 november 2013 </w:t>
      </w:r>
      <w:r w:rsidRPr="001C0E34">
        <w:rPr>
          <w:szCs w:val="24"/>
          <w:lang w:val="nl-NL"/>
        </w:rPr>
        <w:t xml:space="preserve">worden aangehaald. </w:t>
      </w:r>
    </w:p>
    <w:p w:rsidR="001C0E34" w:rsidRPr="001C0E34" w:rsidRDefault="001C0E34" w:rsidP="001C0E34">
      <w:pPr>
        <w:pStyle w:val="Lijstalinea"/>
        <w:numPr>
          <w:ilvl w:val="0"/>
          <w:numId w:val="0"/>
        </w:numPr>
        <w:spacing w:line="276" w:lineRule="auto"/>
        <w:ind w:left="720"/>
        <w:rPr>
          <w:szCs w:val="24"/>
          <w:lang w:val="nl-NL"/>
        </w:rPr>
      </w:pPr>
    </w:p>
    <w:p w:rsidR="001C0E34" w:rsidRPr="001C0E34" w:rsidRDefault="001C0E34" w:rsidP="00DC3143">
      <w:pPr>
        <w:pStyle w:val="Lijstalinea"/>
        <w:numPr>
          <w:ilvl w:val="0"/>
          <w:numId w:val="5"/>
        </w:numPr>
        <w:spacing w:line="276" w:lineRule="auto"/>
        <w:rPr>
          <w:szCs w:val="24"/>
          <w:lang w:val="nl-NL"/>
        </w:rPr>
      </w:pPr>
      <w:r w:rsidRPr="001C0E34">
        <w:rPr>
          <w:szCs w:val="24"/>
          <w:lang w:val="nl-NL"/>
        </w:rPr>
        <w:t xml:space="preserve">Bijgevolg kan aangenomen worden dat deze overtredingen al </w:t>
      </w:r>
      <w:r>
        <w:rPr>
          <w:szCs w:val="24"/>
          <w:lang w:val="nl-NL"/>
        </w:rPr>
        <w:t>sinds 2007</w:t>
      </w:r>
      <w:r w:rsidRPr="001C0E34">
        <w:rPr>
          <w:szCs w:val="24"/>
          <w:lang w:val="nl-NL"/>
        </w:rPr>
        <w:t xml:space="preserve"> aanslepen. </w:t>
      </w:r>
    </w:p>
    <w:p w:rsidR="001C0E34" w:rsidRPr="001C0E34" w:rsidRDefault="001C0E34" w:rsidP="001C0E34">
      <w:pPr>
        <w:pStyle w:val="Lijstalinea"/>
        <w:numPr>
          <w:ilvl w:val="0"/>
          <w:numId w:val="0"/>
        </w:numPr>
        <w:spacing w:line="276" w:lineRule="auto"/>
        <w:ind w:left="720"/>
        <w:rPr>
          <w:szCs w:val="24"/>
          <w:lang w:val="nl-NL"/>
        </w:rPr>
      </w:pPr>
    </w:p>
    <w:p w:rsidR="00732B96" w:rsidRDefault="001C0E34" w:rsidP="00DC3143">
      <w:pPr>
        <w:pStyle w:val="Lijstalinea"/>
        <w:numPr>
          <w:ilvl w:val="0"/>
          <w:numId w:val="5"/>
        </w:numPr>
        <w:spacing w:line="276" w:lineRule="auto"/>
        <w:rPr>
          <w:szCs w:val="24"/>
          <w:lang w:val="nl-NL"/>
        </w:rPr>
      </w:pPr>
      <w:r w:rsidRPr="001C0E34">
        <w:rPr>
          <w:szCs w:val="24"/>
          <w:lang w:val="nl-NL"/>
        </w:rPr>
        <w:t>Voor het overige hebben de grieven betrekking op overtredingen van wetsbepalingen die sinds jul</w:t>
      </w:r>
      <w:r w:rsidR="00AA0C7B">
        <w:rPr>
          <w:szCs w:val="24"/>
          <w:lang w:val="nl-NL"/>
        </w:rPr>
        <w:t>i of oktober 2012 in voege zijn</w:t>
      </w:r>
      <w:r w:rsidRPr="001C0E34">
        <w:rPr>
          <w:szCs w:val="24"/>
          <w:lang w:val="nl-NL"/>
        </w:rPr>
        <w:t>.</w:t>
      </w:r>
      <w:r>
        <w:rPr>
          <w:szCs w:val="24"/>
          <w:lang w:val="nl-NL"/>
        </w:rPr>
        <w:t xml:space="preserve"> </w:t>
      </w:r>
      <w:r w:rsidR="006D20B6">
        <w:rPr>
          <w:szCs w:val="24"/>
          <w:lang w:val="nl-NL"/>
        </w:rPr>
        <w:t xml:space="preserve">Deze </w:t>
      </w:r>
      <w:r w:rsidR="00603CBC">
        <w:rPr>
          <w:szCs w:val="24"/>
          <w:lang w:val="nl-NL"/>
        </w:rPr>
        <w:t xml:space="preserve">overtredingen </w:t>
      </w:r>
      <w:r w:rsidR="006D20B6">
        <w:rPr>
          <w:szCs w:val="24"/>
          <w:lang w:val="nl-NL"/>
        </w:rPr>
        <w:t xml:space="preserve">duren bijgevolg al meer dan een jaar. </w:t>
      </w:r>
    </w:p>
    <w:p w:rsidR="0022325F" w:rsidRPr="0022325F" w:rsidRDefault="0022325F" w:rsidP="0022325F">
      <w:pPr>
        <w:pStyle w:val="Lijstalinea"/>
        <w:numPr>
          <w:ilvl w:val="0"/>
          <w:numId w:val="0"/>
        </w:numPr>
        <w:ind w:left="717"/>
        <w:rPr>
          <w:szCs w:val="24"/>
          <w:lang w:val="nl-NL"/>
        </w:rPr>
      </w:pPr>
    </w:p>
    <w:p w:rsidR="0022325F" w:rsidRDefault="0022325F" w:rsidP="0022325F">
      <w:pPr>
        <w:spacing w:line="276" w:lineRule="auto"/>
        <w:rPr>
          <w:szCs w:val="24"/>
          <w:lang w:val="nl-NL"/>
        </w:rPr>
      </w:pPr>
    </w:p>
    <w:p w:rsidR="0022325F" w:rsidRDefault="0022325F" w:rsidP="0022325F">
      <w:pPr>
        <w:spacing w:line="276" w:lineRule="auto"/>
        <w:rPr>
          <w:szCs w:val="24"/>
          <w:lang w:val="nl-NL"/>
        </w:rPr>
      </w:pPr>
    </w:p>
    <w:p w:rsidR="0022325F" w:rsidRDefault="0022325F" w:rsidP="0022325F">
      <w:pPr>
        <w:spacing w:line="276" w:lineRule="auto"/>
        <w:rPr>
          <w:szCs w:val="24"/>
          <w:lang w:val="nl-NL"/>
        </w:rPr>
      </w:pPr>
    </w:p>
    <w:p w:rsidR="0022325F" w:rsidRPr="0022325F" w:rsidRDefault="0022325F" w:rsidP="0022325F">
      <w:pPr>
        <w:spacing w:line="276" w:lineRule="auto"/>
        <w:rPr>
          <w:szCs w:val="24"/>
          <w:lang w:val="nl-NL"/>
        </w:rPr>
      </w:pPr>
    </w:p>
    <w:p w:rsidR="001C0E34" w:rsidRPr="001C0E34" w:rsidRDefault="001C0E34" w:rsidP="001C0E34">
      <w:pPr>
        <w:ind w:left="717" w:hanging="360"/>
        <w:rPr>
          <w:szCs w:val="24"/>
          <w:lang w:val="nl-NL"/>
        </w:rPr>
      </w:pPr>
    </w:p>
    <w:p w:rsidR="00732B96" w:rsidRPr="0040520C" w:rsidRDefault="00732B96" w:rsidP="00732B96">
      <w:pPr>
        <w:pStyle w:val="Kop3"/>
        <w:spacing w:before="120"/>
        <w:rPr>
          <w:rFonts w:cs="Calibri"/>
          <w:color w:val="8DB3E2" w:themeColor="text2" w:themeTint="66"/>
          <w:sz w:val="24"/>
          <w:szCs w:val="24"/>
        </w:rPr>
      </w:pPr>
      <w:bookmarkStart w:id="57" w:name="_Toc376423504"/>
      <w:r w:rsidRPr="0040520C">
        <w:rPr>
          <w:rFonts w:cs="Calibri"/>
          <w:color w:val="8DB3E2" w:themeColor="text2" w:themeTint="66"/>
          <w:sz w:val="24"/>
          <w:szCs w:val="24"/>
        </w:rPr>
        <w:t xml:space="preserve">5.4.2. </w:t>
      </w:r>
      <w:proofErr w:type="spellStart"/>
      <w:r w:rsidRPr="0040520C">
        <w:rPr>
          <w:rFonts w:cs="Calibri"/>
          <w:color w:val="8DB3E2" w:themeColor="text2" w:themeTint="66"/>
          <w:sz w:val="24"/>
          <w:szCs w:val="24"/>
        </w:rPr>
        <w:t>Boeteverhogende</w:t>
      </w:r>
      <w:proofErr w:type="spellEnd"/>
      <w:r w:rsidRPr="0040520C">
        <w:rPr>
          <w:rFonts w:cs="Calibri"/>
          <w:color w:val="8DB3E2" w:themeColor="text2" w:themeTint="66"/>
          <w:sz w:val="24"/>
          <w:szCs w:val="24"/>
        </w:rPr>
        <w:t xml:space="preserve"> en </w:t>
      </w:r>
      <w:r w:rsidR="00603CBC">
        <w:rPr>
          <w:rFonts w:cs="Calibri"/>
          <w:color w:val="8DB3E2" w:themeColor="text2" w:themeTint="66"/>
          <w:sz w:val="24"/>
          <w:szCs w:val="24"/>
        </w:rPr>
        <w:t>-</w:t>
      </w:r>
      <w:r w:rsidRPr="0040520C">
        <w:rPr>
          <w:rFonts w:cs="Calibri"/>
          <w:color w:val="8DB3E2" w:themeColor="text2" w:themeTint="66"/>
          <w:sz w:val="24"/>
          <w:szCs w:val="24"/>
        </w:rPr>
        <w:t>verlagende factoren</w:t>
      </w:r>
      <w:bookmarkEnd w:id="57"/>
    </w:p>
    <w:p w:rsidR="00732B96" w:rsidRPr="0040520C" w:rsidRDefault="00732B96" w:rsidP="00732B96">
      <w:pPr>
        <w:pStyle w:val="Kop3"/>
        <w:spacing w:before="120"/>
        <w:rPr>
          <w:rFonts w:cs="Calibri"/>
          <w:i/>
          <w:color w:val="8DB3E2" w:themeColor="text2" w:themeTint="66"/>
          <w:sz w:val="24"/>
          <w:szCs w:val="24"/>
        </w:rPr>
      </w:pPr>
      <w:bookmarkStart w:id="58" w:name="_Toc376423505"/>
      <w:r w:rsidRPr="0040520C">
        <w:rPr>
          <w:rFonts w:cs="Calibri"/>
          <w:i/>
          <w:color w:val="8DB3E2" w:themeColor="text2" w:themeTint="66"/>
          <w:sz w:val="24"/>
          <w:szCs w:val="24"/>
        </w:rPr>
        <w:t>5.4.2.1. Verzwarende omstandigheden</w:t>
      </w:r>
      <w:bookmarkEnd w:id="58"/>
    </w:p>
    <w:p w:rsidR="00732B96" w:rsidRDefault="00732B96" w:rsidP="00732B96">
      <w:pPr>
        <w:tabs>
          <w:tab w:val="left" w:pos="0"/>
        </w:tabs>
        <w:spacing w:line="276" w:lineRule="auto"/>
        <w:ind w:left="720"/>
      </w:pPr>
    </w:p>
    <w:p w:rsidR="00732B96" w:rsidRDefault="00732B96" w:rsidP="00DC3143">
      <w:pPr>
        <w:pStyle w:val="Lijstalinea"/>
        <w:numPr>
          <w:ilvl w:val="0"/>
          <w:numId w:val="5"/>
        </w:numPr>
      </w:pPr>
      <w:r>
        <w:t>In de brief met grieven van 1</w:t>
      </w:r>
      <w:r w:rsidR="006D20B6">
        <w:t>8</w:t>
      </w:r>
      <w:r>
        <w:t xml:space="preserve"> </w:t>
      </w:r>
      <w:r w:rsidR="006D20B6">
        <w:t xml:space="preserve">november </w:t>
      </w:r>
      <w:r>
        <w:t>201</w:t>
      </w:r>
      <w:r w:rsidR="006D20B6">
        <w:t>3</w:t>
      </w:r>
      <w:r>
        <w:t xml:space="preserve"> werd gesteld : </w:t>
      </w:r>
    </w:p>
    <w:p w:rsidR="00732B96" w:rsidRDefault="00732B96" w:rsidP="00732B96">
      <w:pPr>
        <w:tabs>
          <w:tab w:val="left" w:pos="0"/>
        </w:tabs>
        <w:spacing w:line="276" w:lineRule="auto"/>
      </w:pPr>
    </w:p>
    <w:p w:rsidR="00732B96" w:rsidRPr="00927F13" w:rsidRDefault="00732B96" w:rsidP="00603CBC">
      <w:pPr>
        <w:tabs>
          <w:tab w:val="left" w:pos="0"/>
        </w:tabs>
        <w:spacing w:line="276" w:lineRule="auto"/>
        <w:ind w:left="709"/>
        <w:rPr>
          <w:i/>
        </w:rPr>
      </w:pPr>
      <w:r w:rsidRPr="00927F13">
        <w:rPr>
          <w:i/>
        </w:rPr>
        <w:t>“</w:t>
      </w:r>
      <w:r w:rsidR="006D20B6" w:rsidRPr="006D20B6">
        <w:rPr>
          <w:i/>
        </w:rPr>
        <w:t xml:space="preserve">Het BIPT heeft zijn bezwaren bij de onderdelen 5.2, 9.1 e.v. en 16.1 van de algemene voorwaarden van Dommel, evenals het ontbreken van de wachttijd bij eerste aansluiting  en de soorten onderhoudsservice, reeds in een brief aan Dommel in december 2011 kenbaar gemaakt. In de </w:t>
      </w:r>
      <w:proofErr w:type="spellStart"/>
      <w:r w:rsidR="006D20B6" w:rsidRPr="006D20B6">
        <w:rPr>
          <w:i/>
        </w:rPr>
        <w:t>draftversies</w:t>
      </w:r>
      <w:proofErr w:type="spellEnd"/>
      <w:r w:rsidR="006D20B6" w:rsidRPr="006D20B6">
        <w:rPr>
          <w:i/>
        </w:rPr>
        <w:t xml:space="preserve"> die Dommel in februari en juni 2012 aan het BIPT bezorgde werd met deze bezwaren rekening gehouden. Dat in de huidige versie van de algemene voorwaarden opnieuw de oorspronkelijke onderdelen zijn opgenomen, moet als een verzwarende omstandigheid worden aangemerkt :  Dommel negeert bewust te opmerkingen van het BIPT,  overtreedt wetens en willens de wetgeving en benadeelt zodoende haar klanten.</w:t>
      </w:r>
      <w:r w:rsidR="006D20B6">
        <w:rPr>
          <w:i/>
        </w:rPr>
        <w:t>”</w:t>
      </w:r>
    </w:p>
    <w:p w:rsidR="00732B96" w:rsidRDefault="00732B96" w:rsidP="00732B96">
      <w:pPr>
        <w:tabs>
          <w:tab w:val="left" w:pos="0"/>
        </w:tabs>
        <w:spacing w:line="276" w:lineRule="auto"/>
      </w:pPr>
    </w:p>
    <w:p w:rsidR="00732B96" w:rsidRDefault="00732B96" w:rsidP="00DC3143">
      <w:pPr>
        <w:pStyle w:val="Lijstalinea"/>
        <w:numPr>
          <w:ilvl w:val="0"/>
          <w:numId w:val="5"/>
        </w:numPr>
      </w:pPr>
      <w:r>
        <w:t xml:space="preserve">Deze opmerking blijft pertinent. </w:t>
      </w:r>
    </w:p>
    <w:p w:rsidR="006D20B6" w:rsidRDefault="006D20B6" w:rsidP="006D20B6">
      <w:pPr>
        <w:pStyle w:val="Lijstalinea"/>
        <w:numPr>
          <w:ilvl w:val="0"/>
          <w:numId w:val="0"/>
        </w:numPr>
        <w:spacing w:line="276" w:lineRule="auto"/>
        <w:ind w:left="720"/>
        <w:rPr>
          <w:szCs w:val="24"/>
          <w:lang w:val="nl-NL"/>
        </w:rPr>
      </w:pPr>
    </w:p>
    <w:p w:rsidR="00732B96" w:rsidRPr="002062C1" w:rsidRDefault="006D20B6" w:rsidP="00DC3143">
      <w:pPr>
        <w:pStyle w:val="Lijstalinea"/>
        <w:numPr>
          <w:ilvl w:val="0"/>
          <w:numId w:val="5"/>
        </w:numPr>
        <w:spacing w:line="276" w:lineRule="auto"/>
        <w:rPr>
          <w:szCs w:val="24"/>
          <w:lang w:val="nl-NL"/>
        </w:rPr>
      </w:pPr>
      <w:r>
        <w:rPr>
          <w:szCs w:val="24"/>
          <w:lang w:val="nl-NL"/>
        </w:rPr>
        <w:t xml:space="preserve">Dat Dommel na een brief van het BIPT terzake en na correcties die aangebracht werden door een medewerker van het BIPT aan een draftversie van de algemene voorwaarden er niet toe </w:t>
      </w:r>
      <w:r w:rsidR="00603CBC">
        <w:rPr>
          <w:szCs w:val="24"/>
          <w:lang w:val="nl-NL"/>
        </w:rPr>
        <w:t>kwam</w:t>
      </w:r>
      <w:r>
        <w:rPr>
          <w:szCs w:val="24"/>
          <w:lang w:val="nl-NL"/>
        </w:rPr>
        <w:t xml:space="preserve"> om een versie van de algemene voorwaarden te publiceren die tegemoet komt aan de de opmerkingen van het BIPT</w:t>
      </w:r>
      <w:r w:rsidR="00732B96" w:rsidRPr="002062C1">
        <w:rPr>
          <w:szCs w:val="24"/>
          <w:lang w:val="nl-NL"/>
        </w:rPr>
        <w:t xml:space="preserve"> moet als een verzwarende omstandigheid in aanmerking worden genomen. </w:t>
      </w:r>
    </w:p>
    <w:p w:rsidR="00732B96" w:rsidRDefault="00732B96" w:rsidP="00732B96">
      <w:pPr>
        <w:tabs>
          <w:tab w:val="left" w:pos="0"/>
        </w:tabs>
        <w:spacing w:line="276" w:lineRule="auto"/>
      </w:pPr>
    </w:p>
    <w:p w:rsidR="00732B96" w:rsidRPr="0040520C" w:rsidRDefault="00732B96" w:rsidP="00732B96">
      <w:pPr>
        <w:pStyle w:val="Kop3"/>
        <w:spacing w:before="120"/>
        <w:rPr>
          <w:rFonts w:cs="Calibri"/>
          <w:i/>
          <w:color w:val="8DB3E2" w:themeColor="text2" w:themeTint="66"/>
          <w:sz w:val="24"/>
          <w:szCs w:val="24"/>
        </w:rPr>
      </w:pPr>
      <w:bookmarkStart w:id="59" w:name="_Toc376423506"/>
      <w:r w:rsidRPr="0040520C">
        <w:rPr>
          <w:rFonts w:cs="Calibri"/>
          <w:i/>
          <w:color w:val="8DB3E2" w:themeColor="text2" w:themeTint="66"/>
          <w:sz w:val="24"/>
          <w:szCs w:val="24"/>
        </w:rPr>
        <w:t>5.4.2.2. Verzachtende omstandigheden</w:t>
      </w:r>
      <w:bookmarkEnd w:id="59"/>
    </w:p>
    <w:p w:rsidR="00732B96" w:rsidRDefault="00732B96" w:rsidP="00732B96">
      <w:pPr>
        <w:tabs>
          <w:tab w:val="left" w:pos="0"/>
        </w:tabs>
        <w:spacing w:line="276" w:lineRule="auto"/>
        <w:ind w:left="720"/>
      </w:pPr>
    </w:p>
    <w:p w:rsidR="006D20B6" w:rsidRDefault="006D20B6" w:rsidP="00DC3143">
      <w:pPr>
        <w:pStyle w:val="Lijstalinea"/>
        <w:numPr>
          <w:ilvl w:val="0"/>
          <w:numId w:val="5"/>
        </w:numPr>
        <w:spacing w:line="276" w:lineRule="auto"/>
        <w:rPr>
          <w:szCs w:val="24"/>
          <w:lang w:val="nl-NL"/>
        </w:rPr>
      </w:pPr>
      <w:r>
        <w:rPr>
          <w:szCs w:val="24"/>
          <w:lang w:val="nl-NL"/>
        </w:rPr>
        <w:t>In de brief met grieven van 18 november 2013 stelde het BIPT geen verzachtende omstandigheden vast.</w:t>
      </w:r>
      <w:r w:rsidR="00603CBC">
        <w:rPr>
          <w:szCs w:val="24"/>
          <w:lang w:val="nl-NL"/>
        </w:rPr>
        <w:t xml:space="preserve"> De informatie die Dommel aan het BIPT meedeelde noopt echter tot een herziening van dit standpunt. </w:t>
      </w:r>
    </w:p>
    <w:p w:rsidR="006D20B6" w:rsidRDefault="006D20B6" w:rsidP="006D20B6">
      <w:pPr>
        <w:pStyle w:val="Lijstalinea"/>
        <w:numPr>
          <w:ilvl w:val="0"/>
          <w:numId w:val="0"/>
        </w:numPr>
        <w:spacing w:line="276" w:lineRule="auto"/>
        <w:ind w:left="720"/>
        <w:rPr>
          <w:szCs w:val="24"/>
          <w:lang w:val="nl-NL"/>
        </w:rPr>
      </w:pPr>
    </w:p>
    <w:p w:rsidR="006D20B6" w:rsidRDefault="00BE610F" w:rsidP="00DC3143">
      <w:pPr>
        <w:pStyle w:val="Lijstalinea"/>
        <w:numPr>
          <w:ilvl w:val="0"/>
          <w:numId w:val="5"/>
        </w:numPr>
        <w:spacing w:line="276" w:lineRule="auto"/>
        <w:rPr>
          <w:szCs w:val="24"/>
          <w:lang w:val="nl-NL"/>
        </w:rPr>
      </w:pPr>
      <w:r>
        <w:rPr>
          <w:szCs w:val="24"/>
          <w:lang w:val="nl-NL"/>
        </w:rPr>
        <w:t>Tijdens de hoorzitting verwees Dommel naar het gering aantal klachten tegen haar bij de Ombudsdienst voor telecommu</w:t>
      </w:r>
      <w:r w:rsidR="00AA0C7B">
        <w:rPr>
          <w:szCs w:val="24"/>
          <w:lang w:val="nl-NL"/>
        </w:rPr>
        <w:t>n</w:t>
      </w:r>
      <w:r>
        <w:rPr>
          <w:szCs w:val="24"/>
          <w:lang w:val="nl-NL"/>
        </w:rPr>
        <w:t xml:space="preserve">icatie. </w:t>
      </w:r>
    </w:p>
    <w:p w:rsidR="00BE610F" w:rsidRPr="00BE610F" w:rsidRDefault="00BE610F" w:rsidP="00BE610F">
      <w:pPr>
        <w:pStyle w:val="Lijstalinea"/>
        <w:numPr>
          <w:ilvl w:val="0"/>
          <w:numId w:val="0"/>
        </w:numPr>
        <w:ind w:left="717"/>
        <w:rPr>
          <w:szCs w:val="24"/>
          <w:lang w:val="nl-NL"/>
        </w:rPr>
      </w:pPr>
    </w:p>
    <w:p w:rsidR="00BE610F" w:rsidRDefault="00AA0C7B" w:rsidP="00DC3143">
      <w:pPr>
        <w:pStyle w:val="Lijstalinea"/>
        <w:numPr>
          <w:ilvl w:val="0"/>
          <w:numId w:val="5"/>
        </w:numPr>
        <w:spacing w:line="276" w:lineRule="auto"/>
        <w:rPr>
          <w:szCs w:val="24"/>
          <w:lang w:val="nl-NL"/>
        </w:rPr>
      </w:pPr>
      <w:r>
        <w:rPr>
          <w:szCs w:val="24"/>
          <w:lang w:val="nl-NL"/>
        </w:rPr>
        <w:t>Uit</w:t>
      </w:r>
      <w:r w:rsidR="00BE610F">
        <w:rPr>
          <w:szCs w:val="24"/>
          <w:lang w:val="nl-NL"/>
        </w:rPr>
        <w:t xml:space="preserve"> het jaarverslag van 2012 van de Ombudsdienst voor telecommunicatie blijkt </w:t>
      </w:r>
      <w:r>
        <w:rPr>
          <w:szCs w:val="24"/>
          <w:lang w:val="nl-NL"/>
        </w:rPr>
        <w:t xml:space="preserve">inderdaad </w:t>
      </w:r>
      <w:r w:rsidR="00BE610F">
        <w:rPr>
          <w:szCs w:val="24"/>
          <w:lang w:val="nl-NL"/>
        </w:rPr>
        <w:t>dat het aantal klachten tegen Dommel met meer dan 55% is gedaald</w:t>
      </w:r>
      <w:r w:rsidR="00BE610F">
        <w:rPr>
          <w:rStyle w:val="Voetnootmarkering"/>
          <w:szCs w:val="24"/>
          <w:lang w:val="nl-NL"/>
        </w:rPr>
        <w:footnoteReference w:id="26"/>
      </w:r>
      <w:r w:rsidR="00BE610F">
        <w:rPr>
          <w:szCs w:val="24"/>
          <w:lang w:val="nl-NL"/>
        </w:rPr>
        <w:t>. Deze daling kan als een verzacht</w:t>
      </w:r>
      <w:r w:rsidR="00603CBC">
        <w:rPr>
          <w:szCs w:val="24"/>
          <w:lang w:val="nl-NL"/>
        </w:rPr>
        <w:t>en</w:t>
      </w:r>
      <w:r w:rsidR="00BE610F">
        <w:rPr>
          <w:szCs w:val="24"/>
          <w:lang w:val="nl-NL"/>
        </w:rPr>
        <w:t xml:space="preserve">de omstandigheid in aanmerking genomen worden. </w:t>
      </w:r>
    </w:p>
    <w:p w:rsidR="00BE610F" w:rsidRPr="00BE610F" w:rsidRDefault="00BE610F" w:rsidP="00BE610F">
      <w:pPr>
        <w:pStyle w:val="Lijstalinea"/>
        <w:numPr>
          <w:ilvl w:val="0"/>
          <w:numId w:val="0"/>
        </w:numPr>
        <w:ind w:left="717"/>
        <w:rPr>
          <w:szCs w:val="24"/>
          <w:lang w:val="nl-NL"/>
        </w:rPr>
      </w:pPr>
    </w:p>
    <w:p w:rsidR="00BE610F" w:rsidRDefault="00BE610F" w:rsidP="00DC3143">
      <w:pPr>
        <w:pStyle w:val="Lijstalinea"/>
        <w:numPr>
          <w:ilvl w:val="0"/>
          <w:numId w:val="5"/>
        </w:numPr>
        <w:spacing w:line="276" w:lineRule="auto"/>
        <w:rPr>
          <w:szCs w:val="24"/>
          <w:lang w:val="nl-NL"/>
        </w:rPr>
      </w:pPr>
      <w:r>
        <w:rPr>
          <w:szCs w:val="24"/>
          <w:lang w:val="nl-NL"/>
        </w:rPr>
        <w:lastRenderedPageBreak/>
        <w:t>Dommel heeft op de hoorzitting aan het BIPT een nieuwe versie van haar algemene voorw</w:t>
      </w:r>
      <w:r w:rsidR="00DB377B">
        <w:rPr>
          <w:szCs w:val="24"/>
          <w:lang w:val="nl-NL"/>
        </w:rPr>
        <w:t>a</w:t>
      </w:r>
      <w:r>
        <w:rPr>
          <w:szCs w:val="24"/>
          <w:lang w:val="nl-NL"/>
        </w:rPr>
        <w:t>arden bezorgd. Deze versie is beschikbaar via de gewone commerciële website van Dommel</w:t>
      </w:r>
      <w:r>
        <w:rPr>
          <w:rStyle w:val="Voetnootmarkering"/>
          <w:szCs w:val="24"/>
          <w:lang w:val="nl-NL"/>
        </w:rPr>
        <w:footnoteReference w:id="27"/>
      </w:r>
      <w:r w:rsidR="00AA0C7B">
        <w:rPr>
          <w:szCs w:val="24"/>
          <w:lang w:val="nl-NL"/>
        </w:rPr>
        <w:t xml:space="preserve"> en is daarop op zeer eenvoudige wijze terug te vinden</w:t>
      </w:r>
      <w:r>
        <w:rPr>
          <w:szCs w:val="24"/>
          <w:lang w:val="nl-NL"/>
        </w:rPr>
        <w:t xml:space="preserve">. Zonder deze nieuwe versie in detail geanalyseerd te hebben, stelt het BIPT vast dat de betwiste passages vermeld in de brief met grieven van 18 november 2013 </w:t>
      </w:r>
      <w:r w:rsidR="00AA0C7B">
        <w:rPr>
          <w:szCs w:val="24"/>
          <w:lang w:val="nl-NL"/>
        </w:rPr>
        <w:t>uit</w:t>
      </w:r>
      <w:r>
        <w:rPr>
          <w:szCs w:val="24"/>
          <w:lang w:val="nl-NL"/>
        </w:rPr>
        <w:t xml:space="preserve"> de nieuwe versie </w:t>
      </w:r>
      <w:r w:rsidR="00AA0C7B">
        <w:rPr>
          <w:szCs w:val="24"/>
          <w:lang w:val="nl-NL"/>
        </w:rPr>
        <w:t>verdwenen zijn</w:t>
      </w:r>
      <w:r>
        <w:rPr>
          <w:szCs w:val="24"/>
          <w:lang w:val="nl-NL"/>
        </w:rPr>
        <w:t xml:space="preserve">. De publicatie van deze algemene voorwaarden kan </w:t>
      </w:r>
      <w:r w:rsidR="00603CBC">
        <w:rPr>
          <w:szCs w:val="24"/>
          <w:lang w:val="nl-NL"/>
        </w:rPr>
        <w:t>eveneens</w:t>
      </w:r>
      <w:r>
        <w:rPr>
          <w:szCs w:val="24"/>
          <w:lang w:val="nl-NL"/>
        </w:rPr>
        <w:t xml:space="preserve"> als verzachtend in aanmerking worden genomen. </w:t>
      </w:r>
    </w:p>
    <w:p w:rsidR="00BE610F" w:rsidRPr="00BE610F" w:rsidRDefault="00BE610F" w:rsidP="00BE610F">
      <w:pPr>
        <w:pStyle w:val="Lijstalinea"/>
        <w:numPr>
          <w:ilvl w:val="0"/>
          <w:numId w:val="0"/>
        </w:numPr>
        <w:ind w:left="717"/>
        <w:rPr>
          <w:szCs w:val="24"/>
          <w:lang w:val="nl-NL"/>
        </w:rPr>
      </w:pPr>
    </w:p>
    <w:p w:rsidR="00BE610F" w:rsidRPr="006D20B6" w:rsidRDefault="00BE610F" w:rsidP="00DC3143">
      <w:pPr>
        <w:pStyle w:val="Lijstalinea"/>
        <w:numPr>
          <w:ilvl w:val="0"/>
          <w:numId w:val="5"/>
        </w:numPr>
        <w:spacing w:line="276" w:lineRule="auto"/>
        <w:rPr>
          <w:szCs w:val="24"/>
          <w:lang w:val="nl-NL"/>
        </w:rPr>
      </w:pPr>
      <w:r>
        <w:rPr>
          <w:szCs w:val="24"/>
          <w:lang w:val="nl-NL"/>
        </w:rPr>
        <w:t xml:space="preserve">Tot slot heeft het BIPT vastgesteld dat Dommel </w:t>
      </w:r>
      <w:r w:rsidR="00DB377B">
        <w:rPr>
          <w:szCs w:val="24"/>
          <w:lang w:val="nl-NL"/>
        </w:rPr>
        <w:t>noch in haar schriftelijk antwoord noch tijdens de hoorzitting uitvlucht</w:t>
      </w:r>
      <w:r w:rsidR="005878C9">
        <w:rPr>
          <w:szCs w:val="24"/>
          <w:lang w:val="nl-NL"/>
        </w:rPr>
        <w:t>en</w:t>
      </w:r>
      <w:r w:rsidR="00DB377B">
        <w:rPr>
          <w:szCs w:val="24"/>
          <w:lang w:val="nl-NL"/>
        </w:rPr>
        <w:t xml:space="preserve"> zoekt maar wel haar fouten toegeeft</w:t>
      </w:r>
      <w:r w:rsidR="002B3203">
        <w:rPr>
          <w:szCs w:val="24"/>
          <w:lang w:val="nl-NL"/>
        </w:rPr>
        <w:t xml:space="preserve"> en zich alsnog inspant om deze fouten recht te zetten</w:t>
      </w:r>
      <w:r w:rsidR="00DB377B">
        <w:rPr>
          <w:szCs w:val="24"/>
          <w:lang w:val="nl-NL"/>
        </w:rPr>
        <w:t xml:space="preserve">. Dergelijke houding vergemakkelijkt het onderzoek van het BIPT en kan eveneens als verzachtende omstandigheid in aanmerking worden genomen. </w:t>
      </w:r>
    </w:p>
    <w:p w:rsidR="00732B96" w:rsidRDefault="00732B96" w:rsidP="00732B96"/>
    <w:p w:rsidR="00732B96" w:rsidRPr="0040520C" w:rsidRDefault="00732B96" w:rsidP="00732B96">
      <w:pPr>
        <w:pStyle w:val="Kop3"/>
        <w:spacing w:before="120"/>
        <w:rPr>
          <w:rFonts w:cs="Calibri"/>
          <w:i/>
          <w:color w:val="8DB3E2" w:themeColor="text2" w:themeTint="66"/>
          <w:sz w:val="24"/>
          <w:szCs w:val="24"/>
        </w:rPr>
      </w:pPr>
      <w:bookmarkStart w:id="60" w:name="_Toc376423507"/>
      <w:r w:rsidRPr="0040520C">
        <w:rPr>
          <w:rFonts w:cs="Calibri"/>
          <w:i/>
          <w:color w:val="8DB3E2" w:themeColor="text2" w:themeTint="66"/>
          <w:sz w:val="24"/>
          <w:szCs w:val="24"/>
        </w:rPr>
        <w:t>5.4.2.3. Noodzaak om de boete een afschrikkend karakter te geven</w:t>
      </w:r>
      <w:bookmarkEnd w:id="60"/>
    </w:p>
    <w:p w:rsidR="00732B96" w:rsidRDefault="00732B96" w:rsidP="00732B96">
      <w:pPr>
        <w:tabs>
          <w:tab w:val="left" w:pos="0"/>
        </w:tabs>
        <w:spacing w:line="276" w:lineRule="auto"/>
        <w:ind w:left="720"/>
        <w:rPr>
          <w:lang w:val="nl-NL"/>
        </w:rPr>
      </w:pPr>
    </w:p>
    <w:p w:rsidR="00732B96" w:rsidRPr="002062C1" w:rsidRDefault="00732B96" w:rsidP="00DC3143">
      <w:pPr>
        <w:pStyle w:val="Lijstalinea"/>
        <w:numPr>
          <w:ilvl w:val="0"/>
          <w:numId w:val="5"/>
        </w:numPr>
        <w:spacing w:line="276" w:lineRule="auto"/>
        <w:rPr>
          <w:szCs w:val="24"/>
          <w:lang w:val="nl-NL"/>
        </w:rPr>
      </w:pPr>
      <w:r w:rsidRPr="002062C1">
        <w:rPr>
          <w:szCs w:val="24"/>
          <w:lang w:val="nl-NL"/>
        </w:rPr>
        <w:t>Eén van de functies van een boete bestaat erin de overtreder ertoe aan te zetten om een einde te maken aan de overtreding en/of om niet te recidiveren en om anderen te ontraden eenzelfde gedrag aan te nemen.</w:t>
      </w:r>
    </w:p>
    <w:p w:rsidR="00732B96" w:rsidRDefault="00732B96" w:rsidP="00732B96">
      <w:pPr>
        <w:tabs>
          <w:tab w:val="left" w:pos="0"/>
        </w:tabs>
        <w:spacing w:line="276" w:lineRule="auto"/>
        <w:ind w:left="720"/>
        <w:rPr>
          <w:lang w:val="nl-NL"/>
        </w:rPr>
      </w:pPr>
    </w:p>
    <w:p w:rsidR="00732B96" w:rsidRPr="002062C1" w:rsidRDefault="00732B96" w:rsidP="00DC3143">
      <w:pPr>
        <w:pStyle w:val="Lijstalinea"/>
        <w:numPr>
          <w:ilvl w:val="0"/>
          <w:numId w:val="5"/>
        </w:numPr>
        <w:spacing w:line="276" w:lineRule="auto"/>
        <w:rPr>
          <w:szCs w:val="24"/>
          <w:lang w:val="nl-NL"/>
        </w:rPr>
      </w:pPr>
      <w:r w:rsidRPr="002062C1">
        <w:rPr>
          <w:szCs w:val="24"/>
          <w:lang w:val="nl-NL"/>
        </w:rPr>
        <w:t xml:space="preserve">Teneinde recidive te voorkomen en ontradend te werken, is een administratieve boete alsnog gepast.  </w:t>
      </w:r>
    </w:p>
    <w:p w:rsidR="00732B96" w:rsidRPr="001022D8" w:rsidRDefault="00732B96" w:rsidP="00732B96">
      <w:pPr>
        <w:tabs>
          <w:tab w:val="left" w:pos="0"/>
        </w:tabs>
        <w:spacing w:line="276" w:lineRule="auto"/>
        <w:ind w:left="720"/>
        <w:rPr>
          <w:lang w:val="nl-NL"/>
        </w:rPr>
      </w:pPr>
    </w:p>
    <w:p w:rsidR="00732B96" w:rsidRPr="00B639B7" w:rsidRDefault="00732B96" w:rsidP="00DC3143">
      <w:pPr>
        <w:pStyle w:val="Lijstalinea"/>
        <w:numPr>
          <w:ilvl w:val="0"/>
          <w:numId w:val="5"/>
        </w:numPr>
      </w:pPr>
      <w:r w:rsidRPr="00B639B7">
        <w:t xml:space="preserve">Een administratieve boete opleggen is hierbij aangewezen.  </w:t>
      </w:r>
    </w:p>
    <w:p w:rsidR="00732B96" w:rsidRDefault="00732B96" w:rsidP="00732B96">
      <w:pPr>
        <w:tabs>
          <w:tab w:val="left" w:pos="0"/>
        </w:tabs>
        <w:spacing w:line="276" w:lineRule="auto"/>
        <w:ind w:left="720"/>
        <w:outlineLvl w:val="0"/>
        <w:rPr>
          <w:lang w:val="nl-NL"/>
        </w:rPr>
      </w:pPr>
    </w:p>
    <w:p w:rsidR="00732B96" w:rsidRPr="002062C1" w:rsidRDefault="00732B96" w:rsidP="00DC3143">
      <w:pPr>
        <w:pStyle w:val="Lijstalinea"/>
        <w:numPr>
          <w:ilvl w:val="0"/>
          <w:numId w:val="5"/>
        </w:numPr>
        <w:spacing w:line="276" w:lineRule="auto"/>
        <w:rPr>
          <w:szCs w:val="24"/>
          <w:lang w:val="nl-NL"/>
        </w:rPr>
      </w:pPr>
      <w:r w:rsidRPr="002062C1">
        <w:rPr>
          <w:szCs w:val="24"/>
          <w:lang w:val="nl-NL"/>
        </w:rPr>
        <w:t xml:space="preserve">Tevens dient er op gewezen te worden dat inbreuken door </w:t>
      </w:r>
      <w:r w:rsidR="005878C9">
        <w:rPr>
          <w:szCs w:val="24"/>
          <w:lang w:val="nl-NL"/>
        </w:rPr>
        <w:t xml:space="preserve">Dommel </w:t>
      </w:r>
      <w:r w:rsidRPr="002062C1">
        <w:rPr>
          <w:szCs w:val="24"/>
          <w:lang w:val="nl-NL"/>
        </w:rPr>
        <w:t xml:space="preserve">van </w:t>
      </w:r>
      <w:r w:rsidR="005878C9" w:rsidRPr="005878C9">
        <w:rPr>
          <w:szCs w:val="24"/>
          <w:lang w:val="nl-NL"/>
        </w:rPr>
        <w:t xml:space="preserve">de artikelen 108, § 1, b), 3de en 5de onderdeel, 108, § 1, f), 108, § 2, 110, § 1 en 111/3, §§ 1 en 3, WEC, </w:t>
      </w:r>
      <w:r w:rsidRPr="002062C1">
        <w:rPr>
          <w:szCs w:val="24"/>
          <w:lang w:val="nl-NL"/>
        </w:rPr>
        <w:t>in de verdere toekomst desgevallend aanleiding kunnen geven tot een hogere boete dan deze die in onderhavig besluit is vastgesteld.</w:t>
      </w:r>
    </w:p>
    <w:p w:rsidR="00732B96" w:rsidRDefault="00732B96" w:rsidP="00732B96">
      <w:pPr>
        <w:tabs>
          <w:tab w:val="left" w:pos="0"/>
        </w:tabs>
        <w:spacing w:line="276" w:lineRule="auto"/>
        <w:outlineLvl w:val="0"/>
        <w:rPr>
          <w:lang w:val="nl-NL"/>
        </w:rPr>
      </w:pPr>
    </w:p>
    <w:p w:rsidR="00732B96" w:rsidRDefault="00732B96" w:rsidP="00732B96">
      <w:pPr>
        <w:pStyle w:val="Kop2"/>
        <w:rPr>
          <w:rFonts w:asciiTheme="minorHAnsi" w:eastAsiaTheme="majorEastAsia" w:hAnsiTheme="minorHAnsi" w:cstheme="minorHAnsi"/>
          <w:color w:val="4F81BD" w:themeColor="accent1"/>
          <w:lang w:val="nl-NL"/>
        </w:rPr>
      </w:pPr>
      <w:bookmarkStart w:id="61" w:name="_Toc376423508"/>
      <w:r w:rsidRPr="002C52DD">
        <w:rPr>
          <w:rFonts w:asciiTheme="minorHAnsi" w:eastAsiaTheme="majorEastAsia" w:hAnsiTheme="minorHAnsi" w:cstheme="minorHAnsi"/>
          <w:color w:val="4F81BD" w:themeColor="accent1"/>
          <w:lang w:val="nl-NL"/>
        </w:rPr>
        <w:t>5.5 Besluit betreffende de boete</w:t>
      </w:r>
      <w:bookmarkEnd w:id="61"/>
    </w:p>
    <w:p w:rsidR="00732B96" w:rsidRPr="002C52DD" w:rsidRDefault="00732B96" w:rsidP="00732B96">
      <w:pPr>
        <w:rPr>
          <w:lang w:val="nl-NL"/>
        </w:rPr>
      </w:pPr>
    </w:p>
    <w:p w:rsidR="00732B96" w:rsidRPr="002062C1" w:rsidRDefault="00732B96" w:rsidP="00DC3143">
      <w:pPr>
        <w:pStyle w:val="Lijstalinea"/>
        <w:numPr>
          <w:ilvl w:val="0"/>
          <w:numId w:val="5"/>
        </w:numPr>
        <w:spacing w:line="276" w:lineRule="auto"/>
        <w:rPr>
          <w:szCs w:val="24"/>
          <w:lang w:val="nl-NL"/>
        </w:rPr>
      </w:pPr>
      <w:r w:rsidRPr="002062C1">
        <w:rPr>
          <w:szCs w:val="24"/>
          <w:lang w:val="nl-NL"/>
        </w:rPr>
        <w:t xml:space="preserve">Gelet op het voorgaande </w:t>
      </w:r>
      <w:r>
        <w:rPr>
          <w:szCs w:val="24"/>
          <w:lang w:val="nl-NL"/>
        </w:rPr>
        <w:t>stelt</w:t>
      </w:r>
      <w:r w:rsidRPr="002062C1">
        <w:rPr>
          <w:szCs w:val="24"/>
          <w:lang w:val="nl-NL"/>
        </w:rPr>
        <w:t xml:space="preserve"> het BIPT </w:t>
      </w:r>
      <w:r>
        <w:rPr>
          <w:szCs w:val="24"/>
          <w:lang w:val="nl-NL"/>
        </w:rPr>
        <w:t xml:space="preserve">de </w:t>
      </w:r>
      <w:r w:rsidRPr="002062C1">
        <w:rPr>
          <w:szCs w:val="24"/>
          <w:lang w:val="nl-NL"/>
        </w:rPr>
        <w:t xml:space="preserve">administratieve boete </w:t>
      </w:r>
      <w:r>
        <w:rPr>
          <w:szCs w:val="24"/>
          <w:lang w:val="nl-NL"/>
        </w:rPr>
        <w:t xml:space="preserve">vast </w:t>
      </w:r>
      <w:r w:rsidRPr="002062C1">
        <w:rPr>
          <w:szCs w:val="24"/>
          <w:lang w:val="nl-NL"/>
        </w:rPr>
        <w:t xml:space="preserve">op </w:t>
      </w:r>
      <w:r w:rsidR="007E5D17">
        <w:rPr>
          <w:b/>
          <w:szCs w:val="24"/>
          <w:lang w:val="nl-NL"/>
        </w:rPr>
        <w:t>5.000 (vijf</w:t>
      </w:r>
      <w:r w:rsidR="005878C9" w:rsidRPr="005878C9">
        <w:rPr>
          <w:b/>
          <w:szCs w:val="24"/>
          <w:lang w:val="nl-NL"/>
        </w:rPr>
        <w:t>duizend) euro</w:t>
      </w:r>
      <w:r w:rsidR="005878C9">
        <w:rPr>
          <w:b/>
          <w:szCs w:val="24"/>
          <w:lang w:val="nl-NL"/>
        </w:rPr>
        <w:t>.</w:t>
      </w:r>
    </w:p>
    <w:p w:rsidR="00732B96" w:rsidRDefault="00732B96" w:rsidP="00732B96">
      <w:pPr>
        <w:autoSpaceDE w:val="0"/>
        <w:autoSpaceDN w:val="0"/>
        <w:adjustRightInd w:val="0"/>
        <w:jc w:val="left"/>
        <w:rPr>
          <w:rFonts w:cs="Cambria"/>
          <w:color w:val="000000"/>
          <w:lang w:eastAsia="fr-BE"/>
        </w:rPr>
      </w:pPr>
    </w:p>
    <w:p w:rsidR="00732B96" w:rsidRDefault="00732B96" w:rsidP="00732B96">
      <w:pPr>
        <w:pStyle w:val="Kop2"/>
        <w:rPr>
          <w:rFonts w:asciiTheme="minorHAnsi" w:eastAsiaTheme="majorEastAsia" w:hAnsiTheme="minorHAnsi" w:cstheme="minorHAnsi"/>
          <w:color w:val="4F81BD" w:themeColor="accent1"/>
          <w:lang w:val="nl-NL"/>
        </w:rPr>
      </w:pPr>
      <w:bookmarkStart w:id="62" w:name="_Toc376423509"/>
      <w:r w:rsidRPr="002C52DD">
        <w:rPr>
          <w:rFonts w:asciiTheme="minorHAnsi" w:eastAsiaTheme="majorEastAsia" w:hAnsiTheme="minorHAnsi" w:cstheme="minorHAnsi"/>
          <w:color w:val="4F81BD" w:themeColor="accent1"/>
          <w:lang w:val="nl-NL"/>
        </w:rPr>
        <w:t>5.6 Slotopmerking</w:t>
      </w:r>
      <w:bookmarkEnd w:id="62"/>
    </w:p>
    <w:p w:rsidR="00732B96" w:rsidRPr="002C52DD" w:rsidRDefault="00732B96" w:rsidP="00732B96">
      <w:pPr>
        <w:rPr>
          <w:lang w:val="nl-NL"/>
        </w:rPr>
      </w:pPr>
    </w:p>
    <w:p w:rsidR="00732B96" w:rsidRPr="002062C1" w:rsidRDefault="00732B96" w:rsidP="00DC3143">
      <w:pPr>
        <w:pStyle w:val="Lijstalinea"/>
        <w:numPr>
          <w:ilvl w:val="0"/>
          <w:numId w:val="5"/>
        </w:numPr>
        <w:spacing w:line="276" w:lineRule="auto"/>
        <w:rPr>
          <w:szCs w:val="24"/>
          <w:lang w:val="nl-NL"/>
        </w:rPr>
      </w:pPr>
      <w:r w:rsidRPr="002062C1">
        <w:rPr>
          <w:szCs w:val="24"/>
          <w:lang w:val="nl-NL"/>
        </w:rPr>
        <w:t xml:space="preserve">Het opleggen van de boete betekent niet dat </w:t>
      </w:r>
      <w:r w:rsidR="005878C9">
        <w:rPr>
          <w:szCs w:val="24"/>
          <w:lang w:val="nl-NL"/>
        </w:rPr>
        <w:t>Dommel</w:t>
      </w:r>
      <w:r w:rsidRPr="002062C1">
        <w:rPr>
          <w:szCs w:val="24"/>
          <w:lang w:val="nl-NL"/>
        </w:rPr>
        <w:t xml:space="preserve"> vrijgesteld is van het nemen van maatregelen om </w:t>
      </w:r>
      <w:r w:rsidR="005878C9" w:rsidRPr="005878C9">
        <w:rPr>
          <w:szCs w:val="24"/>
          <w:lang w:val="nl-NL"/>
        </w:rPr>
        <w:t>de artikelen 108, § 1, b), 3de en 5de onderdeel, 108, § 1, f), 108, § 2, 110, § 1 en 111/3, §§ 1 en 3, WEC,</w:t>
      </w:r>
      <w:r w:rsidRPr="002062C1">
        <w:rPr>
          <w:szCs w:val="24"/>
          <w:lang w:val="nl-NL"/>
        </w:rPr>
        <w:t xml:space="preserve"> alsnog na te leven</w:t>
      </w:r>
      <w:r w:rsidRPr="00C57E51">
        <w:rPr>
          <w:rStyle w:val="Voetnootmarkering"/>
          <w:rFonts w:cs="Times New Roman"/>
          <w:noProof w:val="0"/>
          <w:szCs w:val="22"/>
          <w:lang w:eastAsia="en-US"/>
        </w:rPr>
        <w:footnoteReference w:id="28"/>
      </w:r>
      <w:r w:rsidRPr="00C57E51">
        <w:rPr>
          <w:rStyle w:val="Voetnootmarkering"/>
          <w:rFonts w:cs="Times New Roman"/>
          <w:noProof w:val="0"/>
          <w:szCs w:val="22"/>
          <w:lang w:eastAsia="en-US"/>
        </w:rPr>
        <w:t xml:space="preserve"> </w:t>
      </w:r>
      <w:r w:rsidRPr="002062C1">
        <w:rPr>
          <w:szCs w:val="24"/>
          <w:lang w:val="nl-NL"/>
        </w:rPr>
        <w:t>.</w:t>
      </w:r>
    </w:p>
    <w:p w:rsidR="00732B96" w:rsidRDefault="00732B96" w:rsidP="00732B96">
      <w:pPr>
        <w:autoSpaceDE w:val="0"/>
        <w:autoSpaceDN w:val="0"/>
        <w:adjustRightInd w:val="0"/>
        <w:jc w:val="left"/>
        <w:rPr>
          <w:rFonts w:cs="Cambria"/>
          <w:color w:val="000000"/>
          <w:lang w:eastAsia="fr-BE"/>
        </w:rPr>
      </w:pPr>
    </w:p>
    <w:p w:rsidR="007E5D17" w:rsidRDefault="007E5D17" w:rsidP="00732B96">
      <w:pPr>
        <w:autoSpaceDE w:val="0"/>
        <w:autoSpaceDN w:val="0"/>
        <w:adjustRightInd w:val="0"/>
        <w:jc w:val="left"/>
        <w:rPr>
          <w:rFonts w:cs="Cambria"/>
          <w:color w:val="000000"/>
          <w:lang w:eastAsia="fr-BE"/>
        </w:rPr>
      </w:pPr>
    </w:p>
    <w:p w:rsidR="00732B96" w:rsidRPr="007E5D17" w:rsidRDefault="00732B96" w:rsidP="00732B96">
      <w:pPr>
        <w:pStyle w:val="Kop1"/>
        <w:rPr>
          <w:rFonts w:asciiTheme="minorHAnsi" w:eastAsiaTheme="majorEastAsia" w:hAnsiTheme="minorHAnsi" w:cstheme="minorHAnsi"/>
          <w:color w:val="365F91" w:themeColor="accent1" w:themeShade="BF"/>
          <w:lang w:val="nl-NL"/>
        </w:rPr>
      </w:pPr>
      <w:bookmarkStart w:id="63" w:name="_Toc376423510"/>
      <w:r w:rsidRPr="002C52DD">
        <w:rPr>
          <w:rFonts w:asciiTheme="minorHAnsi" w:eastAsiaTheme="majorEastAsia" w:hAnsiTheme="minorHAnsi" w:cstheme="minorHAnsi"/>
          <w:color w:val="365F91" w:themeColor="accent1" w:themeShade="BF"/>
          <w:lang w:val="nl-NL"/>
        </w:rPr>
        <w:lastRenderedPageBreak/>
        <w:t>BESLUIT</w:t>
      </w:r>
      <w:bookmarkEnd w:id="63"/>
    </w:p>
    <w:p w:rsidR="00732B96" w:rsidRDefault="00732B96" w:rsidP="00732B96">
      <w:pPr>
        <w:tabs>
          <w:tab w:val="left" w:pos="0"/>
        </w:tabs>
        <w:spacing w:line="276" w:lineRule="auto"/>
        <w:outlineLvl w:val="0"/>
        <w:rPr>
          <w:lang w:val="nl-NL"/>
        </w:rPr>
      </w:pPr>
    </w:p>
    <w:p w:rsidR="00732B96" w:rsidRDefault="00732B96" w:rsidP="00DC3143">
      <w:pPr>
        <w:pStyle w:val="Lijstalinea"/>
        <w:numPr>
          <w:ilvl w:val="0"/>
          <w:numId w:val="5"/>
        </w:numPr>
      </w:pPr>
      <w:r w:rsidRPr="00B639B7">
        <w:t>Het Belgisch Instituut voor postdiensten en telecommunicatie,</w:t>
      </w:r>
    </w:p>
    <w:p w:rsidR="00074194" w:rsidRPr="00B639B7" w:rsidRDefault="00074194" w:rsidP="00074194">
      <w:pPr>
        <w:pStyle w:val="Lijstalinea"/>
        <w:numPr>
          <w:ilvl w:val="0"/>
          <w:numId w:val="0"/>
        </w:numPr>
        <w:ind w:left="720"/>
      </w:pPr>
    </w:p>
    <w:p w:rsidR="00732B96" w:rsidRPr="001022D8" w:rsidRDefault="00732B96" w:rsidP="00732B96">
      <w:pPr>
        <w:tabs>
          <w:tab w:val="left" w:pos="0"/>
        </w:tabs>
        <w:spacing w:line="276" w:lineRule="auto"/>
        <w:jc w:val="left"/>
        <w:rPr>
          <w:lang w:val="nl-NL"/>
        </w:rPr>
      </w:pPr>
    </w:p>
    <w:p w:rsidR="00732B96" w:rsidRPr="00074194" w:rsidRDefault="00732B96" w:rsidP="00DC3143">
      <w:pPr>
        <w:pStyle w:val="Lijstalinea"/>
        <w:numPr>
          <w:ilvl w:val="0"/>
          <w:numId w:val="4"/>
        </w:numPr>
        <w:tabs>
          <w:tab w:val="left" w:pos="0"/>
        </w:tabs>
        <w:spacing w:line="276" w:lineRule="auto"/>
        <w:ind w:left="1985" w:hanging="567"/>
        <w:jc w:val="left"/>
        <w:outlineLvl w:val="0"/>
        <w:rPr>
          <w:lang w:val="nl-NL"/>
        </w:rPr>
      </w:pPr>
      <w:bookmarkStart w:id="64" w:name="_Toc343673760"/>
      <w:bookmarkStart w:id="65" w:name="_Toc376423511"/>
      <w:r w:rsidRPr="00680D2A">
        <w:t xml:space="preserve">gelet op </w:t>
      </w:r>
      <w:r w:rsidR="005878C9" w:rsidRPr="005878C9">
        <w:t>de artikelen 108, § 1, b), 3de en 5de onderdeel, 108, § 1, f), 108, § 2, 110, § 1 en 111/3, §§ 1 en 3, WEC</w:t>
      </w:r>
      <w:bookmarkEnd w:id="64"/>
      <w:r w:rsidR="005878C9">
        <w:t>;</w:t>
      </w:r>
      <w:bookmarkEnd w:id="65"/>
      <w:r>
        <w:t xml:space="preserve"> </w:t>
      </w:r>
      <w:r w:rsidRPr="00074194">
        <w:rPr>
          <w:lang w:val="nl-NL"/>
        </w:rPr>
        <w:br/>
      </w:r>
    </w:p>
    <w:p w:rsidR="00732B96" w:rsidRPr="00074194" w:rsidRDefault="00732B96" w:rsidP="00DC3143">
      <w:pPr>
        <w:pStyle w:val="Lijstalinea"/>
        <w:numPr>
          <w:ilvl w:val="0"/>
          <w:numId w:val="4"/>
        </w:numPr>
        <w:tabs>
          <w:tab w:val="left" w:pos="0"/>
        </w:tabs>
        <w:spacing w:line="276" w:lineRule="auto"/>
        <w:ind w:left="1985" w:hanging="567"/>
        <w:jc w:val="left"/>
        <w:rPr>
          <w:lang w:val="nl-NL"/>
        </w:rPr>
      </w:pPr>
      <w:r w:rsidRPr="00074194">
        <w:rPr>
          <w:lang w:val="nl-NL"/>
        </w:rPr>
        <w:t xml:space="preserve">gelet op artikel 21 van de </w:t>
      </w:r>
      <w:r w:rsidR="002B3203">
        <w:rPr>
          <w:lang w:val="nl-NL"/>
        </w:rPr>
        <w:t>BIPT-</w:t>
      </w:r>
      <w:r w:rsidRPr="00074194">
        <w:rPr>
          <w:lang w:val="nl-NL"/>
        </w:rPr>
        <w:t>wet;</w:t>
      </w:r>
      <w:r w:rsidRPr="00074194">
        <w:rPr>
          <w:lang w:val="nl-NL"/>
        </w:rPr>
        <w:br/>
      </w:r>
    </w:p>
    <w:p w:rsidR="00732B96" w:rsidRPr="00074194" w:rsidRDefault="00732B96" w:rsidP="00DC3143">
      <w:pPr>
        <w:pStyle w:val="Lijstalinea"/>
        <w:numPr>
          <w:ilvl w:val="0"/>
          <w:numId w:val="4"/>
        </w:numPr>
        <w:tabs>
          <w:tab w:val="left" w:pos="0"/>
        </w:tabs>
        <w:spacing w:line="276" w:lineRule="auto"/>
        <w:ind w:left="1985" w:hanging="567"/>
        <w:jc w:val="left"/>
        <w:rPr>
          <w:lang w:val="nl-NL"/>
        </w:rPr>
      </w:pPr>
      <w:r w:rsidRPr="00074194">
        <w:rPr>
          <w:lang w:val="nl-NL"/>
        </w:rPr>
        <w:t xml:space="preserve">na op </w:t>
      </w:r>
      <w:r w:rsidR="005878C9">
        <w:rPr>
          <w:lang w:val="nl-NL"/>
        </w:rPr>
        <w:t>18</w:t>
      </w:r>
      <w:r w:rsidRPr="00074194">
        <w:rPr>
          <w:lang w:val="nl-NL"/>
        </w:rPr>
        <w:t xml:space="preserve"> </w:t>
      </w:r>
      <w:r w:rsidR="005878C9">
        <w:rPr>
          <w:lang w:val="nl-NL"/>
        </w:rPr>
        <w:t>november 2013</w:t>
      </w:r>
      <w:r w:rsidRPr="00074194">
        <w:rPr>
          <w:lang w:val="nl-NL"/>
        </w:rPr>
        <w:t xml:space="preserve"> de grieven, waarvan sprake in artikel 21, §1, van de </w:t>
      </w:r>
      <w:r w:rsidR="002B3203">
        <w:rPr>
          <w:lang w:val="nl-NL"/>
        </w:rPr>
        <w:t>BIPT-</w:t>
      </w:r>
      <w:r w:rsidRPr="00074194">
        <w:rPr>
          <w:lang w:val="nl-NL"/>
        </w:rPr>
        <w:t xml:space="preserve">wet te hebben meegedeeld aan </w:t>
      </w:r>
      <w:r w:rsidR="005878C9">
        <w:rPr>
          <w:lang w:val="nl-NL"/>
        </w:rPr>
        <w:t>Dommel</w:t>
      </w:r>
      <w:r w:rsidRPr="00074194">
        <w:rPr>
          <w:lang w:val="nl-NL"/>
        </w:rPr>
        <w:t xml:space="preserve">, alsmede een beoogd bedrag van de administratieve boete; </w:t>
      </w:r>
    </w:p>
    <w:p w:rsidR="00732B96" w:rsidRPr="001022D8" w:rsidRDefault="00732B96" w:rsidP="00603CBC">
      <w:pPr>
        <w:tabs>
          <w:tab w:val="left" w:pos="0"/>
        </w:tabs>
        <w:spacing w:line="276" w:lineRule="auto"/>
        <w:ind w:left="1985" w:hanging="567"/>
        <w:jc w:val="left"/>
        <w:rPr>
          <w:lang w:val="nl-NL"/>
        </w:rPr>
      </w:pPr>
    </w:p>
    <w:p w:rsidR="00074194" w:rsidRPr="00603CBC" w:rsidRDefault="00732B96" w:rsidP="00DC3143">
      <w:pPr>
        <w:pStyle w:val="Lijstalinea"/>
        <w:numPr>
          <w:ilvl w:val="0"/>
          <w:numId w:val="4"/>
        </w:numPr>
        <w:tabs>
          <w:tab w:val="left" w:pos="0"/>
        </w:tabs>
        <w:spacing w:line="276" w:lineRule="auto"/>
        <w:ind w:left="1985" w:hanging="567"/>
        <w:jc w:val="left"/>
        <w:rPr>
          <w:lang w:val="nl-NL"/>
        </w:rPr>
      </w:pPr>
      <w:bookmarkStart w:id="66" w:name="_Toc343673761"/>
      <w:r w:rsidRPr="00603CBC">
        <w:rPr>
          <w:lang w:val="nl-NL"/>
        </w:rPr>
        <w:t xml:space="preserve">na </w:t>
      </w:r>
      <w:r w:rsidR="005878C9" w:rsidRPr="00603CBC">
        <w:rPr>
          <w:lang w:val="nl-NL"/>
        </w:rPr>
        <w:t>Dommel</w:t>
      </w:r>
      <w:r w:rsidRPr="00603CBC">
        <w:rPr>
          <w:lang w:val="nl-NL"/>
        </w:rPr>
        <w:t xml:space="preserve"> naar behoren mondeling en schriftelijk te hebben gehoord;</w:t>
      </w:r>
      <w:bookmarkEnd w:id="66"/>
      <w:r w:rsidRPr="00603CBC">
        <w:rPr>
          <w:lang w:val="nl-NL"/>
        </w:rPr>
        <w:br/>
      </w:r>
      <w:bookmarkStart w:id="67" w:name="_Toc343673762"/>
    </w:p>
    <w:p w:rsidR="00732B96" w:rsidRPr="00074194" w:rsidRDefault="00732B96" w:rsidP="00DC3143">
      <w:pPr>
        <w:pStyle w:val="Lijstalinea"/>
        <w:numPr>
          <w:ilvl w:val="0"/>
          <w:numId w:val="4"/>
        </w:numPr>
        <w:tabs>
          <w:tab w:val="left" w:pos="0"/>
        </w:tabs>
        <w:spacing w:line="276" w:lineRule="auto"/>
        <w:ind w:left="1985" w:hanging="567"/>
        <w:jc w:val="left"/>
        <w:rPr>
          <w:lang w:val="nl-NL"/>
        </w:rPr>
      </w:pPr>
      <w:r w:rsidRPr="00074194">
        <w:rPr>
          <w:lang w:val="nl-NL"/>
        </w:rPr>
        <w:t xml:space="preserve">na de debatten te hebben gesloten op </w:t>
      </w:r>
      <w:r w:rsidR="005878C9">
        <w:rPr>
          <w:lang w:val="nl-NL"/>
        </w:rPr>
        <w:t>12 december 2012</w:t>
      </w:r>
      <w:r w:rsidRPr="00074194">
        <w:rPr>
          <w:lang w:val="nl-NL"/>
        </w:rPr>
        <w:t>;</w:t>
      </w:r>
      <w:bookmarkEnd w:id="67"/>
    </w:p>
    <w:p w:rsidR="00732B96" w:rsidRPr="001022D8" w:rsidRDefault="00732B96" w:rsidP="00732B96">
      <w:pPr>
        <w:tabs>
          <w:tab w:val="left" w:pos="0"/>
        </w:tabs>
        <w:spacing w:line="276" w:lineRule="auto"/>
        <w:rPr>
          <w:lang w:val="nl-NL"/>
        </w:rPr>
      </w:pPr>
    </w:p>
    <w:p w:rsidR="00732B96" w:rsidRPr="00593355" w:rsidRDefault="00732B96" w:rsidP="005878C9">
      <w:pPr>
        <w:tabs>
          <w:tab w:val="left" w:pos="0"/>
        </w:tabs>
        <w:spacing w:line="276" w:lineRule="auto"/>
        <w:ind w:left="709"/>
        <w:outlineLvl w:val="0"/>
        <w:rPr>
          <w:lang w:val="nl-NL"/>
        </w:rPr>
      </w:pPr>
      <w:bookmarkStart w:id="68" w:name="_Toc343673763"/>
      <w:bookmarkStart w:id="69" w:name="_Toc376423512"/>
      <w:r>
        <w:rPr>
          <w:lang w:val="nl-NL"/>
        </w:rPr>
        <w:t xml:space="preserve">1. </w:t>
      </w:r>
      <w:r w:rsidRPr="00593355">
        <w:rPr>
          <w:lang w:val="nl-NL"/>
        </w:rPr>
        <w:t xml:space="preserve">stelt vast dat </w:t>
      </w:r>
      <w:r w:rsidR="005878C9">
        <w:rPr>
          <w:lang w:val="nl-NL"/>
        </w:rPr>
        <w:t>Dommel</w:t>
      </w:r>
      <w:r w:rsidRPr="00593355">
        <w:rPr>
          <w:lang w:val="nl-NL"/>
        </w:rPr>
        <w:t xml:space="preserve"> een inbreuk heeft begaan op </w:t>
      </w:r>
      <w:r w:rsidR="005878C9" w:rsidRPr="005878C9">
        <w:rPr>
          <w:lang w:val="nl-NL"/>
        </w:rPr>
        <w:t>de artikelen 108, § 1, b), 3de en 5de onderdeel, 108, § 1, f), 108, § 2, 110, § 1 en 111/3, §§ 1 en 3, WEC</w:t>
      </w:r>
      <w:r w:rsidRPr="00593355">
        <w:rPr>
          <w:lang w:val="nl-NL"/>
        </w:rPr>
        <w:t>;</w:t>
      </w:r>
      <w:bookmarkEnd w:id="68"/>
      <w:bookmarkEnd w:id="69"/>
    </w:p>
    <w:p w:rsidR="00732B96" w:rsidRDefault="00732B96" w:rsidP="00732B96">
      <w:pPr>
        <w:tabs>
          <w:tab w:val="left" w:pos="0"/>
        </w:tabs>
        <w:spacing w:line="276" w:lineRule="auto"/>
        <w:ind w:left="360"/>
        <w:outlineLvl w:val="0"/>
      </w:pPr>
    </w:p>
    <w:p w:rsidR="00732B96" w:rsidRPr="00593355" w:rsidRDefault="00732B96" w:rsidP="002B3203">
      <w:pPr>
        <w:tabs>
          <w:tab w:val="left" w:pos="0"/>
        </w:tabs>
        <w:spacing w:line="276" w:lineRule="auto"/>
        <w:ind w:left="709"/>
        <w:outlineLvl w:val="0"/>
        <w:rPr>
          <w:lang w:val="nl-NL"/>
        </w:rPr>
      </w:pPr>
      <w:bookmarkStart w:id="70" w:name="_Toc343673764"/>
      <w:bookmarkStart w:id="71" w:name="_Toc376423513"/>
      <w:r>
        <w:rPr>
          <w:lang w:val="nl-NL"/>
        </w:rPr>
        <w:t xml:space="preserve">2. </w:t>
      </w:r>
      <w:r w:rsidRPr="00593355">
        <w:rPr>
          <w:lang w:val="nl-NL"/>
        </w:rPr>
        <w:t xml:space="preserve">legt om die reden en overeenkomstig artikel 21 van de </w:t>
      </w:r>
      <w:r w:rsidR="002B3203">
        <w:rPr>
          <w:lang w:val="nl-NL"/>
        </w:rPr>
        <w:t>BIPT-</w:t>
      </w:r>
      <w:r w:rsidRPr="00593355">
        <w:rPr>
          <w:lang w:val="nl-NL"/>
        </w:rPr>
        <w:t>wet</w:t>
      </w:r>
      <w:bookmarkStart w:id="72" w:name="_Toc343673766"/>
      <w:bookmarkStart w:id="73" w:name="_Toc376423515"/>
      <w:bookmarkEnd w:id="70"/>
      <w:bookmarkEnd w:id="71"/>
      <w:r w:rsidRPr="00593355">
        <w:rPr>
          <w:lang w:val="nl-NL"/>
        </w:rPr>
        <w:t xml:space="preserve">, een administratieve boete op aan </w:t>
      </w:r>
      <w:r w:rsidR="005878C9">
        <w:rPr>
          <w:lang w:val="nl-NL"/>
        </w:rPr>
        <w:t>Dommel</w:t>
      </w:r>
      <w:r w:rsidRPr="00593355">
        <w:rPr>
          <w:lang w:val="nl-NL"/>
        </w:rPr>
        <w:t xml:space="preserve"> ten bedrage van </w:t>
      </w:r>
      <w:bookmarkStart w:id="74" w:name="_Toc343673767"/>
      <w:bookmarkEnd w:id="72"/>
      <w:r w:rsidR="007E5D17">
        <w:rPr>
          <w:b/>
          <w:lang w:val="nl-NL"/>
        </w:rPr>
        <w:t xml:space="preserve">5.000 </w:t>
      </w:r>
      <w:r w:rsidRPr="00DE7375">
        <w:rPr>
          <w:b/>
          <w:lang w:val="nl-NL"/>
        </w:rPr>
        <w:t>(</w:t>
      </w:r>
      <w:r w:rsidR="007E5D17">
        <w:rPr>
          <w:b/>
          <w:lang w:val="nl-NL"/>
        </w:rPr>
        <w:t>vijf</w:t>
      </w:r>
      <w:r w:rsidRPr="00DE7375">
        <w:rPr>
          <w:b/>
          <w:lang w:val="nl-NL"/>
        </w:rPr>
        <w:t>duizend) euro</w:t>
      </w:r>
      <w:r w:rsidRPr="00593355">
        <w:rPr>
          <w:lang w:val="nl-NL"/>
        </w:rPr>
        <w:t>;</w:t>
      </w:r>
      <w:bookmarkEnd w:id="73"/>
      <w:bookmarkEnd w:id="74"/>
      <w:r w:rsidRPr="00593355">
        <w:rPr>
          <w:lang w:val="nl-NL"/>
        </w:rPr>
        <w:t xml:space="preserve"> </w:t>
      </w:r>
    </w:p>
    <w:p w:rsidR="00732B96" w:rsidRPr="00593355" w:rsidRDefault="00732B96" w:rsidP="00732B96">
      <w:pPr>
        <w:tabs>
          <w:tab w:val="left" w:pos="0"/>
        </w:tabs>
        <w:spacing w:line="276" w:lineRule="auto"/>
        <w:outlineLvl w:val="0"/>
        <w:rPr>
          <w:lang w:val="nl-NL"/>
        </w:rPr>
      </w:pPr>
    </w:p>
    <w:p w:rsidR="00732B96" w:rsidRPr="00593355" w:rsidRDefault="00074194" w:rsidP="00732B96">
      <w:pPr>
        <w:tabs>
          <w:tab w:val="left" w:pos="0"/>
        </w:tabs>
        <w:spacing w:line="276" w:lineRule="auto"/>
        <w:outlineLvl w:val="0"/>
        <w:rPr>
          <w:lang w:val="nl-NL"/>
        </w:rPr>
      </w:pPr>
      <w:bookmarkStart w:id="75" w:name="_Toc343673768"/>
      <w:r>
        <w:rPr>
          <w:lang w:val="nl-NL"/>
        </w:rPr>
        <w:tab/>
      </w:r>
      <w:bookmarkStart w:id="76" w:name="_Toc376423516"/>
      <w:r w:rsidR="00732B96" w:rsidRPr="00593355">
        <w:rPr>
          <w:lang w:val="nl-NL"/>
        </w:rPr>
        <w:t>3. beveelt dat dit bedrag binnen 60 dagen na ontvangst van dit besluit betaald dient te</w:t>
      </w:r>
      <w:bookmarkEnd w:id="75"/>
      <w:bookmarkEnd w:id="76"/>
    </w:p>
    <w:p w:rsidR="00732B96" w:rsidRPr="00593355" w:rsidRDefault="00074194" w:rsidP="00732B96">
      <w:pPr>
        <w:tabs>
          <w:tab w:val="left" w:pos="0"/>
        </w:tabs>
        <w:spacing w:line="276" w:lineRule="auto"/>
        <w:outlineLvl w:val="0"/>
        <w:rPr>
          <w:lang w:val="nl-NL"/>
        </w:rPr>
      </w:pPr>
      <w:bookmarkStart w:id="77" w:name="_Toc343673769"/>
      <w:r>
        <w:rPr>
          <w:lang w:val="nl-NL"/>
        </w:rPr>
        <w:tab/>
      </w:r>
      <w:bookmarkStart w:id="78" w:name="_Toc376423517"/>
      <w:r w:rsidR="00732B96" w:rsidRPr="00593355">
        <w:rPr>
          <w:lang w:val="nl-NL"/>
        </w:rPr>
        <w:t>worden door overschrijving op rekeningnummer IBAN: BE63 6792 0058 7108 – BIC:</w:t>
      </w:r>
      <w:bookmarkEnd w:id="77"/>
      <w:bookmarkEnd w:id="78"/>
    </w:p>
    <w:p w:rsidR="00732B96" w:rsidRPr="00593355" w:rsidRDefault="00074194" w:rsidP="00732B96">
      <w:pPr>
        <w:tabs>
          <w:tab w:val="left" w:pos="0"/>
        </w:tabs>
        <w:spacing w:line="276" w:lineRule="auto"/>
        <w:outlineLvl w:val="0"/>
        <w:rPr>
          <w:lang w:val="nl-NL"/>
        </w:rPr>
      </w:pPr>
      <w:bookmarkStart w:id="79" w:name="_Toc343673770"/>
      <w:r>
        <w:rPr>
          <w:lang w:val="nl-NL"/>
        </w:rPr>
        <w:tab/>
      </w:r>
      <w:bookmarkStart w:id="80" w:name="_Toc376423518"/>
      <w:r w:rsidR="00732B96" w:rsidRPr="00593355">
        <w:rPr>
          <w:lang w:val="nl-NL"/>
        </w:rPr>
        <w:t>PCHQBEBB op naam van de FOD Economie – Algemene ontvangstenrekening met als</w:t>
      </w:r>
      <w:bookmarkEnd w:id="79"/>
      <w:bookmarkEnd w:id="80"/>
    </w:p>
    <w:p w:rsidR="00732B96" w:rsidRDefault="00732B96" w:rsidP="005878C9">
      <w:pPr>
        <w:tabs>
          <w:tab w:val="left" w:pos="0"/>
        </w:tabs>
        <w:spacing w:line="276" w:lineRule="auto"/>
        <w:ind w:left="709"/>
        <w:outlineLvl w:val="0"/>
        <w:rPr>
          <w:lang w:val="nl-NL"/>
        </w:rPr>
      </w:pPr>
      <w:bookmarkStart w:id="81" w:name="_Toc343673771"/>
      <w:bookmarkStart w:id="82" w:name="_Toc376423519"/>
      <w:r w:rsidRPr="00593355">
        <w:rPr>
          <w:lang w:val="nl-NL"/>
        </w:rPr>
        <w:t xml:space="preserve">mededeling “BIPT-boete aan </w:t>
      </w:r>
      <w:r w:rsidR="005878C9">
        <w:rPr>
          <w:lang w:val="nl-NL"/>
        </w:rPr>
        <w:t>Dommel</w:t>
      </w:r>
      <w:r w:rsidRPr="00593355">
        <w:rPr>
          <w:lang w:val="nl-NL"/>
        </w:rPr>
        <w:t xml:space="preserve"> – niet-naleving </w:t>
      </w:r>
      <w:r w:rsidR="005878C9" w:rsidRPr="005878C9">
        <w:rPr>
          <w:lang w:val="nl-NL"/>
        </w:rPr>
        <w:t>artikelen 108, § 1, b), 3de en 5de onderdeel, 108, § 1, f), 108, § 2, 110, § 1 en 111/3, §§ 1 en 3, WEC</w:t>
      </w:r>
      <w:r w:rsidRPr="00593355">
        <w:rPr>
          <w:lang w:val="nl-NL"/>
        </w:rPr>
        <w:t>”</w:t>
      </w:r>
      <w:r>
        <w:rPr>
          <w:lang w:val="nl-NL"/>
        </w:rPr>
        <w:t>.</w:t>
      </w:r>
      <w:bookmarkEnd w:id="81"/>
      <w:bookmarkEnd w:id="82"/>
      <w:r>
        <w:rPr>
          <w:lang w:val="nl-NL"/>
        </w:rPr>
        <w:t xml:space="preserve"> </w:t>
      </w:r>
    </w:p>
    <w:p w:rsidR="00732B96" w:rsidRPr="00593355" w:rsidRDefault="00732B96" w:rsidP="00732B96">
      <w:pPr>
        <w:tabs>
          <w:tab w:val="left" w:pos="0"/>
        </w:tabs>
        <w:spacing w:line="276" w:lineRule="auto"/>
        <w:outlineLvl w:val="0"/>
        <w:rPr>
          <w:lang w:val="nl-NL"/>
        </w:rPr>
      </w:pPr>
    </w:p>
    <w:p w:rsidR="00732B96" w:rsidRDefault="00732B96" w:rsidP="00732B96">
      <w:pPr>
        <w:pStyle w:val="Kop1"/>
        <w:rPr>
          <w:rFonts w:asciiTheme="minorHAnsi" w:eastAsiaTheme="majorEastAsia" w:hAnsiTheme="minorHAnsi" w:cstheme="minorHAnsi"/>
          <w:color w:val="365F91" w:themeColor="accent1" w:themeShade="BF"/>
          <w:lang w:val="nl-NL"/>
        </w:rPr>
      </w:pPr>
      <w:bookmarkStart w:id="83" w:name="_Toc376423520"/>
      <w:r w:rsidRPr="002C52DD">
        <w:rPr>
          <w:rFonts w:asciiTheme="minorHAnsi" w:eastAsiaTheme="majorEastAsia" w:hAnsiTheme="minorHAnsi" w:cstheme="minorHAnsi"/>
          <w:color w:val="365F91" w:themeColor="accent1" w:themeShade="BF"/>
          <w:lang w:val="nl-NL"/>
        </w:rPr>
        <w:t>KENNISGEVING EN PUBLICATIE VAN HET BESLUIT</w:t>
      </w:r>
      <w:bookmarkEnd w:id="83"/>
    </w:p>
    <w:p w:rsidR="00732B96" w:rsidRPr="002C52DD" w:rsidRDefault="00732B96" w:rsidP="00732B96">
      <w:pPr>
        <w:widowControl w:val="0"/>
        <w:autoSpaceDE w:val="0"/>
        <w:autoSpaceDN w:val="0"/>
        <w:adjustRightInd w:val="0"/>
        <w:spacing w:line="276" w:lineRule="auto"/>
      </w:pPr>
    </w:p>
    <w:p w:rsidR="00732B96" w:rsidRDefault="00732B96" w:rsidP="00DC3143">
      <w:pPr>
        <w:pStyle w:val="Lijstalinea"/>
        <w:numPr>
          <w:ilvl w:val="0"/>
          <w:numId w:val="5"/>
        </w:numPr>
        <w:spacing w:line="276" w:lineRule="auto"/>
        <w:rPr>
          <w:szCs w:val="24"/>
          <w:lang w:val="nl-NL"/>
        </w:rPr>
      </w:pPr>
      <w:r w:rsidRPr="002062C1">
        <w:rPr>
          <w:szCs w:val="24"/>
          <w:lang w:val="nl-NL"/>
        </w:rPr>
        <w:t xml:space="preserve">Krachtens artikel 21, § 5, van de </w:t>
      </w:r>
      <w:r w:rsidR="002B3203">
        <w:rPr>
          <w:szCs w:val="24"/>
          <w:lang w:val="nl-NL"/>
        </w:rPr>
        <w:t>BIPT-</w:t>
      </w:r>
      <w:r w:rsidRPr="002062C1">
        <w:rPr>
          <w:szCs w:val="24"/>
          <w:lang w:val="nl-NL"/>
        </w:rPr>
        <w:t>wet wordt dit besluit eveneens meegedeeld aan de minister en gepubliceerd op de website van het BIPT, onder voorbehoud van vertrouwelijkheid.</w:t>
      </w:r>
    </w:p>
    <w:p w:rsidR="006A01B8" w:rsidRDefault="006A01B8" w:rsidP="006A01B8">
      <w:pPr>
        <w:spacing w:line="276" w:lineRule="auto"/>
        <w:ind w:left="360"/>
        <w:rPr>
          <w:szCs w:val="24"/>
          <w:lang w:val="nl-NL"/>
        </w:rPr>
      </w:pPr>
    </w:p>
    <w:p w:rsidR="006A01B8" w:rsidRDefault="006A01B8" w:rsidP="006A01B8">
      <w:pPr>
        <w:spacing w:line="276" w:lineRule="auto"/>
        <w:ind w:left="360"/>
        <w:rPr>
          <w:szCs w:val="24"/>
          <w:lang w:val="nl-NL"/>
        </w:rPr>
      </w:pPr>
    </w:p>
    <w:p w:rsidR="006A01B8" w:rsidRDefault="006A01B8" w:rsidP="006A01B8">
      <w:pPr>
        <w:spacing w:line="276" w:lineRule="auto"/>
        <w:ind w:left="360"/>
        <w:rPr>
          <w:szCs w:val="24"/>
          <w:lang w:val="nl-NL"/>
        </w:rPr>
      </w:pPr>
    </w:p>
    <w:p w:rsidR="006A01B8" w:rsidRDefault="006A01B8" w:rsidP="006A01B8">
      <w:pPr>
        <w:spacing w:line="276" w:lineRule="auto"/>
        <w:ind w:left="360"/>
        <w:rPr>
          <w:szCs w:val="24"/>
          <w:lang w:val="nl-NL"/>
        </w:rPr>
      </w:pPr>
    </w:p>
    <w:p w:rsidR="006A01B8" w:rsidRDefault="006A01B8" w:rsidP="006A01B8">
      <w:pPr>
        <w:spacing w:line="276" w:lineRule="auto"/>
        <w:ind w:left="360"/>
        <w:rPr>
          <w:szCs w:val="24"/>
          <w:lang w:val="nl-NL"/>
        </w:rPr>
      </w:pPr>
    </w:p>
    <w:p w:rsidR="006A01B8" w:rsidRDefault="006A01B8" w:rsidP="006A01B8">
      <w:pPr>
        <w:spacing w:line="276" w:lineRule="auto"/>
        <w:ind w:left="360"/>
        <w:rPr>
          <w:szCs w:val="24"/>
          <w:lang w:val="nl-NL"/>
        </w:rPr>
      </w:pPr>
    </w:p>
    <w:p w:rsidR="006A01B8" w:rsidRDefault="006A01B8" w:rsidP="006A01B8">
      <w:pPr>
        <w:spacing w:line="276" w:lineRule="auto"/>
        <w:ind w:left="360"/>
        <w:rPr>
          <w:szCs w:val="24"/>
          <w:lang w:val="nl-NL"/>
        </w:rPr>
      </w:pPr>
    </w:p>
    <w:p w:rsidR="006A01B8" w:rsidRPr="006A01B8" w:rsidRDefault="006A01B8" w:rsidP="006A01B8">
      <w:pPr>
        <w:spacing w:line="276" w:lineRule="auto"/>
        <w:ind w:left="360"/>
        <w:rPr>
          <w:szCs w:val="24"/>
          <w:lang w:val="nl-NL"/>
        </w:rPr>
      </w:pPr>
    </w:p>
    <w:p w:rsidR="00732B96" w:rsidRPr="008C5B69" w:rsidRDefault="00732B96" w:rsidP="00732B96">
      <w:pPr>
        <w:pStyle w:val="Kop1"/>
        <w:rPr>
          <w:rFonts w:asciiTheme="minorHAnsi" w:eastAsiaTheme="majorEastAsia" w:hAnsiTheme="minorHAnsi" w:cstheme="minorHAnsi"/>
          <w:color w:val="365F91" w:themeColor="accent1" w:themeShade="BF"/>
          <w:lang w:val="nl-NL"/>
        </w:rPr>
      </w:pPr>
      <w:bookmarkStart w:id="84" w:name="_Toc376423521"/>
      <w:r w:rsidRPr="008C5B69">
        <w:rPr>
          <w:rFonts w:asciiTheme="minorHAnsi" w:eastAsiaTheme="majorEastAsia" w:hAnsiTheme="minorHAnsi" w:cstheme="minorHAnsi"/>
          <w:color w:val="365F91" w:themeColor="accent1" w:themeShade="BF"/>
          <w:lang w:val="nl-NL"/>
        </w:rPr>
        <w:lastRenderedPageBreak/>
        <w:t>BEROEPSMOGELIJKHEDEN</w:t>
      </w:r>
      <w:bookmarkEnd w:id="84"/>
    </w:p>
    <w:p w:rsidR="00732B96" w:rsidRPr="001022D8" w:rsidRDefault="00732B96" w:rsidP="00732B96">
      <w:pPr>
        <w:spacing w:line="276" w:lineRule="auto"/>
        <w:rPr>
          <w:b/>
          <w:bCs/>
          <w:lang w:val="nl-NL"/>
        </w:rPr>
      </w:pPr>
    </w:p>
    <w:p w:rsidR="00732B96" w:rsidRPr="002062C1" w:rsidRDefault="00732B96" w:rsidP="00DC3143">
      <w:pPr>
        <w:pStyle w:val="Lijstalinea"/>
        <w:numPr>
          <w:ilvl w:val="0"/>
          <w:numId w:val="5"/>
        </w:numPr>
        <w:spacing w:line="276" w:lineRule="auto"/>
        <w:rPr>
          <w:szCs w:val="24"/>
          <w:lang w:val="nl-NL"/>
        </w:rPr>
      </w:pPr>
      <w:r w:rsidRPr="002062C1">
        <w:rPr>
          <w:szCs w:val="24"/>
          <w:lang w:val="nl-NL"/>
        </w:rPr>
        <w:t xml:space="preserve">Overeenkomstig artikel 2, § 1, van de wet van 17 januari 2003 betreffende de rechtsmiddelen en de geschillenbehandeling naar aanleiding van de wet van 17 januari 2003 met betrekking tot het statuut van de regulator van de Belgische post- en telecommunicatiesector heeft </w:t>
      </w:r>
      <w:r w:rsidR="005878C9">
        <w:rPr>
          <w:szCs w:val="24"/>
          <w:lang w:val="nl-NL"/>
        </w:rPr>
        <w:t>Dommel</w:t>
      </w:r>
      <w:r w:rsidRPr="002062C1">
        <w:rPr>
          <w:szCs w:val="24"/>
          <w:lang w:val="nl-NL"/>
        </w:rPr>
        <w:t xml:space="preserve"> de mogelijkheid om beroep in te stellen tegen dit besluit bij het hof van beroep van Brussel, Poelaertplein 1 te 1000 Brussel. Het beroep wordt, op straffe van nietigheid die ambtshalve wordt uitgesproken, ingesteld door middel van een ondertekend verzoekschrift dat wordt ingediend ter griffie van het hof van beroep van Brussel binnen een termijn van zestig dagen vanaf de kennisgeving van dit besluit of bij gebreke aan een kennisgeving, vanaf de publicatie van het besluit of bij gebreke aan een publicatie, vanaf de kennisname van dit besluit.</w:t>
      </w:r>
    </w:p>
    <w:p w:rsidR="00732B96" w:rsidRPr="001022D8" w:rsidRDefault="00732B96" w:rsidP="00732B96">
      <w:pPr>
        <w:widowControl w:val="0"/>
        <w:autoSpaceDE w:val="0"/>
        <w:autoSpaceDN w:val="0"/>
        <w:adjustRightInd w:val="0"/>
        <w:spacing w:line="276" w:lineRule="auto"/>
        <w:rPr>
          <w:lang w:val="nl-NL"/>
        </w:rPr>
      </w:pPr>
    </w:p>
    <w:p w:rsidR="00732B96" w:rsidRPr="009516BD" w:rsidRDefault="009516BD" w:rsidP="009516BD">
      <w:pPr>
        <w:pStyle w:val="Lijstalinea"/>
        <w:numPr>
          <w:ilvl w:val="0"/>
          <w:numId w:val="5"/>
        </w:numPr>
        <w:spacing w:line="276" w:lineRule="auto"/>
        <w:rPr>
          <w:szCs w:val="24"/>
          <w:lang w:val="nl-NL"/>
        </w:rPr>
      </w:pPr>
      <w:r>
        <w:rPr>
          <w:szCs w:val="24"/>
          <w:lang w:val="nl-NL"/>
        </w:rPr>
        <w:t>Het verzoekschrift bevat</w:t>
      </w:r>
      <w:r w:rsidR="00732B96" w:rsidRPr="00747758">
        <w:rPr>
          <w:szCs w:val="24"/>
          <w:lang w:val="nl-NL"/>
        </w:rPr>
        <w:t xml:space="preserve"> op straffe van nietigheid de vermeldingen </w:t>
      </w:r>
      <w:r>
        <w:rPr>
          <w:szCs w:val="24"/>
          <w:lang w:val="nl-NL"/>
        </w:rPr>
        <w:t>vereist door</w:t>
      </w:r>
      <w:r w:rsidR="00732B96" w:rsidRPr="00747758">
        <w:rPr>
          <w:szCs w:val="24"/>
          <w:lang w:val="nl-NL"/>
        </w:rPr>
        <w:t xml:space="preserve"> artikel 2, § 2, van de wet van 17 januari 2003 betreffende de rechtsmiddelen en de geschillenbehandeling naar aanleiding van de wet van 17 januari 2003 met betrekking tot het statuut van de regulator van de Belgische post- en telecommunicatiesector.   </w:t>
      </w:r>
      <w:r w:rsidR="00732B96" w:rsidRPr="009516BD">
        <w:rPr>
          <w:szCs w:val="24"/>
          <w:lang w:val="nl-NL"/>
        </w:rPr>
        <w:t>Indien het verzoekschrift elementen bevat die u als vertrouwelijk beschouwt, dan moet u dat uitdrukkelijk aangeven en op straffe van nietigheid, een niet-vertrouwelijke versie van dat verzoekschrift indienen. Het Instituut publiceert op zijn website het verzoekschrift dat door de griffie van het gerecht genotificeerd is. Elke belanghebbende partij kan in de zaak tussenkomen binnen dertig dagen na deze publicatie.</w:t>
      </w:r>
    </w:p>
    <w:p w:rsidR="00360A46" w:rsidRPr="00360A46" w:rsidRDefault="00360A46" w:rsidP="00360A46">
      <w:pPr>
        <w:pStyle w:val="Lijstalinea"/>
        <w:numPr>
          <w:ilvl w:val="0"/>
          <w:numId w:val="0"/>
        </w:numPr>
        <w:ind w:left="717"/>
        <w:rPr>
          <w:szCs w:val="24"/>
          <w:lang w:val="nl-NL"/>
        </w:rPr>
      </w:pPr>
    </w:p>
    <w:p w:rsidR="00360A46" w:rsidRDefault="00360A46" w:rsidP="00360A46">
      <w:pPr>
        <w:spacing w:line="276" w:lineRule="auto"/>
        <w:rPr>
          <w:szCs w:val="24"/>
          <w:lang w:val="nl-NL"/>
        </w:rPr>
      </w:pPr>
    </w:p>
    <w:p w:rsidR="00360A46" w:rsidRDefault="00360A46" w:rsidP="00360A46">
      <w:pPr>
        <w:spacing w:line="276" w:lineRule="auto"/>
        <w:rPr>
          <w:szCs w:val="24"/>
          <w:lang w:val="nl-NL"/>
        </w:rPr>
      </w:pPr>
    </w:p>
    <w:p w:rsidR="00360A46" w:rsidRDefault="00360A46" w:rsidP="00360A46">
      <w:pPr>
        <w:spacing w:line="276" w:lineRule="auto"/>
        <w:rPr>
          <w:szCs w:val="24"/>
          <w:lang w:val="nl-NL"/>
        </w:rPr>
      </w:pPr>
    </w:p>
    <w:p w:rsidR="00360A46" w:rsidRPr="006E448A" w:rsidRDefault="00360A46" w:rsidP="00360A46">
      <w:pPr>
        <w:keepLines/>
        <w:rPr>
          <w:lang w:eastAsia="fr-FR"/>
        </w:rPr>
      </w:pPr>
    </w:p>
    <w:p w:rsidR="00360A46" w:rsidRPr="006E448A" w:rsidRDefault="00360A46" w:rsidP="00360A46">
      <w:pPr>
        <w:keepLines/>
        <w:rPr>
          <w:lang w:eastAsia="fr-FR"/>
        </w:rPr>
      </w:pPr>
    </w:p>
    <w:tbl>
      <w:tblPr>
        <w:tblW w:w="0" w:type="auto"/>
        <w:jc w:val="center"/>
        <w:tblLook w:val="01E0" w:firstRow="1" w:lastRow="1" w:firstColumn="1" w:lastColumn="1" w:noHBand="0" w:noVBand="0"/>
      </w:tblPr>
      <w:tblGrid>
        <w:gridCol w:w="4519"/>
        <w:gridCol w:w="4520"/>
      </w:tblGrid>
      <w:tr w:rsidR="00360A46" w:rsidRPr="003F1FB4" w:rsidTr="006E448A">
        <w:trPr>
          <w:jc w:val="center"/>
        </w:trPr>
        <w:tc>
          <w:tcPr>
            <w:tcW w:w="4519" w:type="dxa"/>
            <w:vAlign w:val="center"/>
          </w:tcPr>
          <w:p w:rsidR="00360A46" w:rsidRPr="003F1FB4" w:rsidRDefault="00360A46" w:rsidP="006E448A">
            <w:pPr>
              <w:keepLines/>
              <w:rPr>
                <w:lang w:eastAsia="fr-BE"/>
              </w:rPr>
            </w:pPr>
            <w:bookmarkStart w:id="85" w:name="_Hlk377470453"/>
            <w:r w:rsidRPr="00FB5F54">
              <w:rPr>
                <w:lang w:eastAsia="fr-BE"/>
              </w:rPr>
              <w:t>Charles Cuvel</w:t>
            </w:r>
            <w:r w:rsidR="00603CBC">
              <w:rPr>
                <w:lang w:eastAsia="fr-BE"/>
              </w:rPr>
              <w:t>l</w:t>
            </w:r>
            <w:r w:rsidRPr="00FB5F54">
              <w:rPr>
                <w:lang w:eastAsia="fr-BE"/>
              </w:rPr>
              <w:t>ie</w:t>
            </w:r>
            <w:r w:rsidR="00603CBC">
              <w:rPr>
                <w:lang w:eastAsia="fr-BE"/>
              </w:rPr>
              <w:t>z</w:t>
            </w:r>
          </w:p>
          <w:p w:rsidR="00360A46" w:rsidRPr="00FB5F54" w:rsidRDefault="00360A46" w:rsidP="006E448A">
            <w:pPr>
              <w:keepLines/>
              <w:rPr>
                <w:lang w:eastAsia="fr-BE"/>
              </w:rPr>
            </w:pPr>
            <w:r w:rsidRPr="00FB5F54">
              <w:rPr>
                <w:lang w:eastAsia="fr-BE"/>
              </w:rPr>
              <w:t>Lid van de Raad</w:t>
            </w:r>
          </w:p>
          <w:p w:rsidR="00360A46" w:rsidRPr="003F1FB4" w:rsidRDefault="00360A46" w:rsidP="006E448A">
            <w:pPr>
              <w:keepLines/>
              <w:jc w:val="center"/>
              <w:rPr>
                <w:lang w:eastAsia="fr-BE"/>
              </w:rPr>
            </w:pPr>
          </w:p>
        </w:tc>
        <w:tc>
          <w:tcPr>
            <w:tcW w:w="4520" w:type="dxa"/>
            <w:vAlign w:val="center"/>
          </w:tcPr>
          <w:p w:rsidR="00360A46" w:rsidRPr="003F1FB4" w:rsidRDefault="00360A46" w:rsidP="006E448A">
            <w:pPr>
              <w:keepLines/>
              <w:jc w:val="center"/>
              <w:rPr>
                <w:lang w:eastAsia="fr-BE"/>
              </w:rPr>
            </w:pPr>
            <w:r w:rsidRPr="00FB5F54">
              <w:rPr>
                <w:lang w:eastAsia="fr-BE"/>
              </w:rPr>
              <w:t>Axel Desmedt</w:t>
            </w:r>
          </w:p>
          <w:p w:rsidR="00360A46" w:rsidRPr="00FB5F54" w:rsidRDefault="00360A46" w:rsidP="006E448A">
            <w:pPr>
              <w:keepLines/>
              <w:jc w:val="center"/>
              <w:rPr>
                <w:lang w:eastAsia="fr-BE"/>
              </w:rPr>
            </w:pPr>
            <w:r w:rsidRPr="00FB5F54">
              <w:rPr>
                <w:lang w:eastAsia="fr-BE"/>
              </w:rPr>
              <w:t xml:space="preserve">    Lid van de Raad</w:t>
            </w:r>
          </w:p>
          <w:p w:rsidR="00360A46" w:rsidRPr="003F1FB4" w:rsidRDefault="00360A46" w:rsidP="006E448A">
            <w:pPr>
              <w:keepLines/>
              <w:jc w:val="center"/>
              <w:rPr>
                <w:lang w:eastAsia="fr-BE"/>
              </w:rPr>
            </w:pPr>
          </w:p>
        </w:tc>
      </w:tr>
      <w:tr w:rsidR="00360A46" w:rsidRPr="003F1FB4" w:rsidTr="006E448A">
        <w:trPr>
          <w:jc w:val="center"/>
        </w:trPr>
        <w:tc>
          <w:tcPr>
            <w:tcW w:w="4519" w:type="dxa"/>
            <w:vAlign w:val="center"/>
          </w:tcPr>
          <w:p w:rsidR="00360A46" w:rsidRPr="003F1FB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rPr>
                <w:lang w:eastAsia="fr-BE"/>
              </w:rPr>
            </w:pPr>
            <w:r w:rsidRPr="00FB5F54">
              <w:rPr>
                <w:lang w:eastAsia="fr-BE"/>
              </w:rPr>
              <w:t>Luc Vanfleteren</w:t>
            </w:r>
          </w:p>
          <w:p w:rsidR="00360A46" w:rsidRPr="00FB5F54" w:rsidRDefault="00360A46" w:rsidP="006E448A">
            <w:pPr>
              <w:keepLines/>
              <w:rPr>
                <w:lang w:eastAsia="fr-BE"/>
              </w:rPr>
            </w:pPr>
            <w:r w:rsidRPr="00FB5F54">
              <w:rPr>
                <w:lang w:eastAsia="fr-BE"/>
              </w:rPr>
              <w:t>Lid van de Raad</w:t>
            </w:r>
          </w:p>
          <w:p w:rsidR="00360A46" w:rsidRPr="003F1FB4" w:rsidRDefault="00360A46" w:rsidP="006E448A">
            <w:pPr>
              <w:keepLines/>
              <w:jc w:val="center"/>
              <w:rPr>
                <w:lang w:eastAsia="fr-BE"/>
              </w:rPr>
            </w:pPr>
          </w:p>
        </w:tc>
        <w:tc>
          <w:tcPr>
            <w:tcW w:w="4520" w:type="dxa"/>
            <w:vAlign w:val="center"/>
          </w:tcPr>
          <w:p w:rsidR="00360A46" w:rsidRPr="003F1FB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p>
          <w:p w:rsidR="00360A46" w:rsidRPr="00FB5F54" w:rsidRDefault="00360A46" w:rsidP="006E448A">
            <w:pPr>
              <w:keepLines/>
              <w:jc w:val="center"/>
              <w:rPr>
                <w:lang w:eastAsia="fr-BE"/>
              </w:rPr>
            </w:pPr>
            <w:r w:rsidRPr="00FB5F54">
              <w:rPr>
                <w:lang w:eastAsia="fr-BE"/>
              </w:rPr>
              <w:t>Jack Hamande</w:t>
            </w:r>
          </w:p>
          <w:p w:rsidR="00360A46" w:rsidRPr="00FB5F54" w:rsidRDefault="00360A46" w:rsidP="006E448A">
            <w:pPr>
              <w:keepLines/>
              <w:jc w:val="center"/>
              <w:rPr>
                <w:lang w:eastAsia="fr-BE"/>
              </w:rPr>
            </w:pPr>
            <w:r w:rsidRPr="00FB5F54">
              <w:rPr>
                <w:lang w:eastAsia="fr-BE"/>
              </w:rPr>
              <w:t xml:space="preserve">                Voorzitter van de Raad</w:t>
            </w:r>
          </w:p>
          <w:p w:rsidR="00360A46" w:rsidRPr="003F1FB4" w:rsidRDefault="00360A46" w:rsidP="006E448A">
            <w:pPr>
              <w:keepLines/>
              <w:jc w:val="center"/>
              <w:rPr>
                <w:lang w:eastAsia="fr-BE"/>
              </w:rPr>
            </w:pPr>
          </w:p>
        </w:tc>
      </w:tr>
      <w:bookmarkEnd w:id="85"/>
    </w:tbl>
    <w:p w:rsidR="00360A46" w:rsidRPr="003F1FB4" w:rsidRDefault="00360A46" w:rsidP="00360A46">
      <w:pPr>
        <w:keepLines/>
      </w:pPr>
    </w:p>
    <w:p w:rsidR="000D3B95" w:rsidRPr="00091758" w:rsidRDefault="000D3B95" w:rsidP="006D7E88"/>
    <w:tbl>
      <w:tblPr>
        <w:tblW w:w="0" w:type="auto"/>
        <w:jc w:val="center"/>
        <w:tblLook w:val="01E0" w:firstRow="1" w:lastRow="1" w:firstColumn="1" w:lastColumn="1" w:noHBand="0" w:noVBand="0"/>
      </w:tblPr>
      <w:tblGrid>
        <w:gridCol w:w="4519"/>
        <w:gridCol w:w="4520"/>
      </w:tblGrid>
      <w:tr w:rsidR="006D7E88" w:rsidRPr="0035613A" w:rsidTr="00373832">
        <w:trPr>
          <w:jc w:val="center"/>
        </w:trPr>
        <w:tc>
          <w:tcPr>
            <w:tcW w:w="4519" w:type="dxa"/>
            <w:vAlign w:val="center"/>
          </w:tcPr>
          <w:p w:rsidR="006D7E88" w:rsidRPr="0035613A" w:rsidRDefault="006D7E88" w:rsidP="00373832">
            <w:pPr>
              <w:jc w:val="center"/>
            </w:pPr>
          </w:p>
        </w:tc>
        <w:tc>
          <w:tcPr>
            <w:tcW w:w="4520" w:type="dxa"/>
            <w:vAlign w:val="center"/>
          </w:tcPr>
          <w:p w:rsidR="006D7E88" w:rsidRPr="0035613A" w:rsidRDefault="006D7E88" w:rsidP="00373832">
            <w:pPr>
              <w:jc w:val="center"/>
            </w:pPr>
          </w:p>
        </w:tc>
      </w:tr>
      <w:tr w:rsidR="006D7E88" w:rsidRPr="0035613A" w:rsidTr="00373832">
        <w:trPr>
          <w:jc w:val="center"/>
        </w:trPr>
        <w:tc>
          <w:tcPr>
            <w:tcW w:w="4519" w:type="dxa"/>
            <w:vAlign w:val="center"/>
          </w:tcPr>
          <w:p w:rsidR="006D7E88" w:rsidRPr="0035613A" w:rsidRDefault="006D7E88" w:rsidP="00A95778"/>
        </w:tc>
        <w:tc>
          <w:tcPr>
            <w:tcW w:w="4520" w:type="dxa"/>
            <w:vAlign w:val="center"/>
          </w:tcPr>
          <w:p w:rsidR="006D7E88" w:rsidRPr="0035613A" w:rsidRDefault="006D7E88" w:rsidP="00373832">
            <w:pPr>
              <w:jc w:val="center"/>
            </w:pPr>
          </w:p>
        </w:tc>
      </w:tr>
    </w:tbl>
    <w:p w:rsidR="007B2D5F" w:rsidRDefault="007B2D5F">
      <w:pPr>
        <w:jc w:val="left"/>
      </w:pPr>
    </w:p>
    <w:p w:rsidR="00820039" w:rsidRDefault="00820039">
      <w:pPr>
        <w:jc w:val="left"/>
      </w:pPr>
    </w:p>
    <w:sectPr w:rsidR="00820039" w:rsidSect="007C12B6">
      <w:footerReference w:type="default" r:id="rId21"/>
      <w:footerReference w:type="first" r:id="rId22"/>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96" w:rsidRDefault="00436D96" w:rsidP="009F52BF">
      <w:r>
        <w:separator/>
      </w:r>
    </w:p>
  </w:endnote>
  <w:endnote w:type="continuationSeparator" w:id="0">
    <w:p w:rsidR="00436D96" w:rsidRDefault="00436D96" w:rsidP="009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Bookman-Ligh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0C" w:rsidRPr="0042615C" w:rsidRDefault="00B25F0C" w:rsidP="0042615C">
    <w:pPr>
      <w:pStyle w:val="Voettekst"/>
      <w:framePr w:wrap="around" w:vAnchor="text" w:hAnchor="margin" w:xAlign="right" w:y="1"/>
      <w:rPr>
        <w:rStyle w:val="Paginanummer"/>
      </w:rPr>
    </w:pPr>
    <w:r w:rsidRPr="0042615C">
      <w:rPr>
        <w:rStyle w:val="Paginanummer"/>
      </w:rPr>
      <w:fldChar w:fldCharType="begin"/>
    </w:r>
    <w:r w:rsidRPr="0042615C">
      <w:rPr>
        <w:rStyle w:val="Paginanummer"/>
      </w:rPr>
      <w:instrText xml:space="preserve">PAGE  </w:instrText>
    </w:r>
    <w:r w:rsidRPr="0042615C">
      <w:rPr>
        <w:rStyle w:val="Paginanummer"/>
      </w:rPr>
      <w:fldChar w:fldCharType="separate"/>
    </w:r>
    <w:r>
      <w:rPr>
        <w:rStyle w:val="Paginanummer"/>
        <w:noProof/>
      </w:rPr>
      <w:t>2</w:t>
    </w:r>
    <w:r w:rsidRPr="0042615C">
      <w:rPr>
        <w:rStyle w:val="Paginanummer"/>
      </w:rPr>
      <w:fldChar w:fldCharType="end"/>
    </w:r>
  </w:p>
  <w:p w:rsidR="00B25F0C" w:rsidRDefault="00B25F0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0C" w:rsidRPr="00F06F39" w:rsidRDefault="00B25F0C" w:rsidP="00340B88">
    <w:pPr>
      <w:pStyle w:val="Voettekst"/>
      <w:tabs>
        <w:tab w:val="clear" w:pos="4536"/>
        <w:tab w:val="clear" w:pos="9072"/>
      </w:tabs>
      <w:spacing w:line="180" w:lineRule="exact"/>
      <w:jc w:val="center"/>
      <w:rPr>
        <w:rFonts w:ascii="Calibri" w:hAnsi="Calibri"/>
        <w:b/>
        <w:color w:val="009999"/>
        <w:spacing w:val="10"/>
        <w:sz w:val="17"/>
        <w:szCs w:val="17"/>
      </w:rPr>
    </w:pPr>
    <w:r w:rsidRPr="00F06F39">
      <w:rPr>
        <w:rFonts w:ascii="Calibri" w:hAnsi="Calibri"/>
        <w:b/>
        <w:color w:val="009999"/>
        <w:spacing w:val="10"/>
        <w:sz w:val="17"/>
        <w:szCs w:val="17"/>
      </w:rPr>
      <w:t>Belgisch Instituut voor postdien</w:t>
    </w:r>
    <w:r>
      <w:rPr>
        <w:rFonts w:ascii="Calibri" w:hAnsi="Calibri"/>
        <w:b/>
        <w:color w:val="009999"/>
        <w:spacing w:val="10"/>
        <w:sz w:val="17"/>
        <w:szCs w:val="17"/>
      </w:rPr>
      <w:t>s</w:t>
    </w:r>
    <w:r w:rsidRPr="00F06F39">
      <w:rPr>
        <w:rFonts w:ascii="Calibri" w:hAnsi="Calibri"/>
        <w:b/>
        <w:color w:val="009999"/>
        <w:spacing w:val="10"/>
        <w:sz w:val="17"/>
        <w:szCs w:val="17"/>
      </w:rPr>
      <w:t>ten en telecommunicatie</w:t>
    </w:r>
  </w:p>
  <w:p w:rsidR="00B25F0C" w:rsidRPr="00F06F39" w:rsidRDefault="00B25F0C" w:rsidP="00340B88">
    <w:pPr>
      <w:pStyle w:val="Voettekst"/>
      <w:tabs>
        <w:tab w:val="clear" w:pos="4536"/>
        <w:tab w:val="clear" w:pos="9072"/>
      </w:tabs>
      <w:spacing w:line="180" w:lineRule="exact"/>
      <w:jc w:val="center"/>
      <w:rPr>
        <w:rFonts w:ascii="Calibri" w:hAnsi="Calibri"/>
        <w:color w:val="009999"/>
        <w:spacing w:val="10"/>
        <w:sz w:val="17"/>
        <w:szCs w:val="17"/>
      </w:rPr>
    </w:pPr>
    <w:proofErr w:type="spellStart"/>
    <w:r w:rsidRPr="00F06F39">
      <w:rPr>
        <w:rFonts w:ascii="Calibri" w:hAnsi="Calibri"/>
        <w:color w:val="009999"/>
        <w:spacing w:val="10"/>
        <w:sz w:val="17"/>
        <w:szCs w:val="17"/>
      </w:rPr>
      <w:t>Ellipse</w:t>
    </w:r>
    <w:proofErr w:type="spellEnd"/>
    <w:r w:rsidRPr="00F06F39">
      <w:rPr>
        <w:rFonts w:ascii="Calibri" w:hAnsi="Calibri"/>
        <w:color w:val="009999"/>
        <w:spacing w:val="10"/>
        <w:sz w:val="17"/>
        <w:szCs w:val="17"/>
      </w:rPr>
      <w:t xml:space="preserve"> Building - Gebouw C - Koning Albert II-laan 35 - 1030 Brussel</w:t>
    </w:r>
  </w:p>
  <w:p w:rsidR="00B25F0C" w:rsidRPr="00340B88" w:rsidRDefault="00B25F0C" w:rsidP="00340B88">
    <w:pPr>
      <w:pStyle w:val="Voettekst"/>
      <w:tabs>
        <w:tab w:val="clear" w:pos="4536"/>
        <w:tab w:val="clear" w:pos="9072"/>
      </w:tabs>
      <w:spacing w:line="180" w:lineRule="exact"/>
      <w:jc w:val="center"/>
      <w:rPr>
        <w:rFonts w:ascii="Calibri" w:hAnsi="Calibri"/>
        <w:color w:val="009999"/>
        <w:sz w:val="16"/>
        <w:szCs w:val="16"/>
        <w:lang w:val="en-US"/>
      </w:rPr>
    </w:pPr>
    <w:r w:rsidRPr="009F6FC9">
      <w:rPr>
        <w:rFonts w:ascii="Calibri" w:hAnsi="Calibri"/>
        <w:color w:val="009999"/>
        <w:spacing w:val="10"/>
        <w:sz w:val="17"/>
        <w:szCs w:val="17"/>
        <w:lang w:val="en-US"/>
      </w:rPr>
      <w:t>Tel. 02 226 88 88</w:t>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t>Fax 02 226 88 77</w:t>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t>http://www.bipt.be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0C" w:rsidRPr="00291D6C" w:rsidRDefault="00B25F0C" w:rsidP="00373832">
    <w:pPr>
      <w:pStyle w:val="Voettekst"/>
      <w:framePr w:wrap="around" w:vAnchor="text" w:hAnchor="margin" w:xAlign="right" w:y="1"/>
      <w:rPr>
        <w:rStyle w:val="Paginanummer"/>
      </w:rPr>
    </w:pPr>
    <w:r w:rsidRPr="00291D6C">
      <w:rPr>
        <w:rStyle w:val="Paginanummer"/>
      </w:rPr>
      <w:fldChar w:fldCharType="begin"/>
    </w:r>
    <w:r w:rsidRPr="00291D6C">
      <w:rPr>
        <w:rStyle w:val="Paginanummer"/>
      </w:rPr>
      <w:instrText xml:space="preserve">PAGE  </w:instrText>
    </w:r>
    <w:r w:rsidRPr="00291D6C">
      <w:rPr>
        <w:rStyle w:val="Paginanummer"/>
      </w:rPr>
      <w:fldChar w:fldCharType="separate"/>
    </w:r>
    <w:r w:rsidR="004C4369">
      <w:rPr>
        <w:rStyle w:val="Paginanummer"/>
        <w:noProof/>
      </w:rPr>
      <w:t>2</w:t>
    </w:r>
    <w:r w:rsidRPr="00291D6C">
      <w:rPr>
        <w:rStyle w:val="Paginanummer"/>
      </w:rPr>
      <w:fldChar w:fldCharType="end"/>
    </w:r>
  </w:p>
  <w:p w:rsidR="00B25F0C" w:rsidRPr="00976054" w:rsidRDefault="00B25F0C">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0C" w:rsidRPr="004E0FA5" w:rsidRDefault="00B25F0C" w:rsidP="00A65113">
    <w:pPr>
      <w:pStyle w:val="Voettekst"/>
      <w:jc w:val="right"/>
      <w:rPr>
        <w:sz w:val="20"/>
      </w:rPr>
    </w:pPr>
    <w:r w:rsidRPr="004E0FA5">
      <w:rPr>
        <w:sz w:val="20"/>
      </w:rPr>
      <w:fldChar w:fldCharType="begin"/>
    </w:r>
    <w:r w:rsidRPr="004E0FA5">
      <w:rPr>
        <w:sz w:val="20"/>
      </w:rPr>
      <w:instrText xml:space="preserve"> PAGE   \* MERGEFORMAT </w:instrText>
    </w:r>
    <w:r w:rsidRPr="004E0FA5">
      <w:rPr>
        <w:sz w:val="20"/>
      </w:rPr>
      <w:fldChar w:fldCharType="separate"/>
    </w:r>
    <w:r w:rsidR="004C4369">
      <w:rPr>
        <w:noProof/>
        <w:sz w:val="20"/>
      </w:rPr>
      <w:t>3</w:t>
    </w:r>
    <w:r w:rsidRPr="004E0FA5">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0C" w:rsidRPr="00BF25D8" w:rsidRDefault="00B25F0C" w:rsidP="008D60C3">
    <w:pPr>
      <w:pStyle w:val="Voettekst"/>
      <w:tabs>
        <w:tab w:val="clear" w:pos="4536"/>
        <w:tab w:val="clear" w:pos="9072"/>
      </w:tabs>
      <w:spacing w:line="180" w:lineRule="exact"/>
      <w:jc w:val="center"/>
      <w:rPr>
        <w:rFonts w:ascii="Calibri" w:hAnsi="Calibri"/>
        <w:b/>
        <w:color w:val="009999"/>
        <w:spacing w:val="10"/>
        <w:sz w:val="17"/>
        <w:szCs w:val="17"/>
        <w:lang w:val="fr-FR"/>
      </w:rPr>
    </w:pPr>
    <w:r w:rsidRPr="00BF25D8">
      <w:rPr>
        <w:rFonts w:ascii="Calibri" w:hAnsi="Calibri"/>
        <w:b/>
        <w:color w:val="009999"/>
        <w:spacing w:val="10"/>
        <w:sz w:val="17"/>
        <w:szCs w:val="17"/>
        <w:lang w:val="fr-FR"/>
      </w:rPr>
      <w:t>Institut belge des services postaux et des télécommunications</w:t>
    </w:r>
  </w:p>
  <w:p w:rsidR="00B25F0C" w:rsidRPr="00BF25D8" w:rsidRDefault="00B25F0C" w:rsidP="008D60C3">
    <w:pPr>
      <w:pStyle w:val="Voettekst"/>
      <w:tabs>
        <w:tab w:val="clear" w:pos="4536"/>
        <w:tab w:val="clear" w:pos="9072"/>
      </w:tabs>
      <w:spacing w:line="180" w:lineRule="exact"/>
      <w:jc w:val="center"/>
      <w:rPr>
        <w:rFonts w:ascii="Calibri" w:hAnsi="Calibri"/>
        <w:color w:val="009999"/>
        <w:spacing w:val="10"/>
        <w:sz w:val="17"/>
        <w:szCs w:val="17"/>
        <w:lang w:val="fr-FR"/>
      </w:rPr>
    </w:pPr>
    <w:r w:rsidRPr="00BF25D8">
      <w:rPr>
        <w:rFonts w:ascii="Calibri" w:hAnsi="Calibri"/>
        <w:color w:val="009999"/>
        <w:spacing w:val="10"/>
        <w:sz w:val="17"/>
        <w:szCs w:val="17"/>
        <w:lang w:val="fr-FR"/>
      </w:rPr>
      <w:t>Ellipse Building - Bâtiment C - Boulevard du Roi Albert II 35 - 1030 Bruxelles</w:t>
    </w:r>
  </w:p>
  <w:p w:rsidR="00B25F0C" w:rsidRPr="00BF25D8" w:rsidRDefault="00B25F0C" w:rsidP="008D60C3">
    <w:pPr>
      <w:pStyle w:val="Voettekst"/>
      <w:tabs>
        <w:tab w:val="clear" w:pos="4536"/>
        <w:tab w:val="clear" w:pos="9072"/>
      </w:tabs>
      <w:spacing w:line="180" w:lineRule="exact"/>
      <w:jc w:val="center"/>
      <w:rPr>
        <w:rFonts w:ascii="Calibri" w:hAnsi="Calibri"/>
        <w:color w:val="009999"/>
        <w:sz w:val="16"/>
        <w:szCs w:val="16"/>
        <w:lang w:val="fr-FR"/>
      </w:rPr>
    </w:pPr>
    <w:r w:rsidRPr="00BF25D8">
      <w:rPr>
        <w:rFonts w:ascii="Calibri" w:hAnsi="Calibri"/>
        <w:color w:val="009999"/>
        <w:spacing w:val="10"/>
        <w:sz w:val="17"/>
        <w:szCs w:val="17"/>
        <w:lang w:val="fr-FR"/>
      </w:rPr>
      <w:t>Tél. 02 226 88 88</w:t>
    </w:r>
    <w:r w:rsidRPr="00BF25D8">
      <w:rPr>
        <w:rFonts w:ascii="Calibri" w:hAnsi="Calibri"/>
        <w:color w:val="009999"/>
        <w:spacing w:val="10"/>
        <w:sz w:val="17"/>
        <w:szCs w:val="17"/>
        <w:lang w:val="fr-FR"/>
      </w:rPr>
      <w:tab/>
    </w:r>
    <w:r w:rsidRPr="00BF25D8">
      <w:rPr>
        <w:rFonts w:ascii="Calibri" w:hAnsi="Calibri"/>
        <w:color w:val="009999"/>
        <w:spacing w:val="10"/>
        <w:sz w:val="17"/>
        <w:szCs w:val="17"/>
        <w:lang w:val="fr-FR"/>
      </w:rPr>
      <w:tab/>
    </w:r>
    <w:r w:rsidRPr="00BF25D8">
      <w:rPr>
        <w:rFonts w:ascii="Calibri" w:hAnsi="Calibri"/>
        <w:color w:val="009999"/>
        <w:spacing w:val="10"/>
        <w:sz w:val="17"/>
        <w:szCs w:val="17"/>
        <w:lang w:val="fr-FR"/>
      </w:rPr>
      <w:tab/>
    </w:r>
    <w:r w:rsidRPr="00BF25D8">
      <w:rPr>
        <w:rFonts w:ascii="Calibri" w:hAnsi="Calibri"/>
        <w:color w:val="009999"/>
        <w:spacing w:val="10"/>
        <w:sz w:val="17"/>
        <w:szCs w:val="17"/>
        <w:lang w:val="fr-FR"/>
      </w:rPr>
      <w:tab/>
      <w:t>Fax 02 226 88 77</w:t>
    </w:r>
    <w:r w:rsidRPr="00BF25D8">
      <w:rPr>
        <w:rFonts w:ascii="Calibri" w:hAnsi="Calibri"/>
        <w:color w:val="009999"/>
        <w:spacing w:val="10"/>
        <w:sz w:val="17"/>
        <w:szCs w:val="17"/>
        <w:lang w:val="fr-FR"/>
      </w:rPr>
      <w:tab/>
    </w:r>
    <w:r w:rsidRPr="00BF25D8">
      <w:rPr>
        <w:rFonts w:ascii="Calibri" w:hAnsi="Calibri"/>
        <w:color w:val="009999"/>
        <w:spacing w:val="10"/>
        <w:sz w:val="17"/>
        <w:szCs w:val="17"/>
        <w:lang w:val="fr-FR"/>
      </w:rPr>
      <w:tab/>
    </w:r>
    <w:r w:rsidRPr="00BF25D8">
      <w:rPr>
        <w:rFonts w:ascii="Calibri" w:hAnsi="Calibri"/>
        <w:color w:val="009999"/>
        <w:spacing w:val="10"/>
        <w:sz w:val="17"/>
        <w:szCs w:val="17"/>
        <w:lang w:val="fr-FR"/>
      </w:rPr>
      <w:tab/>
    </w:r>
    <w:hyperlink r:id="rId1" w:history="1">
      <w:r w:rsidRPr="00BF25D8">
        <w:rPr>
          <w:rStyle w:val="Hyperlink"/>
          <w:rFonts w:ascii="Calibri" w:hAnsi="Calibri"/>
          <w:color w:val="009999"/>
          <w:spacing w:val="10"/>
          <w:sz w:val="17"/>
          <w:szCs w:val="17"/>
          <w:u w:val="none"/>
          <w:lang w:val="fr-FR"/>
        </w:rPr>
        <w:t>http://www.ibpt.be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96" w:rsidRDefault="00436D96" w:rsidP="009F52BF">
      <w:r>
        <w:separator/>
      </w:r>
    </w:p>
  </w:footnote>
  <w:footnote w:type="continuationSeparator" w:id="0">
    <w:p w:rsidR="00436D96" w:rsidRDefault="00436D96" w:rsidP="009F52BF">
      <w:r>
        <w:continuationSeparator/>
      </w:r>
    </w:p>
  </w:footnote>
  <w:footnote w:id="1">
    <w:p w:rsidR="00B25F0C" w:rsidRPr="006E448A" w:rsidRDefault="00B25F0C" w:rsidP="00892831">
      <w:pPr>
        <w:pStyle w:val="Voetnoottekst"/>
        <w:rPr>
          <w:rFonts w:asciiTheme="majorHAnsi" w:hAnsiTheme="majorHAnsi"/>
          <w:sz w:val="20"/>
          <w:szCs w:val="20"/>
        </w:rPr>
      </w:pPr>
      <w:r w:rsidRPr="006E448A">
        <w:rPr>
          <w:rStyle w:val="Voetnootmarkering"/>
          <w:rFonts w:asciiTheme="majorHAnsi" w:hAnsiTheme="majorHAnsi"/>
          <w:sz w:val="20"/>
          <w:szCs w:val="20"/>
        </w:rPr>
        <w:footnoteRef/>
      </w:r>
      <w:r w:rsidRPr="006E448A">
        <w:rPr>
          <w:rFonts w:asciiTheme="majorHAnsi" w:hAnsiTheme="majorHAnsi"/>
          <w:sz w:val="20"/>
          <w:szCs w:val="20"/>
        </w:rPr>
        <w:t xml:space="preserve"> De algemene voorwaarden van Dommel worden betiteld als “</w:t>
      </w:r>
      <w:r w:rsidRPr="00B25F0C">
        <w:rPr>
          <w:rFonts w:asciiTheme="majorHAnsi" w:hAnsiTheme="majorHAnsi"/>
          <w:i/>
          <w:sz w:val="20"/>
          <w:szCs w:val="20"/>
        </w:rPr>
        <w:t>kaderovereenkomst diensten schedom nv/sa</w:t>
      </w:r>
      <w:r w:rsidRPr="006E448A">
        <w:rPr>
          <w:rFonts w:asciiTheme="majorHAnsi" w:hAnsiTheme="majorHAnsi"/>
          <w:sz w:val="20"/>
          <w:szCs w:val="20"/>
        </w:rPr>
        <w:t xml:space="preserve">”. Wanneer in </w:t>
      </w:r>
      <w:r>
        <w:rPr>
          <w:rFonts w:asciiTheme="majorHAnsi" w:hAnsiTheme="majorHAnsi"/>
          <w:sz w:val="20"/>
          <w:szCs w:val="20"/>
        </w:rPr>
        <w:t>dit besluit</w:t>
      </w:r>
      <w:r w:rsidRPr="006E448A">
        <w:rPr>
          <w:rFonts w:asciiTheme="majorHAnsi" w:hAnsiTheme="majorHAnsi"/>
          <w:sz w:val="20"/>
          <w:szCs w:val="20"/>
        </w:rPr>
        <w:t xml:space="preserve"> gerefereerd wordt naar de algemene voorwaarden van Dommel, betreft het deze zgn. kaderovereenkomst. </w:t>
      </w:r>
    </w:p>
  </w:footnote>
  <w:footnote w:id="2">
    <w:p w:rsidR="00B25F0C" w:rsidRPr="006E448A" w:rsidRDefault="00B25F0C" w:rsidP="00892831">
      <w:pPr>
        <w:pStyle w:val="Voetnoottekst"/>
        <w:rPr>
          <w:rFonts w:asciiTheme="majorHAnsi" w:hAnsiTheme="majorHAnsi"/>
          <w:sz w:val="20"/>
          <w:szCs w:val="20"/>
        </w:rPr>
      </w:pPr>
      <w:r w:rsidRPr="006E448A">
        <w:rPr>
          <w:rStyle w:val="Voetnootmarkering"/>
          <w:rFonts w:asciiTheme="majorHAnsi" w:hAnsiTheme="majorHAnsi"/>
          <w:sz w:val="20"/>
          <w:szCs w:val="20"/>
        </w:rPr>
        <w:footnoteRef/>
      </w:r>
      <w:r w:rsidRPr="006E448A">
        <w:rPr>
          <w:rFonts w:asciiTheme="majorHAnsi" w:hAnsiTheme="majorHAnsi"/>
          <w:sz w:val="20"/>
          <w:szCs w:val="20"/>
        </w:rPr>
        <w:t xml:space="preserve"> Het kon onmiddellijk vastgesteld worden dat de betreffende algemene voorwaarden geen rekening hielden met de belangrijke wijzigingen die de wet van 10 juli 2012 houdende diverse bepalingen inzake elektronische communicatie inzake consumentenbescherming aanbracht in de artikelen 108 e.v. van de WEC. </w:t>
      </w:r>
    </w:p>
  </w:footnote>
  <w:footnote w:id="3">
    <w:p w:rsidR="00B25F0C" w:rsidRDefault="00B25F0C" w:rsidP="00892831">
      <w:pPr>
        <w:pStyle w:val="Voetnoottekst"/>
      </w:pPr>
      <w:r w:rsidRPr="006E448A">
        <w:rPr>
          <w:rStyle w:val="Voetnootmarkering"/>
          <w:rFonts w:asciiTheme="majorHAnsi" w:hAnsiTheme="majorHAnsi"/>
          <w:sz w:val="20"/>
          <w:szCs w:val="20"/>
        </w:rPr>
        <w:footnoteRef/>
      </w:r>
      <w:r w:rsidRPr="006E448A">
        <w:rPr>
          <w:rFonts w:asciiTheme="majorHAnsi" w:hAnsiTheme="majorHAnsi"/>
          <w:sz w:val="20"/>
          <w:szCs w:val="20"/>
        </w:rPr>
        <w:t xml:space="preserve"> Via de link : </w:t>
      </w:r>
      <w:hyperlink r:id="rId1" w:history="1">
        <w:r w:rsidRPr="006E448A">
          <w:rPr>
            <w:rStyle w:val="Hyperlink"/>
            <w:rFonts w:asciiTheme="majorHAnsi" w:hAnsiTheme="majorHAnsi"/>
            <w:sz w:val="20"/>
            <w:szCs w:val="20"/>
          </w:rPr>
          <w:t>http://lianka.schedom-europe.net/</w:t>
        </w:r>
      </w:hyperlink>
      <w:r>
        <w:t xml:space="preserve"> </w:t>
      </w:r>
    </w:p>
  </w:footnote>
  <w:footnote w:id="4">
    <w:p w:rsidR="00B25F0C" w:rsidRDefault="00B25F0C">
      <w:pPr>
        <w:pStyle w:val="Voetnoottekst"/>
      </w:pPr>
      <w:r>
        <w:rPr>
          <w:rStyle w:val="Voetnootmarkering"/>
        </w:rPr>
        <w:footnoteRef/>
      </w:r>
      <w:r>
        <w:t xml:space="preserve"> </w:t>
      </w:r>
      <w:r w:rsidRPr="006E448A">
        <w:rPr>
          <w:sz w:val="20"/>
          <w:szCs w:val="20"/>
        </w:rPr>
        <w:t>Omdat de versie van 2013 de meest actuele is, zal ze verder in dit besluit nader worden behandeld. Waar sprake van de algemene voorwaarden van Dommel zonder meer, dan betreft het de algemene voorwaarden van 2013. Wanneer de versies van 2005 of 2011 ter sprake gebracht moeten worden, dan zal daarnaar expliciet worden gerefereerd.</w:t>
      </w:r>
    </w:p>
  </w:footnote>
  <w:footnote w:id="5">
    <w:p w:rsidR="00B25F0C" w:rsidRDefault="00B25F0C">
      <w:pPr>
        <w:pStyle w:val="Voetnoottekst"/>
      </w:pPr>
      <w:r>
        <w:rPr>
          <w:rStyle w:val="Voetnootmarkering"/>
        </w:rPr>
        <w:footnoteRef/>
      </w:r>
      <w:r>
        <w:t xml:space="preserve"> </w:t>
      </w:r>
      <w:r w:rsidRPr="00A95778">
        <w:rPr>
          <w:sz w:val="20"/>
          <w:szCs w:val="20"/>
        </w:rPr>
        <w:t>Gedateerd</w:t>
      </w:r>
      <w:r>
        <w:rPr>
          <w:sz w:val="20"/>
          <w:szCs w:val="20"/>
        </w:rPr>
        <w:t xml:space="preserve"> op</w:t>
      </w:r>
      <w:r w:rsidRPr="00A95778">
        <w:rPr>
          <w:sz w:val="20"/>
          <w:szCs w:val="20"/>
        </w:rPr>
        <w:t xml:space="preserve"> 27 november 2013.</w:t>
      </w:r>
      <w:r>
        <w:t xml:space="preserve"> </w:t>
      </w:r>
    </w:p>
  </w:footnote>
  <w:footnote w:id="6">
    <w:p w:rsidR="0000361A" w:rsidRDefault="00B25F0C" w:rsidP="003A4841">
      <w:pPr>
        <w:pStyle w:val="Voetnoottekst"/>
        <w:rPr>
          <w:rFonts w:asciiTheme="majorHAnsi" w:hAnsiTheme="majorHAnsi"/>
          <w:sz w:val="20"/>
          <w:szCs w:val="20"/>
        </w:rPr>
      </w:pPr>
      <w:r w:rsidRPr="00A95778">
        <w:rPr>
          <w:rStyle w:val="Voetnootmarkering"/>
          <w:sz w:val="20"/>
          <w:szCs w:val="20"/>
        </w:rPr>
        <w:footnoteRef/>
      </w:r>
      <w:r w:rsidRPr="00A95778">
        <w:rPr>
          <w:sz w:val="20"/>
          <w:szCs w:val="20"/>
        </w:rPr>
        <w:t xml:space="preserve"> </w:t>
      </w:r>
      <w:r w:rsidRPr="00A95778">
        <w:rPr>
          <w:rFonts w:asciiTheme="majorHAnsi" w:hAnsiTheme="majorHAnsi"/>
          <w:sz w:val="20"/>
          <w:szCs w:val="20"/>
        </w:rPr>
        <w:t xml:space="preserve">Par. St., Kamer, 2143/001, pp. 65-66, </w:t>
      </w:r>
    </w:p>
    <w:p w:rsidR="00B25F0C" w:rsidRPr="00A95778" w:rsidRDefault="00B25F0C" w:rsidP="003A4841">
      <w:pPr>
        <w:pStyle w:val="Voetnoottekst"/>
        <w:rPr>
          <w:sz w:val="20"/>
          <w:szCs w:val="20"/>
        </w:rPr>
      </w:pPr>
      <w:bookmarkStart w:id="31" w:name="_GoBack"/>
      <w:bookmarkEnd w:id="31"/>
      <w:r w:rsidRPr="00A95778">
        <w:rPr>
          <w:rFonts w:asciiTheme="majorHAnsi" w:hAnsiTheme="majorHAnsi"/>
          <w:sz w:val="20"/>
          <w:szCs w:val="20"/>
        </w:rPr>
        <w:t>(</w:t>
      </w:r>
      <w:hyperlink r:id="rId2" w:history="1">
        <w:r w:rsidRPr="00A95778">
          <w:rPr>
            <w:rStyle w:val="Hyperlink"/>
            <w:rFonts w:asciiTheme="majorHAnsi" w:hAnsiTheme="majorHAnsi"/>
            <w:sz w:val="20"/>
            <w:szCs w:val="20"/>
          </w:rPr>
          <w:t>http://www.dekamer.be/FLWB/PDF/53/2143/53K2143001.pdf</w:t>
        </w:r>
      </w:hyperlink>
      <w:r w:rsidRPr="00A95778">
        <w:rPr>
          <w:rFonts w:asciiTheme="majorHAnsi" w:hAnsiTheme="majorHAnsi"/>
          <w:sz w:val="20"/>
          <w:szCs w:val="20"/>
        </w:rPr>
        <w:t xml:space="preserve">) </w:t>
      </w:r>
    </w:p>
  </w:footnote>
  <w:footnote w:id="7">
    <w:p w:rsidR="00B25F0C" w:rsidRDefault="00B25F0C" w:rsidP="003A4841">
      <w:pPr>
        <w:pStyle w:val="Voetnoottekst"/>
      </w:pPr>
      <w:r w:rsidRPr="00A95778">
        <w:rPr>
          <w:rStyle w:val="Voetnootmarkering"/>
          <w:sz w:val="20"/>
          <w:szCs w:val="20"/>
        </w:rPr>
        <w:footnoteRef/>
      </w:r>
      <w:r w:rsidRPr="00A95778">
        <w:rPr>
          <w:sz w:val="20"/>
          <w:szCs w:val="20"/>
        </w:rPr>
        <w:t xml:space="preserve"> </w:t>
      </w:r>
      <w:r w:rsidRPr="00A95778">
        <w:rPr>
          <w:rFonts w:asciiTheme="majorHAnsi" w:hAnsiTheme="majorHAnsi"/>
          <w:sz w:val="20"/>
          <w:szCs w:val="20"/>
        </w:rPr>
        <w:t>In de drafversies gaat het om het onderdeel 6.3.</w:t>
      </w:r>
    </w:p>
  </w:footnote>
  <w:footnote w:id="8">
    <w:p w:rsidR="00B25F0C" w:rsidRDefault="00B25F0C" w:rsidP="003A4841">
      <w:pPr>
        <w:pStyle w:val="Voetnoottekst"/>
      </w:pPr>
      <w:r>
        <w:rPr>
          <w:rStyle w:val="Voetnootmarkering"/>
        </w:rPr>
        <w:footnoteRef/>
      </w:r>
      <w:r>
        <w:t xml:space="preserve"> </w:t>
      </w:r>
      <w:r w:rsidRPr="00A95778">
        <w:rPr>
          <w:rFonts w:asciiTheme="majorHAnsi" w:hAnsiTheme="majorHAnsi"/>
          <w:sz w:val="20"/>
          <w:szCs w:val="20"/>
        </w:rPr>
        <w:t>Het gaat om de onderdelen 9.1 e.v. van de drafversies. Als commentaar bij de track changes werd toegevoegd “</w:t>
      </w:r>
      <w:r w:rsidRPr="00A95778">
        <w:rPr>
          <w:rFonts w:asciiTheme="majorHAnsi" w:hAnsiTheme="majorHAnsi"/>
          <w:i/>
          <w:sz w:val="20"/>
          <w:szCs w:val="20"/>
        </w:rPr>
        <w:t>Dit is in strijd met artikel 108§1f</w:t>
      </w:r>
      <w:r w:rsidRPr="00A95778">
        <w:rPr>
          <w:rFonts w:asciiTheme="majorHAnsi" w:hAnsiTheme="majorHAnsi"/>
          <w:sz w:val="20"/>
          <w:szCs w:val="20"/>
        </w:rPr>
        <w:t>” en “</w:t>
      </w:r>
      <w:r w:rsidRPr="00A95778">
        <w:rPr>
          <w:rFonts w:asciiTheme="majorHAnsi" w:hAnsiTheme="majorHAnsi"/>
          <w:i/>
          <w:sz w:val="20"/>
          <w:szCs w:val="20"/>
        </w:rPr>
        <w:t>Afgekeurd door BIPT : in strijd met artikel 108§1f</w:t>
      </w:r>
      <w:r w:rsidRPr="00A95778">
        <w:rPr>
          <w:rFonts w:asciiTheme="majorHAnsi" w:hAnsiTheme="majorHAnsi"/>
          <w:sz w:val="20"/>
          <w:szCs w:val="20"/>
        </w:rPr>
        <w:t>”.</w:t>
      </w:r>
      <w:r>
        <w:t xml:space="preserve">  </w:t>
      </w:r>
    </w:p>
  </w:footnote>
  <w:footnote w:id="9">
    <w:p w:rsidR="00B25F0C" w:rsidRPr="00A95778" w:rsidRDefault="00B25F0C" w:rsidP="003A4841">
      <w:pPr>
        <w:pStyle w:val="Voetnoottekst"/>
        <w:rPr>
          <w:sz w:val="20"/>
          <w:szCs w:val="20"/>
        </w:rPr>
      </w:pPr>
      <w:r>
        <w:rPr>
          <w:rStyle w:val="Voetnootmarkering"/>
        </w:rPr>
        <w:footnoteRef/>
      </w:r>
      <w:r w:rsidRPr="00A95778">
        <w:rPr>
          <w:sz w:val="20"/>
          <w:szCs w:val="20"/>
        </w:rPr>
        <w:t xml:space="preserve"> </w:t>
      </w:r>
      <w:proofErr w:type="spellStart"/>
      <w:r w:rsidRPr="00A95778">
        <w:rPr>
          <w:rFonts w:asciiTheme="majorHAnsi" w:hAnsiTheme="majorHAnsi"/>
          <w:sz w:val="20"/>
          <w:szCs w:val="20"/>
        </w:rPr>
        <w:t>Parl</w:t>
      </w:r>
      <w:proofErr w:type="spellEnd"/>
      <w:r w:rsidRPr="00A95778">
        <w:rPr>
          <w:rFonts w:asciiTheme="majorHAnsi" w:hAnsiTheme="majorHAnsi"/>
          <w:sz w:val="20"/>
          <w:szCs w:val="20"/>
        </w:rPr>
        <w:t>. St., Kamer, 1247/001, p. 8 (</w:t>
      </w:r>
      <w:hyperlink r:id="rId3" w:history="1">
        <w:r w:rsidRPr="00A95778">
          <w:rPr>
            <w:rStyle w:val="Hyperlink"/>
            <w:rFonts w:asciiTheme="majorHAnsi" w:hAnsiTheme="majorHAnsi"/>
            <w:sz w:val="20"/>
            <w:szCs w:val="20"/>
          </w:rPr>
          <w:t>http://www.dekamer.be/FLWB/PDF/53/1247/53K1247001.pdf</w:t>
        </w:r>
      </w:hyperlink>
      <w:r w:rsidRPr="00A95778">
        <w:rPr>
          <w:rFonts w:asciiTheme="majorHAnsi" w:hAnsiTheme="majorHAnsi"/>
          <w:sz w:val="20"/>
          <w:szCs w:val="20"/>
        </w:rPr>
        <w:t>)</w:t>
      </w:r>
      <w:r w:rsidRPr="00A95778">
        <w:rPr>
          <w:sz w:val="20"/>
          <w:szCs w:val="20"/>
        </w:rPr>
        <w:t xml:space="preserve"> </w:t>
      </w:r>
    </w:p>
  </w:footnote>
  <w:footnote w:id="10">
    <w:p w:rsidR="00B25F0C" w:rsidRPr="00A95778" w:rsidRDefault="00B25F0C" w:rsidP="003A4841">
      <w:pPr>
        <w:pStyle w:val="Voetnoottekst"/>
        <w:rPr>
          <w:sz w:val="20"/>
          <w:szCs w:val="20"/>
        </w:rPr>
      </w:pPr>
      <w:r w:rsidRPr="00A95778">
        <w:rPr>
          <w:rStyle w:val="Voetnootmarkering"/>
          <w:sz w:val="20"/>
          <w:szCs w:val="20"/>
        </w:rPr>
        <w:footnoteRef/>
      </w:r>
      <w:r w:rsidRPr="00A95778">
        <w:rPr>
          <w:sz w:val="20"/>
          <w:szCs w:val="20"/>
        </w:rPr>
        <w:t xml:space="preserve"> </w:t>
      </w:r>
      <w:r w:rsidRPr="00A95778">
        <w:rPr>
          <w:rFonts w:asciiTheme="majorHAnsi" w:hAnsiTheme="majorHAnsi"/>
          <w:sz w:val="20"/>
          <w:szCs w:val="20"/>
        </w:rPr>
        <w:t>Het 2de lid van onderdeel 13.1, waarin wordt bepaald dat in geval van opzeg binnen het eerste jaar, hoe dan ook de abonnementsgelden voor de resterende periode tot 12 maanden betaald moeten worden, doen vermoeden dat Dommel dezelfde regel toepast voor de contracten met jaarlijkse of tweejaarlijkse betaling.</w:t>
      </w:r>
      <w:r w:rsidRPr="00A95778">
        <w:rPr>
          <w:sz w:val="20"/>
          <w:szCs w:val="20"/>
        </w:rPr>
        <w:t xml:space="preserve"> </w:t>
      </w:r>
    </w:p>
    <w:p w:rsidR="00B25F0C" w:rsidRDefault="00B25F0C" w:rsidP="003A4841">
      <w:pPr>
        <w:pStyle w:val="Voetnoottekst"/>
      </w:pPr>
    </w:p>
  </w:footnote>
  <w:footnote w:id="11">
    <w:p w:rsidR="00B25F0C" w:rsidRPr="007D4C0C" w:rsidRDefault="00B25F0C" w:rsidP="003A4841">
      <w:pPr>
        <w:pStyle w:val="Voetnoottekst"/>
        <w:rPr>
          <w:rFonts w:asciiTheme="majorHAnsi" w:hAnsiTheme="majorHAnsi"/>
        </w:rPr>
      </w:pPr>
      <w:r w:rsidRPr="007D4C0C">
        <w:rPr>
          <w:rStyle w:val="Voetnootmarkering"/>
          <w:rFonts w:asciiTheme="majorHAnsi" w:hAnsiTheme="majorHAnsi"/>
        </w:rPr>
        <w:footnoteRef/>
      </w:r>
      <w:r w:rsidRPr="007D4C0C">
        <w:rPr>
          <w:rFonts w:asciiTheme="majorHAnsi" w:hAnsiTheme="majorHAnsi"/>
        </w:rPr>
        <w:t xml:space="preserve"> </w:t>
      </w:r>
      <w:r w:rsidRPr="00A95778">
        <w:rPr>
          <w:rFonts w:asciiTheme="majorHAnsi" w:hAnsiTheme="majorHAnsi"/>
          <w:sz w:val="20"/>
          <w:szCs w:val="20"/>
        </w:rPr>
        <w:t>Het is in een aantal gevallen immers mogelijk dat het uitlopen van de wachttijd te wijten is aan de netwerkoperator en niet aan Dommel.</w:t>
      </w:r>
      <w:r w:rsidRPr="007D4C0C">
        <w:rPr>
          <w:rFonts w:asciiTheme="majorHAnsi" w:hAnsiTheme="majorHAnsi"/>
        </w:rPr>
        <w:t xml:space="preserve"> </w:t>
      </w:r>
    </w:p>
  </w:footnote>
  <w:footnote w:id="12">
    <w:p w:rsidR="00B25F0C" w:rsidRPr="00A95778" w:rsidRDefault="00B25F0C" w:rsidP="003A4841">
      <w:pPr>
        <w:keepLines/>
        <w:rPr>
          <w:sz w:val="20"/>
          <w:szCs w:val="20"/>
          <w:lang w:eastAsia="fr-FR"/>
        </w:rPr>
      </w:pPr>
      <w:r w:rsidRPr="007D4C0C">
        <w:rPr>
          <w:rStyle w:val="Voetnootmarkering"/>
          <w:rFonts w:asciiTheme="majorHAnsi" w:hAnsiTheme="majorHAnsi"/>
          <w:sz w:val="20"/>
        </w:rPr>
        <w:footnoteRef/>
      </w:r>
      <w:r w:rsidRPr="007D4C0C">
        <w:rPr>
          <w:rFonts w:asciiTheme="majorHAnsi" w:hAnsiTheme="majorHAnsi"/>
          <w:sz w:val="20"/>
        </w:rPr>
        <w:t xml:space="preserve"> </w:t>
      </w:r>
      <w:r w:rsidRPr="00A95778">
        <w:rPr>
          <w:sz w:val="20"/>
          <w:szCs w:val="20"/>
          <w:lang w:eastAsia="fr-FR"/>
        </w:rPr>
        <w:t>Zie ook de Memorie van Toelichting bij dit artikel waarin wordt gesteld : “Paragraaf 1 definieert de verplichtingen inzake voorlichting van de cliënteel die op de operatoren en dienstenleveranciersrusten.” (</w:t>
      </w:r>
      <w:proofErr w:type="spellStart"/>
      <w:r w:rsidRPr="00A95778">
        <w:rPr>
          <w:sz w:val="20"/>
          <w:szCs w:val="20"/>
          <w:lang w:eastAsia="fr-FR"/>
        </w:rPr>
        <w:t>Parl</w:t>
      </w:r>
      <w:proofErr w:type="spellEnd"/>
      <w:r w:rsidRPr="00A95778">
        <w:rPr>
          <w:sz w:val="20"/>
          <w:szCs w:val="20"/>
          <w:lang w:eastAsia="fr-FR"/>
        </w:rPr>
        <w:t>. St., De Kamer, 2004-2005, 1425/001, p. 68.)</w:t>
      </w:r>
    </w:p>
  </w:footnote>
  <w:footnote w:id="13">
    <w:p w:rsidR="00B25F0C" w:rsidRPr="00A95778" w:rsidRDefault="00B25F0C" w:rsidP="003A4841">
      <w:pPr>
        <w:pStyle w:val="Voetnoottekst"/>
        <w:rPr>
          <w:rFonts w:asciiTheme="majorHAnsi" w:hAnsiTheme="majorHAnsi"/>
          <w:sz w:val="20"/>
          <w:szCs w:val="20"/>
        </w:rPr>
      </w:pPr>
      <w:r w:rsidRPr="00A95778">
        <w:rPr>
          <w:rStyle w:val="Voetnootmarkering"/>
          <w:rFonts w:asciiTheme="majorHAnsi" w:hAnsiTheme="majorHAnsi"/>
          <w:sz w:val="20"/>
          <w:szCs w:val="20"/>
        </w:rPr>
        <w:footnoteRef/>
      </w:r>
      <w:r w:rsidRPr="00A95778">
        <w:rPr>
          <w:rFonts w:asciiTheme="majorHAnsi" w:hAnsiTheme="majorHAnsi"/>
          <w:sz w:val="20"/>
          <w:szCs w:val="20"/>
        </w:rPr>
        <w:t xml:space="preserve"> Considerans 30 van de Richtlijn 2002/22/EG (</w:t>
      </w:r>
      <w:proofErr w:type="spellStart"/>
      <w:r w:rsidRPr="00A95778">
        <w:rPr>
          <w:rFonts w:asciiTheme="majorHAnsi" w:hAnsiTheme="majorHAnsi"/>
          <w:sz w:val="20"/>
          <w:szCs w:val="20"/>
        </w:rPr>
        <w:t>Universeledienstenrichtlijn</w:t>
      </w:r>
      <w:proofErr w:type="spellEnd"/>
      <w:r w:rsidRPr="00A95778">
        <w:rPr>
          <w:rFonts w:asciiTheme="majorHAnsi" w:hAnsiTheme="majorHAnsi"/>
          <w:sz w:val="20"/>
          <w:szCs w:val="20"/>
        </w:rPr>
        <w:t xml:space="preserve">) stelt dienaangaande : </w:t>
      </w:r>
      <w:r w:rsidRPr="00A95778">
        <w:rPr>
          <w:rFonts w:asciiTheme="majorHAnsi" w:hAnsiTheme="majorHAnsi"/>
          <w:i/>
          <w:sz w:val="20"/>
          <w:szCs w:val="20"/>
        </w:rPr>
        <w:t xml:space="preserve">“Met name voor consumenten moet een minimumniveau van </w:t>
      </w:r>
      <w:proofErr w:type="spellStart"/>
      <w:r w:rsidRPr="00A95778">
        <w:rPr>
          <w:rFonts w:asciiTheme="majorHAnsi" w:hAnsiTheme="majorHAnsi"/>
          <w:i/>
          <w:sz w:val="20"/>
          <w:szCs w:val="20"/>
        </w:rPr>
        <w:t>rechtzekerheid</w:t>
      </w:r>
      <w:proofErr w:type="spellEnd"/>
      <w:r w:rsidRPr="00A95778">
        <w:rPr>
          <w:rFonts w:asciiTheme="majorHAnsi" w:hAnsiTheme="majorHAnsi"/>
          <w:i/>
          <w:sz w:val="20"/>
          <w:szCs w:val="20"/>
        </w:rPr>
        <w:t xml:space="preserve"> gelden met betrekking tot hun contractuele relaties met hun directe aanbieder van telefoondiensten. Daartoe dienen de contractvoorwaarden en –bepalingen, de kwaliteiten van de dienst, de voorwaarden voor beëindiging van de overeenkomst  en de dienst, de schadevergoedingsmaatregelen en geschillenbeslechting in hun contracten te worden vermeld.”</w:t>
      </w:r>
    </w:p>
  </w:footnote>
  <w:footnote w:id="14">
    <w:p w:rsidR="00B25F0C" w:rsidRPr="00A95778" w:rsidRDefault="00B25F0C" w:rsidP="003A4841">
      <w:pPr>
        <w:pStyle w:val="Voetnoottekst"/>
        <w:rPr>
          <w:rFonts w:asciiTheme="majorHAnsi" w:hAnsiTheme="majorHAnsi"/>
          <w:sz w:val="20"/>
          <w:szCs w:val="20"/>
        </w:rPr>
      </w:pPr>
      <w:r w:rsidRPr="00A95778">
        <w:rPr>
          <w:rStyle w:val="Voetnootmarkering"/>
          <w:rFonts w:asciiTheme="majorHAnsi" w:hAnsiTheme="majorHAnsi"/>
          <w:sz w:val="20"/>
          <w:szCs w:val="20"/>
        </w:rPr>
        <w:footnoteRef/>
      </w:r>
      <w:r w:rsidRPr="00A95778">
        <w:rPr>
          <w:rFonts w:asciiTheme="majorHAnsi" w:hAnsiTheme="majorHAnsi"/>
          <w:sz w:val="20"/>
          <w:szCs w:val="20"/>
        </w:rPr>
        <w:t xml:space="preserve"> Artikel 108 maakt deel uit van “</w:t>
      </w:r>
      <w:r w:rsidRPr="00A95778">
        <w:rPr>
          <w:rFonts w:asciiTheme="majorHAnsi" w:hAnsiTheme="majorHAnsi"/>
          <w:i/>
          <w:sz w:val="20"/>
          <w:szCs w:val="20"/>
        </w:rPr>
        <w:t>Hoofdstuk III .- Bescherming van de eindgebruikers</w:t>
      </w:r>
      <w:r w:rsidRPr="00A95778">
        <w:rPr>
          <w:rFonts w:asciiTheme="majorHAnsi" w:hAnsiTheme="majorHAnsi"/>
          <w:sz w:val="20"/>
          <w:szCs w:val="20"/>
        </w:rPr>
        <w:t xml:space="preserve">”, WEC. </w:t>
      </w:r>
    </w:p>
  </w:footnote>
  <w:footnote w:id="15">
    <w:p w:rsidR="00B25F0C" w:rsidRPr="00A95778" w:rsidRDefault="00B25F0C" w:rsidP="003A4841">
      <w:pPr>
        <w:pStyle w:val="Voetnoottekst"/>
        <w:rPr>
          <w:sz w:val="20"/>
          <w:szCs w:val="20"/>
        </w:rPr>
      </w:pPr>
      <w:r w:rsidRPr="00A95778">
        <w:rPr>
          <w:rStyle w:val="Voetnootmarkering"/>
          <w:rFonts w:asciiTheme="majorHAnsi" w:hAnsiTheme="majorHAnsi"/>
          <w:sz w:val="20"/>
          <w:szCs w:val="20"/>
        </w:rPr>
        <w:footnoteRef/>
      </w:r>
      <w:r w:rsidRPr="00A95778">
        <w:rPr>
          <w:rFonts w:asciiTheme="majorHAnsi" w:hAnsiTheme="majorHAnsi"/>
          <w:sz w:val="20"/>
          <w:szCs w:val="20"/>
        </w:rPr>
        <w:t xml:space="preserve"> CAMBIE, P., Onrechtmatige bedingen”, </w:t>
      </w:r>
      <w:proofErr w:type="spellStart"/>
      <w:r w:rsidRPr="00A95778">
        <w:rPr>
          <w:rFonts w:asciiTheme="majorHAnsi" w:hAnsiTheme="majorHAnsi"/>
          <w:sz w:val="20"/>
          <w:szCs w:val="20"/>
        </w:rPr>
        <w:t>Larcier</w:t>
      </w:r>
      <w:proofErr w:type="spellEnd"/>
      <w:r w:rsidRPr="00A95778">
        <w:rPr>
          <w:rFonts w:asciiTheme="majorHAnsi" w:hAnsiTheme="majorHAnsi"/>
          <w:sz w:val="20"/>
          <w:szCs w:val="20"/>
        </w:rPr>
        <w:t>, 2009, p. 200, nr. 240.</w:t>
      </w:r>
      <w:r w:rsidRPr="00A95778">
        <w:rPr>
          <w:sz w:val="20"/>
          <w:szCs w:val="20"/>
        </w:rPr>
        <w:t xml:space="preserve"> </w:t>
      </w:r>
    </w:p>
  </w:footnote>
  <w:footnote w:id="16">
    <w:p w:rsidR="00B25F0C" w:rsidRDefault="00B25F0C" w:rsidP="003A4841">
      <w:pPr>
        <w:pStyle w:val="Voetnoottekst"/>
      </w:pPr>
      <w:r w:rsidRPr="00A95778">
        <w:rPr>
          <w:rStyle w:val="Voetnootmarkering"/>
          <w:sz w:val="20"/>
          <w:szCs w:val="20"/>
        </w:rPr>
        <w:footnoteRef/>
      </w:r>
      <w:r w:rsidRPr="00A95778">
        <w:rPr>
          <w:sz w:val="20"/>
          <w:szCs w:val="20"/>
        </w:rPr>
        <w:t xml:space="preserve"> </w:t>
      </w:r>
      <w:r w:rsidRPr="00A95778">
        <w:rPr>
          <w:rFonts w:asciiTheme="majorHAnsi" w:hAnsiTheme="majorHAnsi"/>
          <w:sz w:val="20"/>
          <w:szCs w:val="20"/>
        </w:rPr>
        <w:t>In het onderdeel 3.3.</w:t>
      </w:r>
    </w:p>
  </w:footnote>
  <w:footnote w:id="17">
    <w:p w:rsidR="00B25F0C" w:rsidRPr="0045094E" w:rsidRDefault="00B25F0C">
      <w:pPr>
        <w:pStyle w:val="Voetnoottekst"/>
        <w:rPr>
          <w:sz w:val="20"/>
          <w:szCs w:val="20"/>
        </w:rPr>
      </w:pPr>
      <w:r>
        <w:rPr>
          <w:rStyle w:val="Voetnootmarkering"/>
        </w:rPr>
        <w:footnoteRef/>
      </w:r>
      <w:r>
        <w:t xml:space="preserve"> </w:t>
      </w:r>
      <w:r w:rsidRPr="0045094E">
        <w:rPr>
          <w:sz w:val="20"/>
          <w:szCs w:val="20"/>
        </w:rPr>
        <w:t>Met name de wet van 10 juli 2012 houdende diverse bepalingen inzake elektronische communicatie.</w:t>
      </w:r>
    </w:p>
  </w:footnote>
  <w:footnote w:id="18">
    <w:p w:rsidR="00B25F0C" w:rsidRDefault="00B25F0C">
      <w:pPr>
        <w:pStyle w:val="Voetnoottekst"/>
      </w:pPr>
      <w:r w:rsidRPr="0045094E">
        <w:rPr>
          <w:rStyle w:val="Voetnootmarkering"/>
          <w:sz w:val="20"/>
          <w:szCs w:val="20"/>
        </w:rPr>
        <w:footnoteRef/>
      </w:r>
      <w:r w:rsidRPr="0045094E">
        <w:rPr>
          <w:sz w:val="20"/>
          <w:szCs w:val="20"/>
        </w:rPr>
        <w:t xml:space="preserve"> Cf. de brief met grieven onderdeel 2.2 (pp. 7-9) over art</w:t>
      </w:r>
      <w:r>
        <w:rPr>
          <w:sz w:val="20"/>
          <w:szCs w:val="20"/>
        </w:rPr>
        <w:t>ikel</w:t>
      </w:r>
      <w:r w:rsidRPr="0045094E">
        <w:rPr>
          <w:sz w:val="20"/>
          <w:szCs w:val="20"/>
        </w:rPr>
        <w:t xml:space="preserve"> 5.2 </w:t>
      </w:r>
      <w:r>
        <w:rPr>
          <w:sz w:val="20"/>
          <w:szCs w:val="20"/>
        </w:rPr>
        <w:t>van de algemene voorwaarden</w:t>
      </w:r>
      <w:r w:rsidRPr="0045094E">
        <w:rPr>
          <w:sz w:val="20"/>
          <w:szCs w:val="20"/>
        </w:rPr>
        <w:t xml:space="preserve">; onderdeel 2.3 (pp. 9-10) over </w:t>
      </w:r>
      <w:r w:rsidRPr="002B5384">
        <w:rPr>
          <w:sz w:val="20"/>
          <w:szCs w:val="20"/>
        </w:rPr>
        <w:t>artikel</w:t>
      </w:r>
      <w:r w:rsidRPr="0045094E">
        <w:rPr>
          <w:sz w:val="20"/>
          <w:szCs w:val="20"/>
        </w:rPr>
        <w:t xml:space="preserve"> 9.1 </w:t>
      </w:r>
      <w:r w:rsidRPr="002B5384">
        <w:rPr>
          <w:sz w:val="20"/>
          <w:szCs w:val="20"/>
        </w:rPr>
        <w:t>van de algemene voorwaarden</w:t>
      </w:r>
      <w:r w:rsidRPr="0045094E">
        <w:rPr>
          <w:sz w:val="20"/>
          <w:szCs w:val="20"/>
        </w:rPr>
        <w:t xml:space="preserve">, onderdeel 2.6 (pp. 12-14) over </w:t>
      </w:r>
      <w:r w:rsidRPr="002B5384">
        <w:rPr>
          <w:sz w:val="20"/>
          <w:szCs w:val="20"/>
        </w:rPr>
        <w:t>artikel</w:t>
      </w:r>
      <w:r w:rsidRPr="0045094E">
        <w:rPr>
          <w:sz w:val="20"/>
          <w:szCs w:val="20"/>
        </w:rPr>
        <w:t xml:space="preserve"> 13.3 </w:t>
      </w:r>
      <w:r w:rsidRPr="002B5384">
        <w:rPr>
          <w:sz w:val="20"/>
          <w:szCs w:val="20"/>
        </w:rPr>
        <w:t xml:space="preserve">van de algemene voorwaarden </w:t>
      </w:r>
      <w:r w:rsidRPr="0045094E">
        <w:rPr>
          <w:sz w:val="20"/>
          <w:szCs w:val="20"/>
        </w:rPr>
        <w:t xml:space="preserve">en onderdeel 2.7 (p. 14-15) over het ontbreken van een wachttijd bij </w:t>
      </w:r>
      <w:r>
        <w:rPr>
          <w:sz w:val="20"/>
          <w:szCs w:val="20"/>
        </w:rPr>
        <w:t>eers</w:t>
      </w:r>
      <w:r w:rsidRPr="0045094E">
        <w:rPr>
          <w:sz w:val="20"/>
          <w:szCs w:val="20"/>
        </w:rPr>
        <w:t xml:space="preserve">te aansluiting en de soorten onderhoudsservice. De enige nieuwe grieven zijn de onderdelen 2.4 en 2.5 over de opzegmogelijkheden bij contracten van 1 jaar en de gebrekkige toepassing van </w:t>
      </w:r>
      <w:r w:rsidRPr="002B5384">
        <w:rPr>
          <w:sz w:val="20"/>
          <w:szCs w:val="20"/>
        </w:rPr>
        <w:t>artikel</w:t>
      </w:r>
      <w:r w:rsidRPr="0045094E">
        <w:rPr>
          <w:sz w:val="20"/>
          <w:szCs w:val="20"/>
        </w:rPr>
        <w:t xml:space="preserve"> 111/3, § 1, WEC.</w:t>
      </w:r>
      <w:r w:rsidRPr="00854450">
        <w:t xml:space="preserve">  </w:t>
      </w:r>
    </w:p>
  </w:footnote>
  <w:footnote w:id="19">
    <w:p w:rsidR="00B25F0C" w:rsidRPr="00BE610F" w:rsidRDefault="00B25F0C">
      <w:pPr>
        <w:pStyle w:val="Voetnoottekst"/>
        <w:rPr>
          <w:sz w:val="20"/>
          <w:szCs w:val="20"/>
        </w:rPr>
      </w:pPr>
      <w:r>
        <w:rPr>
          <w:rStyle w:val="Voetnootmarkering"/>
        </w:rPr>
        <w:footnoteRef/>
      </w:r>
      <w:r>
        <w:t xml:space="preserve"> </w:t>
      </w:r>
      <w:r w:rsidRPr="00BE610F">
        <w:rPr>
          <w:sz w:val="20"/>
          <w:szCs w:val="20"/>
        </w:rPr>
        <w:t>Zie hierover ook : “</w:t>
      </w:r>
      <w:r w:rsidRPr="00BE610F">
        <w:rPr>
          <w:i/>
          <w:sz w:val="20"/>
          <w:szCs w:val="20"/>
        </w:rPr>
        <w:t>Jaarverslag 2011</w:t>
      </w:r>
      <w:r w:rsidRPr="00BE610F">
        <w:rPr>
          <w:sz w:val="20"/>
          <w:szCs w:val="20"/>
        </w:rPr>
        <w:t xml:space="preserve">” van de </w:t>
      </w:r>
      <w:proofErr w:type="spellStart"/>
      <w:r w:rsidRPr="00BE610F">
        <w:rPr>
          <w:sz w:val="20"/>
          <w:szCs w:val="20"/>
        </w:rPr>
        <w:t>Ombudsdienst</w:t>
      </w:r>
      <w:proofErr w:type="spellEnd"/>
      <w:r w:rsidRPr="00BE610F">
        <w:rPr>
          <w:sz w:val="20"/>
          <w:szCs w:val="20"/>
        </w:rPr>
        <w:t xml:space="preserve"> voor telecommunicatie, pp. 36-37.</w:t>
      </w:r>
    </w:p>
  </w:footnote>
  <w:footnote w:id="20">
    <w:p w:rsidR="00B25F0C" w:rsidRDefault="00B25F0C">
      <w:pPr>
        <w:pStyle w:val="Voetnoottekst"/>
      </w:pPr>
      <w:r w:rsidRPr="00BE610F">
        <w:rPr>
          <w:rStyle w:val="Voetnootmarkering"/>
          <w:sz w:val="20"/>
          <w:szCs w:val="20"/>
        </w:rPr>
        <w:footnoteRef/>
      </w:r>
      <w:r w:rsidRPr="00BE610F">
        <w:rPr>
          <w:sz w:val="20"/>
          <w:szCs w:val="20"/>
        </w:rPr>
        <w:t xml:space="preserve"> Dommel voert ter zake aan dat de betreffende klanten konden genieten van een substantiële korting op voorwaard dat zij gedurende 1 jaar klant blijven bij Dommel. Dommel behoudt zich </w:t>
      </w:r>
      <w:r>
        <w:rPr>
          <w:sz w:val="20"/>
          <w:szCs w:val="20"/>
        </w:rPr>
        <w:t xml:space="preserve">naar eigen zeggen </w:t>
      </w:r>
      <w:r w:rsidRPr="00BE610F">
        <w:rPr>
          <w:sz w:val="20"/>
          <w:szCs w:val="20"/>
        </w:rPr>
        <w:t>desgeval</w:t>
      </w:r>
      <w:r>
        <w:rPr>
          <w:sz w:val="20"/>
          <w:szCs w:val="20"/>
        </w:rPr>
        <w:t>l</w:t>
      </w:r>
      <w:r w:rsidRPr="00BE610F">
        <w:rPr>
          <w:sz w:val="20"/>
          <w:szCs w:val="20"/>
        </w:rPr>
        <w:t>end het recht voor om van deze klanten een terugbetaling te eisen van de genoten korting.</w:t>
      </w:r>
      <w:r>
        <w:t xml:space="preserve"> </w:t>
      </w:r>
    </w:p>
  </w:footnote>
  <w:footnote w:id="21">
    <w:p w:rsidR="00B25F0C" w:rsidRDefault="00B25F0C">
      <w:pPr>
        <w:pStyle w:val="Voetnoottekst"/>
      </w:pPr>
      <w:r>
        <w:rPr>
          <w:rStyle w:val="Voetnootmarkering"/>
        </w:rPr>
        <w:footnoteRef/>
      </w:r>
      <w:r>
        <w:t xml:space="preserve"> </w:t>
      </w:r>
      <w:r w:rsidRPr="00FC6BFE">
        <w:rPr>
          <w:sz w:val="20"/>
          <w:szCs w:val="20"/>
          <w:lang w:val="de-DE"/>
        </w:rPr>
        <w:t xml:space="preserve">Ger.EU (8e k.) </w:t>
      </w:r>
      <w:proofErr w:type="spellStart"/>
      <w:r w:rsidRPr="00FC6BFE">
        <w:rPr>
          <w:sz w:val="20"/>
          <w:szCs w:val="20"/>
          <w:lang w:val="de-DE"/>
        </w:rPr>
        <w:t>nr.</w:t>
      </w:r>
      <w:proofErr w:type="spellEnd"/>
      <w:r w:rsidRPr="00FC6BFE">
        <w:rPr>
          <w:sz w:val="20"/>
          <w:szCs w:val="20"/>
          <w:lang w:val="de-DE"/>
        </w:rPr>
        <w:t xml:space="preserve"> T-384/06, 24 </w:t>
      </w:r>
      <w:proofErr w:type="spellStart"/>
      <w:r w:rsidRPr="00FC6BFE">
        <w:rPr>
          <w:sz w:val="20"/>
          <w:szCs w:val="20"/>
          <w:lang w:val="de-DE"/>
        </w:rPr>
        <w:t>maart</w:t>
      </w:r>
      <w:proofErr w:type="spellEnd"/>
      <w:r w:rsidRPr="00FC6BFE">
        <w:rPr>
          <w:sz w:val="20"/>
          <w:szCs w:val="20"/>
          <w:lang w:val="de-DE"/>
        </w:rPr>
        <w:t xml:space="preserve"> 2011</w:t>
      </w:r>
      <w:r w:rsidRPr="00FC6BFE">
        <w:rPr>
          <w:i/>
          <w:sz w:val="20"/>
          <w:szCs w:val="20"/>
          <w:lang w:val="de-DE"/>
        </w:rPr>
        <w:t xml:space="preserve"> (IBP en International Buildi</w:t>
      </w:r>
      <w:r>
        <w:rPr>
          <w:i/>
          <w:sz w:val="20"/>
          <w:szCs w:val="20"/>
          <w:lang w:val="de-DE"/>
        </w:rPr>
        <w:t xml:space="preserve">ng Products </w:t>
      </w:r>
      <w:proofErr w:type="spellStart"/>
      <w:r>
        <w:rPr>
          <w:i/>
          <w:sz w:val="20"/>
          <w:szCs w:val="20"/>
          <w:lang w:val="de-DE"/>
        </w:rPr>
        <w:t>France</w:t>
      </w:r>
      <w:proofErr w:type="spellEnd"/>
      <w:r>
        <w:rPr>
          <w:i/>
          <w:sz w:val="20"/>
          <w:szCs w:val="20"/>
          <w:lang w:val="de-DE"/>
        </w:rPr>
        <w:t xml:space="preserve"> / </w:t>
      </w:r>
      <w:proofErr w:type="spellStart"/>
      <w:r>
        <w:rPr>
          <w:i/>
          <w:sz w:val="20"/>
          <w:szCs w:val="20"/>
          <w:lang w:val="de-DE"/>
        </w:rPr>
        <w:t>Commissie</w:t>
      </w:r>
      <w:proofErr w:type="spellEnd"/>
      <w:r>
        <w:rPr>
          <w:i/>
          <w:sz w:val="20"/>
          <w:szCs w:val="20"/>
          <w:lang w:val="de-DE"/>
        </w:rPr>
        <w:t>)</w:t>
      </w:r>
    </w:p>
  </w:footnote>
  <w:footnote w:id="22">
    <w:p w:rsidR="00B25F0C" w:rsidRDefault="00B25F0C">
      <w:pPr>
        <w:pStyle w:val="Voetnoottekst"/>
      </w:pPr>
      <w:r>
        <w:rPr>
          <w:rStyle w:val="Voetnootmarkering"/>
        </w:rPr>
        <w:footnoteRef/>
      </w:r>
      <w:r>
        <w:t xml:space="preserve"> </w:t>
      </w:r>
      <w:r w:rsidRPr="0030153F">
        <w:rPr>
          <w:sz w:val="20"/>
          <w:szCs w:val="20"/>
        </w:rPr>
        <w:t>Dit standpunt is “</w:t>
      </w:r>
      <w:proofErr w:type="spellStart"/>
      <w:r w:rsidRPr="0030153F">
        <w:rPr>
          <w:i/>
          <w:sz w:val="20"/>
          <w:szCs w:val="20"/>
        </w:rPr>
        <w:t>settled</w:t>
      </w:r>
      <w:proofErr w:type="spellEnd"/>
      <w:r w:rsidRPr="0030153F">
        <w:rPr>
          <w:i/>
          <w:sz w:val="20"/>
          <w:szCs w:val="20"/>
        </w:rPr>
        <w:t xml:space="preserve"> case </w:t>
      </w:r>
      <w:proofErr w:type="spellStart"/>
      <w:r w:rsidRPr="0030153F">
        <w:rPr>
          <w:i/>
          <w:sz w:val="20"/>
          <w:szCs w:val="20"/>
        </w:rPr>
        <w:t>law</w:t>
      </w:r>
      <w:proofErr w:type="spellEnd"/>
      <w:r w:rsidRPr="0030153F">
        <w:rPr>
          <w:sz w:val="20"/>
          <w:szCs w:val="20"/>
        </w:rPr>
        <w:t xml:space="preserve">” volgens Van </w:t>
      </w:r>
      <w:proofErr w:type="spellStart"/>
      <w:r w:rsidRPr="0030153F">
        <w:rPr>
          <w:sz w:val="20"/>
          <w:szCs w:val="20"/>
        </w:rPr>
        <w:t>Bael</w:t>
      </w:r>
      <w:proofErr w:type="spellEnd"/>
      <w:r w:rsidRPr="0030153F">
        <w:rPr>
          <w:sz w:val="20"/>
          <w:szCs w:val="20"/>
        </w:rPr>
        <w:t xml:space="preserve"> &amp; </w:t>
      </w:r>
      <w:proofErr w:type="spellStart"/>
      <w:r w:rsidRPr="0030153F">
        <w:rPr>
          <w:sz w:val="20"/>
          <w:szCs w:val="20"/>
        </w:rPr>
        <w:t>Bellis</w:t>
      </w:r>
      <w:proofErr w:type="spellEnd"/>
      <w:r w:rsidRPr="0030153F">
        <w:rPr>
          <w:sz w:val="20"/>
          <w:szCs w:val="20"/>
        </w:rPr>
        <w:t xml:space="preserve"> in </w:t>
      </w:r>
      <w:proofErr w:type="spellStart"/>
      <w:r w:rsidRPr="0030153F">
        <w:rPr>
          <w:i/>
          <w:sz w:val="20"/>
          <w:szCs w:val="20"/>
        </w:rPr>
        <w:t>Competition</w:t>
      </w:r>
      <w:proofErr w:type="spellEnd"/>
      <w:r w:rsidRPr="0030153F">
        <w:rPr>
          <w:i/>
          <w:sz w:val="20"/>
          <w:szCs w:val="20"/>
        </w:rPr>
        <w:t xml:space="preserve"> </w:t>
      </w:r>
      <w:proofErr w:type="spellStart"/>
      <w:r w:rsidRPr="0030153F">
        <w:rPr>
          <w:i/>
          <w:sz w:val="20"/>
          <w:szCs w:val="20"/>
        </w:rPr>
        <w:t>Law</w:t>
      </w:r>
      <w:proofErr w:type="spellEnd"/>
      <w:r w:rsidRPr="0030153F">
        <w:rPr>
          <w:i/>
          <w:sz w:val="20"/>
          <w:szCs w:val="20"/>
        </w:rPr>
        <w:t xml:space="preserve"> of the EC,</w:t>
      </w:r>
      <w:r w:rsidRPr="0030153F">
        <w:rPr>
          <w:sz w:val="20"/>
          <w:szCs w:val="20"/>
        </w:rPr>
        <w:t xml:space="preserve"> Kluwer 2010, p. 1117 met verwijzingen naar andere rechtspraak in dezelfde zin.</w:t>
      </w:r>
    </w:p>
  </w:footnote>
  <w:footnote w:id="23">
    <w:p w:rsidR="00B25F0C" w:rsidRPr="00CF7983" w:rsidRDefault="00B25F0C" w:rsidP="00732B96">
      <w:pPr>
        <w:autoSpaceDE w:val="0"/>
        <w:autoSpaceDN w:val="0"/>
        <w:adjustRightInd w:val="0"/>
        <w:jc w:val="left"/>
        <w:rPr>
          <w:rFonts w:cs="Cambria"/>
          <w:sz w:val="20"/>
          <w:szCs w:val="20"/>
          <w:lang w:eastAsia="nl-BE"/>
        </w:rPr>
      </w:pPr>
      <w:r w:rsidRPr="00CF7983">
        <w:rPr>
          <w:rStyle w:val="Voetnootmarkering"/>
          <w:sz w:val="20"/>
          <w:szCs w:val="20"/>
        </w:rPr>
        <w:footnoteRef/>
      </w:r>
      <w:r w:rsidRPr="00CF7983">
        <w:rPr>
          <w:sz w:val="20"/>
          <w:szCs w:val="20"/>
        </w:rPr>
        <w:t xml:space="preserve"> </w:t>
      </w:r>
      <w:r w:rsidRPr="00CF7983">
        <w:rPr>
          <w:rFonts w:cs="Cambria"/>
          <w:sz w:val="20"/>
          <w:szCs w:val="20"/>
          <w:lang w:eastAsia="nl-BE"/>
        </w:rPr>
        <w:t>Zie, bij wijze van analogie, de Richtsnoeren van de Europese Commissie voor de berekening van</w:t>
      </w:r>
    </w:p>
    <w:p w:rsidR="00B25F0C" w:rsidRPr="00CF7983" w:rsidRDefault="00B25F0C" w:rsidP="00732B96">
      <w:pPr>
        <w:autoSpaceDE w:val="0"/>
        <w:autoSpaceDN w:val="0"/>
        <w:adjustRightInd w:val="0"/>
        <w:jc w:val="left"/>
        <w:rPr>
          <w:rFonts w:cs="Cambria"/>
          <w:sz w:val="20"/>
          <w:szCs w:val="20"/>
          <w:lang w:eastAsia="nl-BE"/>
        </w:rPr>
      </w:pPr>
      <w:r w:rsidRPr="00CF7983">
        <w:rPr>
          <w:rFonts w:cs="Cambria"/>
          <w:sz w:val="20"/>
          <w:szCs w:val="20"/>
          <w:lang w:eastAsia="nl-BE"/>
        </w:rPr>
        <w:t>geldboeten die uit hoofde van artikel 23, lid 2, onder a), van Verordening (EG) nr. 1/2003 worden</w:t>
      </w:r>
    </w:p>
    <w:p w:rsidR="00B25F0C" w:rsidRPr="00CF7983" w:rsidRDefault="00B25F0C" w:rsidP="00732B96">
      <w:pPr>
        <w:pStyle w:val="Voetnoottekst"/>
        <w:rPr>
          <w:rFonts w:asciiTheme="majorHAnsi" w:hAnsiTheme="majorHAnsi"/>
          <w:sz w:val="20"/>
          <w:szCs w:val="20"/>
        </w:rPr>
      </w:pPr>
      <w:r w:rsidRPr="00CF7983">
        <w:rPr>
          <w:rFonts w:asciiTheme="majorHAnsi" w:hAnsiTheme="majorHAnsi" w:cs="Cambria"/>
          <w:sz w:val="20"/>
          <w:szCs w:val="20"/>
          <w:lang w:eastAsia="nl-BE"/>
        </w:rPr>
        <w:t xml:space="preserve">opgelegd, </w:t>
      </w:r>
      <w:r w:rsidRPr="00CF7983">
        <w:rPr>
          <w:rFonts w:asciiTheme="majorHAnsi" w:hAnsiTheme="majorHAnsi" w:cs="Cambria,Italic"/>
          <w:i/>
          <w:iCs/>
          <w:sz w:val="20"/>
          <w:szCs w:val="20"/>
          <w:lang w:eastAsia="nl-BE"/>
        </w:rPr>
        <w:t>Pb.</w:t>
      </w:r>
      <w:r w:rsidRPr="00CF7983">
        <w:rPr>
          <w:rFonts w:asciiTheme="majorHAnsi" w:hAnsiTheme="majorHAnsi" w:cs="Cambria"/>
          <w:sz w:val="20"/>
          <w:szCs w:val="20"/>
          <w:lang w:eastAsia="nl-BE"/>
        </w:rPr>
        <w:t>, nr. C 210.</w:t>
      </w:r>
    </w:p>
  </w:footnote>
  <w:footnote w:id="24">
    <w:p w:rsidR="00E9452C" w:rsidRDefault="00E9452C">
      <w:pPr>
        <w:pStyle w:val="Voetnoottekst"/>
      </w:pPr>
      <w:r>
        <w:rPr>
          <w:rStyle w:val="Voetnootmarkering"/>
        </w:rPr>
        <w:footnoteRef/>
      </w:r>
      <w:r>
        <w:t xml:space="preserve"> In de brief met grieven werd het basisbedrag vastgesteld op </w:t>
      </w:r>
      <w:r w:rsidR="001B4BC2">
        <w:t>(…)</w:t>
      </w:r>
      <w:r w:rsidR="003220DE">
        <w:t xml:space="preserve"> euro</w:t>
      </w:r>
      <w:r>
        <w:t xml:space="preserve">. </w:t>
      </w:r>
      <w:r w:rsidR="003220DE">
        <w:t xml:space="preserve">Het daarbij in acht genomen omzetcijfer bedroeg </w:t>
      </w:r>
      <w:r w:rsidR="001B4BC2">
        <w:t>(…)</w:t>
      </w:r>
      <w:r w:rsidR="003220DE">
        <w:t xml:space="preserve"> euro (nl. het omzetcijfer van 2009). Het in dit besluit in acht genomen omzetcijfer bedraagt </w:t>
      </w:r>
      <w:r w:rsidR="001B4BC2">
        <w:t>(…)</w:t>
      </w:r>
      <w:r w:rsidR="003220DE" w:rsidRPr="003220DE">
        <w:t xml:space="preserve"> euro</w:t>
      </w:r>
      <w:r w:rsidR="003220DE">
        <w:t xml:space="preserve">. </w:t>
      </w:r>
      <w:r w:rsidR="001B4BC2">
        <w:t>(…)</w:t>
      </w:r>
    </w:p>
  </w:footnote>
  <w:footnote w:id="25">
    <w:p w:rsidR="00B25F0C" w:rsidRDefault="00B25F0C">
      <w:pPr>
        <w:pStyle w:val="Voetnoottekst"/>
      </w:pPr>
      <w:r>
        <w:rPr>
          <w:rStyle w:val="Voetnootmarkering"/>
        </w:rPr>
        <w:footnoteRef/>
      </w:r>
      <w:r>
        <w:t xml:space="preserve"> </w:t>
      </w:r>
      <w:r w:rsidRPr="001C0E34">
        <w:rPr>
          <w:sz w:val="20"/>
          <w:szCs w:val="20"/>
        </w:rPr>
        <w:t xml:space="preserve">De algemene voorwaarden die Dommel na ontvangst van de brief met grieven op </w:t>
      </w:r>
      <w:r w:rsidR="00AA0C7B">
        <w:rPr>
          <w:sz w:val="20"/>
          <w:szCs w:val="20"/>
        </w:rPr>
        <w:t>haar website publiceerde, blijven</w:t>
      </w:r>
      <w:r w:rsidRPr="001C0E34">
        <w:rPr>
          <w:sz w:val="20"/>
          <w:szCs w:val="20"/>
        </w:rPr>
        <w:t xml:space="preserve"> in deze buiten beschouwing. </w:t>
      </w:r>
    </w:p>
  </w:footnote>
  <w:footnote w:id="26">
    <w:p w:rsidR="00B25F0C" w:rsidRDefault="00B25F0C">
      <w:pPr>
        <w:pStyle w:val="Voetnoottekst"/>
      </w:pPr>
      <w:r>
        <w:rPr>
          <w:rStyle w:val="Voetnootmarkering"/>
        </w:rPr>
        <w:footnoteRef/>
      </w:r>
      <w:r>
        <w:t xml:space="preserve">   </w:t>
      </w:r>
      <w:r w:rsidRPr="00BE610F">
        <w:rPr>
          <w:sz w:val="20"/>
          <w:szCs w:val="20"/>
        </w:rPr>
        <w:t>“</w:t>
      </w:r>
      <w:r w:rsidRPr="00BE610F">
        <w:rPr>
          <w:i/>
          <w:sz w:val="20"/>
          <w:szCs w:val="20"/>
        </w:rPr>
        <w:t>Jaarverslag 2012</w:t>
      </w:r>
      <w:r w:rsidRPr="00BE610F">
        <w:rPr>
          <w:sz w:val="20"/>
          <w:szCs w:val="20"/>
        </w:rPr>
        <w:t xml:space="preserve">” van de </w:t>
      </w:r>
      <w:proofErr w:type="spellStart"/>
      <w:r w:rsidRPr="00BE610F">
        <w:rPr>
          <w:sz w:val="20"/>
          <w:szCs w:val="20"/>
        </w:rPr>
        <w:t>Ombudsdienst</w:t>
      </w:r>
      <w:proofErr w:type="spellEnd"/>
      <w:r w:rsidRPr="00BE610F">
        <w:rPr>
          <w:sz w:val="20"/>
          <w:szCs w:val="20"/>
        </w:rPr>
        <w:t xml:space="preserve"> voor telecommunicatie, p. 28.</w:t>
      </w:r>
      <w:r>
        <w:t xml:space="preserve"> </w:t>
      </w:r>
    </w:p>
  </w:footnote>
  <w:footnote w:id="27">
    <w:p w:rsidR="00B25F0C" w:rsidRDefault="00B25F0C">
      <w:pPr>
        <w:pStyle w:val="Voetnoottekst"/>
      </w:pPr>
      <w:r>
        <w:rPr>
          <w:rStyle w:val="Voetnootmarkering"/>
        </w:rPr>
        <w:footnoteRef/>
      </w:r>
      <w:r>
        <w:t xml:space="preserve"> </w:t>
      </w:r>
      <w:hyperlink r:id="rId4" w:history="1">
        <w:r w:rsidRPr="00BE610F">
          <w:rPr>
            <w:rStyle w:val="Hyperlink"/>
            <w:sz w:val="20"/>
            <w:szCs w:val="20"/>
          </w:rPr>
          <w:t>http://www.dommel.be/contract/contract-nl.pdf</w:t>
        </w:r>
      </w:hyperlink>
      <w:r>
        <w:t xml:space="preserve"> </w:t>
      </w:r>
    </w:p>
  </w:footnote>
  <w:footnote w:id="28">
    <w:p w:rsidR="00B25F0C" w:rsidRPr="00F63F01" w:rsidRDefault="00B25F0C" w:rsidP="00732B96">
      <w:pPr>
        <w:autoSpaceDE w:val="0"/>
        <w:autoSpaceDN w:val="0"/>
        <w:adjustRightInd w:val="0"/>
        <w:jc w:val="left"/>
        <w:rPr>
          <w:rFonts w:cs="Cambria"/>
          <w:color w:val="000000"/>
          <w:sz w:val="20"/>
          <w:szCs w:val="20"/>
          <w:lang w:eastAsia="fr-BE"/>
        </w:rPr>
      </w:pPr>
      <w:r>
        <w:rPr>
          <w:rStyle w:val="Voetnootmarkering"/>
        </w:rPr>
        <w:footnoteRef/>
      </w:r>
      <w:r w:rsidRPr="002C52DD">
        <w:t xml:space="preserve"> </w:t>
      </w:r>
      <w:r w:rsidRPr="00F63F01">
        <w:rPr>
          <w:rFonts w:cs="Cambria"/>
          <w:color w:val="000000"/>
          <w:sz w:val="20"/>
          <w:szCs w:val="20"/>
          <w:lang w:eastAsia="fr-BE"/>
        </w:rPr>
        <w:t xml:space="preserve">Zie ook advies nr. 45.526/4 van de Raad van State van 16 december 2008, </w:t>
      </w:r>
      <w:proofErr w:type="spellStart"/>
      <w:r w:rsidRPr="00F63F01">
        <w:rPr>
          <w:rFonts w:cs="Cambria"/>
          <w:color w:val="000000"/>
          <w:sz w:val="20"/>
          <w:szCs w:val="20"/>
          <w:lang w:eastAsia="fr-BE"/>
        </w:rPr>
        <w:t>Parl</w:t>
      </w:r>
      <w:proofErr w:type="spellEnd"/>
      <w:r w:rsidRPr="00F63F01">
        <w:rPr>
          <w:rFonts w:cs="Cambria"/>
          <w:color w:val="000000"/>
          <w:sz w:val="20"/>
          <w:szCs w:val="20"/>
          <w:lang w:eastAsia="fr-BE"/>
        </w:rPr>
        <w:t>. St.,</w:t>
      </w:r>
    </w:p>
    <w:p w:rsidR="00B25F0C" w:rsidRPr="002C52DD" w:rsidRDefault="00B25F0C" w:rsidP="00732B96">
      <w:pPr>
        <w:pStyle w:val="Voetnoottekst"/>
      </w:pPr>
      <w:r w:rsidRPr="00F63F01">
        <w:rPr>
          <w:rFonts w:cs="Cambria"/>
          <w:color w:val="000000"/>
          <w:sz w:val="20"/>
          <w:szCs w:val="20"/>
          <w:lang w:eastAsia="fr-BE"/>
        </w:rPr>
        <w:t>Kamer, 52-1813/001, p.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C3C3F"/>
    <w:multiLevelType w:val="multilevel"/>
    <w:tmpl w:val="B3CAD3C6"/>
    <w:lvl w:ilvl="0">
      <w:start w:val="1"/>
      <w:numFmt w:val="decimal"/>
      <w:pStyle w:val="Kop1"/>
      <w:lvlText w:val="%1."/>
      <w:lvlJc w:val="left"/>
      <w:pPr>
        <w:ind w:left="644"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18790E7C"/>
    <w:multiLevelType w:val="hybridMultilevel"/>
    <w:tmpl w:val="8B9C4374"/>
    <w:lvl w:ilvl="0" w:tplc="08130017">
      <w:start w:val="1"/>
      <w:numFmt w:val="lowerLetter"/>
      <w:lvlText w:val="%1)"/>
      <w:lvlJc w:val="left"/>
      <w:pPr>
        <w:ind w:left="1778" w:hanging="360"/>
      </w:pPr>
    </w:lvl>
    <w:lvl w:ilvl="1" w:tplc="08130019">
      <w:start w:val="1"/>
      <w:numFmt w:val="lowerLetter"/>
      <w:lvlText w:val="%2."/>
      <w:lvlJc w:val="left"/>
      <w:pPr>
        <w:ind w:left="2498" w:hanging="360"/>
      </w:pPr>
    </w:lvl>
    <w:lvl w:ilvl="2" w:tplc="0813001B">
      <w:start w:val="1"/>
      <w:numFmt w:val="lowerRoman"/>
      <w:lvlText w:val="%3."/>
      <w:lvlJc w:val="right"/>
      <w:pPr>
        <w:ind w:left="3218" w:hanging="180"/>
      </w:pPr>
    </w:lvl>
    <w:lvl w:ilvl="3" w:tplc="0813000F">
      <w:start w:val="1"/>
      <w:numFmt w:val="decimal"/>
      <w:lvlText w:val="%4."/>
      <w:lvlJc w:val="left"/>
      <w:pPr>
        <w:ind w:left="3938" w:hanging="360"/>
      </w:pPr>
    </w:lvl>
    <w:lvl w:ilvl="4" w:tplc="08130019">
      <w:start w:val="1"/>
      <w:numFmt w:val="lowerLetter"/>
      <w:lvlText w:val="%5."/>
      <w:lvlJc w:val="left"/>
      <w:pPr>
        <w:ind w:left="4658" w:hanging="360"/>
      </w:pPr>
    </w:lvl>
    <w:lvl w:ilvl="5" w:tplc="0813001B">
      <w:start w:val="1"/>
      <w:numFmt w:val="lowerRoman"/>
      <w:lvlText w:val="%6."/>
      <w:lvlJc w:val="right"/>
      <w:pPr>
        <w:ind w:left="5378" w:hanging="180"/>
      </w:pPr>
    </w:lvl>
    <w:lvl w:ilvl="6" w:tplc="0813000F">
      <w:start w:val="1"/>
      <w:numFmt w:val="decimal"/>
      <w:lvlText w:val="%7."/>
      <w:lvlJc w:val="left"/>
      <w:pPr>
        <w:ind w:left="6098" w:hanging="360"/>
      </w:pPr>
    </w:lvl>
    <w:lvl w:ilvl="7" w:tplc="08130019">
      <w:start w:val="1"/>
      <w:numFmt w:val="lowerLetter"/>
      <w:lvlText w:val="%8."/>
      <w:lvlJc w:val="left"/>
      <w:pPr>
        <w:ind w:left="6818" w:hanging="360"/>
      </w:pPr>
    </w:lvl>
    <w:lvl w:ilvl="8" w:tplc="0813001B">
      <w:start w:val="1"/>
      <w:numFmt w:val="lowerRoman"/>
      <w:lvlText w:val="%9."/>
      <w:lvlJc w:val="right"/>
      <w:pPr>
        <w:ind w:left="7538" w:hanging="180"/>
      </w:pPr>
    </w:lvl>
  </w:abstractNum>
  <w:abstractNum w:abstractNumId="2">
    <w:nsid w:val="4324757F"/>
    <w:multiLevelType w:val="hybridMultilevel"/>
    <w:tmpl w:val="D3FAA3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5C4041ED"/>
    <w:multiLevelType w:val="multilevel"/>
    <w:tmpl w:val="14847E0A"/>
    <w:styleLink w:val="Sous-titre1"/>
    <w:lvl w:ilvl="0">
      <w:start w:val="1"/>
      <w:numFmt w:val="decimal"/>
      <w:lvlText w:val="%1."/>
      <w:lvlJc w:val="left"/>
      <w:pPr>
        <w:tabs>
          <w:tab w:val="num" w:pos="360"/>
        </w:tabs>
        <w:ind w:left="360" w:hanging="360"/>
      </w:pPr>
      <w:rPr>
        <w:rFonts w:ascii="Arial Rounded MT Bold" w:hAnsi="Arial Rounded MT Bold"/>
        <w:sz w:val="20"/>
      </w:r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rPr>
        <w:rFonts w:ascii="Eras Light ITC" w:hAnsi="Eras Light ITC"/>
        <w:kern w:val="22"/>
        <w:sz w:val="22"/>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60515929"/>
    <w:multiLevelType w:val="hybridMultilevel"/>
    <w:tmpl w:val="59FC6D70"/>
    <w:lvl w:ilvl="0" w:tplc="0F0CA4A8">
      <w:start w:val="2"/>
      <w:numFmt w:val="bullet"/>
      <w:lvlText w:val="-"/>
      <w:lvlJc w:val="left"/>
      <w:pPr>
        <w:ind w:left="1069" w:hanging="360"/>
      </w:pPr>
      <w:rPr>
        <w:rFonts w:ascii="Cambria" w:eastAsia="Times New Roman" w:hAnsi="Cambria" w:cs="Times New Roman"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start w:val="1"/>
      <w:numFmt w:val="bullet"/>
      <w:lvlText w:val=""/>
      <w:lvlJc w:val="left"/>
      <w:pPr>
        <w:ind w:left="3229" w:hanging="360"/>
      </w:pPr>
      <w:rPr>
        <w:rFonts w:ascii="Symbol" w:hAnsi="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hint="default"/>
      </w:rPr>
    </w:lvl>
    <w:lvl w:ilvl="6" w:tplc="08130001">
      <w:start w:val="1"/>
      <w:numFmt w:val="bullet"/>
      <w:lvlText w:val=""/>
      <w:lvlJc w:val="left"/>
      <w:pPr>
        <w:ind w:left="5389" w:hanging="360"/>
      </w:pPr>
      <w:rPr>
        <w:rFonts w:ascii="Symbol" w:hAnsi="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hint="default"/>
      </w:rPr>
    </w:lvl>
  </w:abstractNum>
  <w:abstractNum w:abstractNumId="5">
    <w:nsid w:val="613B680E"/>
    <w:multiLevelType w:val="hybridMultilevel"/>
    <w:tmpl w:val="4440B7C2"/>
    <w:lvl w:ilvl="0" w:tplc="D68439EE">
      <w:start w:val="2"/>
      <w:numFmt w:val="bullet"/>
      <w:lvlText w:val="-"/>
      <w:lvlJc w:val="left"/>
      <w:pPr>
        <w:ind w:left="2748" w:hanging="360"/>
      </w:pPr>
      <w:rPr>
        <w:rFonts w:ascii="Arial" w:eastAsia="Times New Roman" w:hAnsi="Arial" w:hint="default"/>
      </w:rPr>
    </w:lvl>
    <w:lvl w:ilvl="1" w:tplc="04090003">
      <w:start w:val="1"/>
      <w:numFmt w:val="bullet"/>
      <w:lvlText w:val="o"/>
      <w:lvlJc w:val="left"/>
      <w:pPr>
        <w:ind w:left="3468" w:hanging="360"/>
      </w:pPr>
      <w:rPr>
        <w:rFonts w:ascii="Courier New" w:hAnsi="Courier New" w:hint="default"/>
      </w:rPr>
    </w:lvl>
    <w:lvl w:ilvl="2" w:tplc="04090005" w:tentative="1">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6">
    <w:nsid w:val="662C67F1"/>
    <w:multiLevelType w:val="hybridMultilevel"/>
    <w:tmpl w:val="C3DC7D16"/>
    <w:lvl w:ilvl="0" w:tplc="30F6D58E">
      <w:start w:val="1"/>
      <w:numFmt w:val="bullet"/>
      <w:pStyle w:val="Lijstalinea"/>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7">
    <w:nsid w:val="75C72605"/>
    <w:multiLevelType w:val="hybridMultilevel"/>
    <w:tmpl w:val="9D204F4A"/>
    <w:lvl w:ilvl="0" w:tplc="08130017">
      <w:start w:val="1"/>
      <w:numFmt w:val="lowerLetter"/>
      <w:lvlText w:val="%1)"/>
      <w:lvlJc w:val="left"/>
      <w:pPr>
        <w:ind w:left="1778" w:hanging="360"/>
      </w:pPr>
    </w:lvl>
    <w:lvl w:ilvl="1" w:tplc="08130019">
      <w:start w:val="1"/>
      <w:numFmt w:val="lowerLetter"/>
      <w:lvlText w:val="%2."/>
      <w:lvlJc w:val="left"/>
      <w:pPr>
        <w:ind w:left="2498" w:hanging="360"/>
      </w:pPr>
    </w:lvl>
    <w:lvl w:ilvl="2" w:tplc="0813001B">
      <w:start w:val="1"/>
      <w:numFmt w:val="lowerRoman"/>
      <w:lvlText w:val="%3."/>
      <w:lvlJc w:val="right"/>
      <w:pPr>
        <w:ind w:left="3218" w:hanging="180"/>
      </w:pPr>
    </w:lvl>
    <w:lvl w:ilvl="3" w:tplc="0813000F">
      <w:start w:val="1"/>
      <w:numFmt w:val="decimal"/>
      <w:lvlText w:val="%4."/>
      <w:lvlJc w:val="left"/>
      <w:pPr>
        <w:ind w:left="3938" w:hanging="360"/>
      </w:pPr>
    </w:lvl>
    <w:lvl w:ilvl="4" w:tplc="08130019">
      <w:start w:val="1"/>
      <w:numFmt w:val="lowerLetter"/>
      <w:lvlText w:val="%5."/>
      <w:lvlJc w:val="left"/>
      <w:pPr>
        <w:ind w:left="4658" w:hanging="360"/>
      </w:pPr>
    </w:lvl>
    <w:lvl w:ilvl="5" w:tplc="0813001B">
      <w:start w:val="1"/>
      <w:numFmt w:val="lowerRoman"/>
      <w:lvlText w:val="%6."/>
      <w:lvlJc w:val="right"/>
      <w:pPr>
        <w:ind w:left="5378" w:hanging="180"/>
      </w:pPr>
    </w:lvl>
    <w:lvl w:ilvl="6" w:tplc="0813000F">
      <w:start w:val="1"/>
      <w:numFmt w:val="decimal"/>
      <w:lvlText w:val="%7."/>
      <w:lvlJc w:val="left"/>
      <w:pPr>
        <w:ind w:left="6098" w:hanging="360"/>
      </w:pPr>
    </w:lvl>
    <w:lvl w:ilvl="7" w:tplc="08130019">
      <w:start w:val="1"/>
      <w:numFmt w:val="lowerLetter"/>
      <w:lvlText w:val="%8."/>
      <w:lvlJc w:val="left"/>
      <w:pPr>
        <w:ind w:left="6818" w:hanging="360"/>
      </w:pPr>
    </w:lvl>
    <w:lvl w:ilvl="8" w:tplc="0813001B">
      <w:start w:val="1"/>
      <w:numFmt w:val="lowerRoman"/>
      <w:lvlText w:val="%9."/>
      <w:lvlJc w:val="right"/>
      <w:pPr>
        <w:ind w:left="7538" w:hanging="180"/>
      </w:p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32"/>
    <w:rsid w:val="00000BBA"/>
    <w:rsid w:val="00000C79"/>
    <w:rsid w:val="00002825"/>
    <w:rsid w:val="0000361A"/>
    <w:rsid w:val="00006002"/>
    <w:rsid w:val="00015472"/>
    <w:rsid w:val="000254B0"/>
    <w:rsid w:val="00031C45"/>
    <w:rsid w:val="000329A0"/>
    <w:rsid w:val="00037029"/>
    <w:rsid w:val="0004007B"/>
    <w:rsid w:val="00040E77"/>
    <w:rsid w:val="0004164F"/>
    <w:rsid w:val="000436E8"/>
    <w:rsid w:val="000439FD"/>
    <w:rsid w:val="0005031F"/>
    <w:rsid w:val="00054570"/>
    <w:rsid w:val="00054B74"/>
    <w:rsid w:val="00055E22"/>
    <w:rsid w:val="00056FE7"/>
    <w:rsid w:val="00061465"/>
    <w:rsid w:val="00063927"/>
    <w:rsid w:val="000656D0"/>
    <w:rsid w:val="00074194"/>
    <w:rsid w:val="00080021"/>
    <w:rsid w:val="00080274"/>
    <w:rsid w:val="00080D16"/>
    <w:rsid w:val="00084238"/>
    <w:rsid w:val="0009023A"/>
    <w:rsid w:val="00090EB9"/>
    <w:rsid w:val="000A08CA"/>
    <w:rsid w:val="000A27CA"/>
    <w:rsid w:val="000A5FC0"/>
    <w:rsid w:val="000B3A81"/>
    <w:rsid w:val="000B67FB"/>
    <w:rsid w:val="000C67C8"/>
    <w:rsid w:val="000D28A2"/>
    <w:rsid w:val="000D3B95"/>
    <w:rsid w:val="000D4663"/>
    <w:rsid w:val="000D78DC"/>
    <w:rsid w:val="000E38D7"/>
    <w:rsid w:val="000E7D7D"/>
    <w:rsid w:val="000F0733"/>
    <w:rsid w:val="000F144F"/>
    <w:rsid w:val="000F4FC3"/>
    <w:rsid w:val="001030CA"/>
    <w:rsid w:val="001132D2"/>
    <w:rsid w:val="00115EAC"/>
    <w:rsid w:val="001167A0"/>
    <w:rsid w:val="0011708C"/>
    <w:rsid w:val="0012716E"/>
    <w:rsid w:val="001304B6"/>
    <w:rsid w:val="00131BC9"/>
    <w:rsid w:val="001323D2"/>
    <w:rsid w:val="0013492F"/>
    <w:rsid w:val="0014293D"/>
    <w:rsid w:val="00154E9D"/>
    <w:rsid w:val="001569CD"/>
    <w:rsid w:val="00162183"/>
    <w:rsid w:val="001730D1"/>
    <w:rsid w:val="0018321B"/>
    <w:rsid w:val="00187FC3"/>
    <w:rsid w:val="001958E9"/>
    <w:rsid w:val="001A0AC2"/>
    <w:rsid w:val="001A1E52"/>
    <w:rsid w:val="001B02CA"/>
    <w:rsid w:val="001B1882"/>
    <w:rsid w:val="001B2957"/>
    <w:rsid w:val="001B4BC2"/>
    <w:rsid w:val="001C0E34"/>
    <w:rsid w:val="001C2BD1"/>
    <w:rsid w:val="001C45BC"/>
    <w:rsid w:val="001D09F8"/>
    <w:rsid w:val="001D1BFA"/>
    <w:rsid w:val="001D2EC2"/>
    <w:rsid w:val="001D7DFB"/>
    <w:rsid w:val="001E73AE"/>
    <w:rsid w:val="001F00E1"/>
    <w:rsid w:val="001F2E8F"/>
    <w:rsid w:val="001F3A2C"/>
    <w:rsid w:val="002002C0"/>
    <w:rsid w:val="00201F2A"/>
    <w:rsid w:val="00203673"/>
    <w:rsid w:val="002037CB"/>
    <w:rsid w:val="00205C0C"/>
    <w:rsid w:val="00207CB8"/>
    <w:rsid w:val="00213623"/>
    <w:rsid w:val="002140FE"/>
    <w:rsid w:val="00215571"/>
    <w:rsid w:val="0022325F"/>
    <w:rsid w:val="00225DB1"/>
    <w:rsid w:val="002273CD"/>
    <w:rsid w:val="0022747F"/>
    <w:rsid w:val="00254807"/>
    <w:rsid w:val="002605CF"/>
    <w:rsid w:val="00265F6C"/>
    <w:rsid w:val="002831D0"/>
    <w:rsid w:val="00285666"/>
    <w:rsid w:val="002917C3"/>
    <w:rsid w:val="002A7454"/>
    <w:rsid w:val="002B3052"/>
    <w:rsid w:val="002B3203"/>
    <w:rsid w:val="002B46E6"/>
    <w:rsid w:val="002B5384"/>
    <w:rsid w:val="002C06DD"/>
    <w:rsid w:val="002C1EAC"/>
    <w:rsid w:val="002C7482"/>
    <w:rsid w:val="002D3252"/>
    <w:rsid w:val="002D7F77"/>
    <w:rsid w:val="002E37C5"/>
    <w:rsid w:val="002F47C6"/>
    <w:rsid w:val="0030153F"/>
    <w:rsid w:val="003033F0"/>
    <w:rsid w:val="003043AD"/>
    <w:rsid w:val="00306976"/>
    <w:rsid w:val="00316679"/>
    <w:rsid w:val="0031696F"/>
    <w:rsid w:val="003220DE"/>
    <w:rsid w:val="003223E3"/>
    <w:rsid w:val="003255EE"/>
    <w:rsid w:val="00327EB5"/>
    <w:rsid w:val="00335CC7"/>
    <w:rsid w:val="00336022"/>
    <w:rsid w:val="00340B88"/>
    <w:rsid w:val="00341C0B"/>
    <w:rsid w:val="00345F7F"/>
    <w:rsid w:val="00352344"/>
    <w:rsid w:val="003526A1"/>
    <w:rsid w:val="00353CAB"/>
    <w:rsid w:val="0035613A"/>
    <w:rsid w:val="00360A46"/>
    <w:rsid w:val="003635A4"/>
    <w:rsid w:val="00373832"/>
    <w:rsid w:val="003866AD"/>
    <w:rsid w:val="00390A49"/>
    <w:rsid w:val="003952C7"/>
    <w:rsid w:val="003A2542"/>
    <w:rsid w:val="003A4352"/>
    <w:rsid w:val="003A4841"/>
    <w:rsid w:val="003A6D84"/>
    <w:rsid w:val="003A7991"/>
    <w:rsid w:val="003B2386"/>
    <w:rsid w:val="003B2707"/>
    <w:rsid w:val="003C12DC"/>
    <w:rsid w:val="003C1A02"/>
    <w:rsid w:val="003C2DF3"/>
    <w:rsid w:val="003D0A38"/>
    <w:rsid w:val="003D1F54"/>
    <w:rsid w:val="003D42D2"/>
    <w:rsid w:val="003D5AA7"/>
    <w:rsid w:val="003D63EE"/>
    <w:rsid w:val="003D669C"/>
    <w:rsid w:val="003E6444"/>
    <w:rsid w:val="003E73FE"/>
    <w:rsid w:val="003F006D"/>
    <w:rsid w:val="003F1ADE"/>
    <w:rsid w:val="003F2908"/>
    <w:rsid w:val="003F498C"/>
    <w:rsid w:val="003F4BAD"/>
    <w:rsid w:val="00401491"/>
    <w:rsid w:val="00402B91"/>
    <w:rsid w:val="00411AC6"/>
    <w:rsid w:val="004147B2"/>
    <w:rsid w:val="00421D7D"/>
    <w:rsid w:val="0042615C"/>
    <w:rsid w:val="00427CF6"/>
    <w:rsid w:val="00431595"/>
    <w:rsid w:val="004323E6"/>
    <w:rsid w:val="00433FF4"/>
    <w:rsid w:val="00436CC5"/>
    <w:rsid w:val="00436D96"/>
    <w:rsid w:val="0044728D"/>
    <w:rsid w:val="00447898"/>
    <w:rsid w:val="0045094E"/>
    <w:rsid w:val="00453B16"/>
    <w:rsid w:val="004562F0"/>
    <w:rsid w:val="00474F45"/>
    <w:rsid w:val="00483108"/>
    <w:rsid w:val="00485653"/>
    <w:rsid w:val="00496B91"/>
    <w:rsid w:val="004A234F"/>
    <w:rsid w:val="004B7D38"/>
    <w:rsid w:val="004C4369"/>
    <w:rsid w:val="004C51FD"/>
    <w:rsid w:val="004C7573"/>
    <w:rsid w:val="004C7A9D"/>
    <w:rsid w:val="004D0BBA"/>
    <w:rsid w:val="004D1357"/>
    <w:rsid w:val="004D184E"/>
    <w:rsid w:val="004D4DB0"/>
    <w:rsid w:val="004D596D"/>
    <w:rsid w:val="004D730F"/>
    <w:rsid w:val="004D784E"/>
    <w:rsid w:val="004E0FA5"/>
    <w:rsid w:val="004E1A6C"/>
    <w:rsid w:val="004E1F1C"/>
    <w:rsid w:val="004E6BDA"/>
    <w:rsid w:val="004F1130"/>
    <w:rsid w:val="004F1916"/>
    <w:rsid w:val="004F77A5"/>
    <w:rsid w:val="005019A0"/>
    <w:rsid w:val="005044C0"/>
    <w:rsid w:val="00513131"/>
    <w:rsid w:val="0051352E"/>
    <w:rsid w:val="00513AB1"/>
    <w:rsid w:val="005143D1"/>
    <w:rsid w:val="00520B87"/>
    <w:rsid w:val="005224D0"/>
    <w:rsid w:val="00523B74"/>
    <w:rsid w:val="00525DEB"/>
    <w:rsid w:val="00534F62"/>
    <w:rsid w:val="00535977"/>
    <w:rsid w:val="005441BC"/>
    <w:rsid w:val="0054794D"/>
    <w:rsid w:val="0055243F"/>
    <w:rsid w:val="00561E08"/>
    <w:rsid w:val="0056743F"/>
    <w:rsid w:val="0056797C"/>
    <w:rsid w:val="00571A55"/>
    <w:rsid w:val="00575770"/>
    <w:rsid w:val="005761D4"/>
    <w:rsid w:val="00582357"/>
    <w:rsid w:val="00583314"/>
    <w:rsid w:val="0058428D"/>
    <w:rsid w:val="005846E2"/>
    <w:rsid w:val="00585DF5"/>
    <w:rsid w:val="00587449"/>
    <w:rsid w:val="005878C9"/>
    <w:rsid w:val="0059167E"/>
    <w:rsid w:val="00591C6D"/>
    <w:rsid w:val="005959A7"/>
    <w:rsid w:val="00596039"/>
    <w:rsid w:val="00597C4E"/>
    <w:rsid w:val="005A1380"/>
    <w:rsid w:val="005A4B69"/>
    <w:rsid w:val="005A5930"/>
    <w:rsid w:val="005C330C"/>
    <w:rsid w:val="005C3B94"/>
    <w:rsid w:val="005C43A2"/>
    <w:rsid w:val="005C487E"/>
    <w:rsid w:val="005C7449"/>
    <w:rsid w:val="005D24D6"/>
    <w:rsid w:val="005D2B99"/>
    <w:rsid w:val="005D3A99"/>
    <w:rsid w:val="005E1515"/>
    <w:rsid w:val="005E661F"/>
    <w:rsid w:val="005F1588"/>
    <w:rsid w:val="00603CBC"/>
    <w:rsid w:val="00604F7E"/>
    <w:rsid w:val="00613938"/>
    <w:rsid w:val="006173EA"/>
    <w:rsid w:val="00617C22"/>
    <w:rsid w:val="00620DD4"/>
    <w:rsid w:val="00625B5D"/>
    <w:rsid w:val="006355DE"/>
    <w:rsid w:val="00640196"/>
    <w:rsid w:val="0064173C"/>
    <w:rsid w:val="00641B65"/>
    <w:rsid w:val="0064291B"/>
    <w:rsid w:val="0065032F"/>
    <w:rsid w:val="00652BFE"/>
    <w:rsid w:val="0065694D"/>
    <w:rsid w:val="0066158C"/>
    <w:rsid w:val="00665460"/>
    <w:rsid w:val="00665AEA"/>
    <w:rsid w:val="0068209F"/>
    <w:rsid w:val="00682C36"/>
    <w:rsid w:val="00690B76"/>
    <w:rsid w:val="006A01B8"/>
    <w:rsid w:val="006A1931"/>
    <w:rsid w:val="006A19E9"/>
    <w:rsid w:val="006B03E0"/>
    <w:rsid w:val="006B2350"/>
    <w:rsid w:val="006B2C23"/>
    <w:rsid w:val="006B7B43"/>
    <w:rsid w:val="006D20B6"/>
    <w:rsid w:val="006D2AEF"/>
    <w:rsid w:val="006D7E88"/>
    <w:rsid w:val="006E448A"/>
    <w:rsid w:val="006E6B33"/>
    <w:rsid w:val="00702020"/>
    <w:rsid w:val="00711FFF"/>
    <w:rsid w:val="00712085"/>
    <w:rsid w:val="00713030"/>
    <w:rsid w:val="007158B8"/>
    <w:rsid w:val="0071759F"/>
    <w:rsid w:val="00721BAC"/>
    <w:rsid w:val="00732B96"/>
    <w:rsid w:val="00735B46"/>
    <w:rsid w:val="007361E3"/>
    <w:rsid w:val="00741EB0"/>
    <w:rsid w:val="0074594C"/>
    <w:rsid w:val="007477C2"/>
    <w:rsid w:val="00754540"/>
    <w:rsid w:val="007569C8"/>
    <w:rsid w:val="00756C50"/>
    <w:rsid w:val="00764ABC"/>
    <w:rsid w:val="00766A6C"/>
    <w:rsid w:val="00766F2F"/>
    <w:rsid w:val="00772AA8"/>
    <w:rsid w:val="00774E8C"/>
    <w:rsid w:val="00784130"/>
    <w:rsid w:val="00787EF4"/>
    <w:rsid w:val="00790048"/>
    <w:rsid w:val="007A332A"/>
    <w:rsid w:val="007A354F"/>
    <w:rsid w:val="007A5069"/>
    <w:rsid w:val="007A5C95"/>
    <w:rsid w:val="007B099C"/>
    <w:rsid w:val="007B17A8"/>
    <w:rsid w:val="007B2D5F"/>
    <w:rsid w:val="007C12B6"/>
    <w:rsid w:val="007C228D"/>
    <w:rsid w:val="007C26D1"/>
    <w:rsid w:val="007D3357"/>
    <w:rsid w:val="007E0C6E"/>
    <w:rsid w:val="007E505C"/>
    <w:rsid w:val="007E5D17"/>
    <w:rsid w:val="007F714B"/>
    <w:rsid w:val="008004EB"/>
    <w:rsid w:val="00812422"/>
    <w:rsid w:val="00814D76"/>
    <w:rsid w:val="00816A0A"/>
    <w:rsid w:val="008176DC"/>
    <w:rsid w:val="00820039"/>
    <w:rsid w:val="0082236E"/>
    <w:rsid w:val="00822BF5"/>
    <w:rsid w:val="0082701B"/>
    <w:rsid w:val="00832305"/>
    <w:rsid w:val="0083364A"/>
    <w:rsid w:val="00834628"/>
    <w:rsid w:val="00836E41"/>
    <w:rsid w:val="00840562"/>
    <w:rsid w:val="008521F4"/>
    <w:rsid w:val="0085374B"/>
    <w:rsid w:val="00854450"/>
    <w:rsid w:val="00854CAE"/>
    <w:rsid w:val="00861632"/>
    <w:rsid w:val="00863A92"/>
    <w:rsid w:val="0086481B"/>
    <w:rsid w:val="00866A62"/>
    <w:rsid w:val="00866F8C"/>
    <w:rsid w:val="00874B7E"/>
    <w:rsid w:val="00877113"/>
    <w:rsid w:val="0087780D"/>
    <w:rsid w:val="00877AB4"/>
    <w:rsid w:val="00877BB5"/>
    <w:rsid w:val="00882A5F"/>
    <w:rsid w:val="00883ECE"/>
    <w:rsid w:val="0088538B"/>
    <w:rsid w:val="00887231"/>
    <w:rsid w:val="00887B8A"/>
    <w:rsid w:val="00890AA3"/>
    <w:rsid w:val="00892831"/>
    <w:rsid w:val="008955F4"/>
    <w:rsid w:val="00897E07"/>
    <w:rsid w:val="008A2A89"/>
    <w:rsid w:val="008A5283"/>
    <w:rsid w:val="008B6C67"/>
    <w:rsid w:val="008C0EBC"/>
    <w:rsid w:val="008C2749"/>
    <w:rsid w:val="008C66FF"/>
    <w:rsid w:val="008D60C3"/>
    <w:rsid w:val="008E5A11"/>
    <w:rsid w:val="008F22BC"/>
    <w:rsid w:val="008F43CE"/>
    <w:rsid w:val="008F4A12"/>
    <w:rsid w:val="009030EB"/>
    <w:rsid w:val="009101C5"/>
    <w:rsid w:val="00912E66"/>
    <w:rsid w:val="00912EBB"/>
    <w:rsid w:val="00914555"/>
    <w:rsid w:val="009145DD"/>
    <w:rsid w:val="0092194E"/>
    <w:rsid w:val="009260DC"/>
    <w:rsid w:val="00931755"/>
    <w:rsid w:val="00933968"/>
    <w:rsid w:val="00950ABC"/>
    <w:rsid w:val="009516BD"/>
    <w:rsid w:val="00953302"/>
    <w:rsid w:val="0096143B"/>
    <w:rsid w:val="00967204"/>
    <w:rsid w:val="00971252"/>
    <w:rsid w:val="00971DAE"/>
    <w:rsid w:val="00972237"/>
    <w:rsid w:val="00977E9A"/>
    <w:rsid w:val="00984112"/>
    <w:rsid w:val="009A0C56"/>
    <w:rsid w:val="009A1BE9"/>
    <w:rsid w:val="009B27C0"/>
    <w:rsid w:val="009C75D1"/>
    <w:rsid w:val="009D1AB9"/>
    <w:rsid w:val="009D36EF"/>
    <w:rsid w:val="009E18D6"/>
    <w:rsid w:val="009E1A26"/>
    <w:rsid w:val="009F164A"/>
    <w:rsid w:val="009F273F"/>
    <w:rsid w:val="009F52BF"/>
    <w:rsid w:val="009F605A"/>
    <w:rsid w:val="009F6F0B"/>
    <w:rsid w:val="00A000E3"/>
    <w:rsid w:val="00A00B2E"/>
    <w:rsid w:val="00A022E6"/>
    <w:rsid w:val="00A0278F"/>
    <w:rsid w:val="00A253A7"/>
    <w:rsid w:val="00A25D2E"/>
    <w:rsid w:val="00A42AEB"/>
    <w:rsid w:val="00A50976"/>
    <w:rsid w:val="00A530B2"/>
    <w:rsid w:val="00A54C90"/>
    <w:rsid w:val="00A55AF1"/>
    <w:rsid w:val="00A629EE"/>
    <w:rsid w:val="00A65113"/>
    <w:rsid w:val="00A71484"/>
    <w:rsid w:val="00A82668"/>
    <w:rsid w:val="00A94F03"/>
    <w:rsid w:val="00A95778"/>
    <w:rsid w:val="00A95D12"/>
    <w:rsid w:val="00A97C7C"/>
    <w:rsid w:val="00AA0C7B"/>
    <w:rsid w:val="00AA6CBE"/>
    <w:rsid w:val="00AB1311"/>
    <w:rsid w:val="00AB2192"/>
    <w:rsid w:val="00AB3411"/>
    <w:rsid w:val="00AB34B6"/>
    <w:rsid w:val="00AC5753"/>
    <w:rsid w:val="00AE20BB"/>
    <w:rsid w:val="00AE50C6"/>
    <w:rsid w:val="00AE63D2"/>
    <w:rsid w:val="00B023AD"/>
    <w:rsid w:val="00B10599"/>
    <w:rsid w:val="00B116C5"/>
    <w:rsid w:val="00B1607A"/>
    <w:rsid w:val="00B20C03"/>
    <w:rsid w:val="00B20DE1"/>
    <w:rsid w:val="00B218F0"/>
    <w:rsid w:val="00B238AB"/>
    <w:rsid w:val="00B24710"/>
    <w:rsid w:val="00B25F0C"/>
    <w:rsid w:val="00B3169A"/>
    <w:rsid w:val="00B331E5"/>
    <w:rsid w:val="00B348B7"/>
    <w:rsid w:val="00B364CB"/>
    <w:rsid w:val="00B42ECE"/>
    <w:rsid w:val="00B52DB6"/>
    <w:rsid w:val="00B53050"/>
    <w:rsid w:val="00B65503"/>
    <w:rsid w:val="00B66BB3"/>
    <w:rsid w:val="00B678A0"/>
    <w:rsid w:val="00B75EE7"/>
    <w:rsid w:val="00B75F49"/>
    <w:rsid w:val="00B83831"/>
    <w:rsid w:val="00B83891"/>
    <w:rsid w:val="00B84D47"/>
    <w:rsid w:val="00B86D2D"/>
    <w:rsid w:val="00B87F61"/>
    <w:rsid w:val="00B9088F"/>
    <w:rsid w:val="00B9308E"/>
    <w:rsid w:val="00B9319E"/>
    <w:rsid w:val="00B94404"/>
    <w:rsid w:val="00B95B5A"/>
    <w:rsid w:val="00B973F4"/>
    <w:rsid w:val="00BA0499"/>
    <w:rsid w:val="00BA15A9"/>
    <w:rsid w:val="00BA603D"/>
    <w:rsid w:val="00BB0EDD"/>
    <w:rsid w:val="00BB56AF"/>
    <w:rsid w:val="00BB77FF"/>
    <w:rsid w:val="00BC0C26"/>
    <w:rsid w:val="00BC6412"/>
    <w:rsid w:val="00BC74DA"/>
    <w:rsid w:val="00BC77CF"/>
    <w:rsid w:val="00BD2C1A"/>
    <w:rsid w:val="00BD75A6"/>
    <w:rsid w:val="00BE0911"/>
    <w:rsid w:val="00BE610F"/>
    <w:rsid w:val="00BE7773"/>
    <w:rsid w:val="00BF0E23"/>
    <w:rsid w:val="00BF25D8"/>
    <w:rsid w:val="00BF7489"/>
    <w:rsid w:val="00C03114"/>
    <w:rsid w:val="00C1026D"/>
    <w:rsid w:val="00C12427"/>
    <w:rsid w:val="00C166EB"/>
    <w:rsid w:val="00C23259"/>
    <w:rsid w:val="00C2746C"/>
    <w:rsid w:val="00C31C3A"/>
    <w:rsid w:val="00C33BEB"/>
    <w:rsid w:val="00C35181"/>
    <w:rsid w:val="00C37B91"/>
    <w:rsid w:val="00C42748"/>
    <w:rsid w:val="00C52715"/>
    <w:rsid w:val="00C52DB1"/>
    <w:rsid w:val="00C53147"/>
    <w:rsid w:val="00C72EEE"/>
    <w:rsid w:val="00C73B94"/>
    <w:rsid w:val="00C743A9"/>
    <w:rsid w:val="00C818C2"/>
    <w:rsid w:val="00C86788"/>
    <w:rsid w:val="00C964C2"/>
    <w:rsid w:val="00C969F4"/>
    <w:rsid w:val="00C96DB1"/>
    <w:rsid w:val="00CA2B87"/>
    <w:rsid w:val="00CA4B20"/>
    <w:rsid w:val="00CA6C94"/>
    <w:rsid w:val="00CB235F"/>
    <w:rsid w:val="00CB4DD2"/>
    <w:rsid w:val="00CB7115"/>
    <w:rsid w:val="00CC0C08"/>
    <w:rsid w:val="00CC1486"/>
    <w:rsid w:val="00CD2196"/>
    <w:rsid w:val="00CE0CE1"/>
    <w:rsid w:val="00CF0AA8"/>
    <w:rsid w:val="00CF474F"/>
    <w:rsid w:val="00CF631F"/>
    <w:rsid w:val="00D023E3"/>
    <w:rsid w:val="00D030F1"/>
    <w:rsid w:val="00D04E74"/>
    <w:rsid w:val="00D122A6"/>
    <w:rsid w:val="00D250A2"/>
    <w:rsid w:val="00D257D1"/>
    <w:rsid w:val="00D30415"/>
    <w:rsid w:val="00D42838"/>
    <w:rsid w:val="00D52E29"/>
    <w:rsid w:val="00D55DB4"/>
    <w:rsid w:val="00D55E8E"/>
    <w:rsid w:val="00D57488"/>
    <w:rsid w:val="00D62AD7"/>
    <w:rsid w:val="00D62B99"/>
    <w:rsid w:val="00D653F7"/>
    <w:rsid w:val="00D6698B"/>
    <w:rsid w:val="00D70B4E"/>
    <w:rsid w:val="00D77CD2"/>
    <w:rsid w:val="00D77F2D"/>
    <w:rsid w:val="00D80A39"/>
    <w:rsid w:val="00D81242"/>
    <w:rsid w:val="00D847EC"/>
    <w:rsid w:val="00D854BA"/>
    <w:rsid w:val="00D8753F"/>
    <w:rsid w:val="00D926B5"/>
    <w:rsid w:val="00D92FC7"/>
    <w:rsid w:val="00D9386A"/>
    <w:rsid w:val="00D9522B"/>
    <w:rsid w:val="00DA6B76"/>
    <w:rsid w:val="00DA7FDA"/>
    <w:rsid w:val="00DB04C2"/>
    <w:rsid w:val="00DB377B"/>
    <w:rsid w:val="00DB4229"/>
    <w:rsid w:val="00DB4799"/>
    <w:rsid w:val="00DB4E5D"/>
    <w:rsid w:val="00DB7779"/>
    <w:rsid w:val="00DC3143"/>
    <w:rsid w:val="00DD12FC"/>
    <w:rsid w:val="00DE03F2"/>
    <w:rsid w:val="00DE6B95"/>
    <w:rsid w:val="00DF155A"/>
    <w:rsid w:val="00E06153"/>
    <w:rsid w:val="00E11C55"/>
    <w:rsid w:val="00E12D60"/>
    <w:rsid w:val="00E132F8"/>
    <w:rsid w:val="00E15131"/>
    <w:rsid w:val="00E15D64"/>
    <w:rsid w:val="00E1650B"/>
    <w:rsid w:val="00E17F87"/>
    <w:rsid w:val="00E2419C"/>
    <w:rsid w:val="00E30892"/>
    <w:rsid w:val="00E41262"/>
    <w:rsid w:val="00E42930"/>
    <w:rsid w:val="00E42DA7"/>
    <w:rsid w:val="00E446C5"/>
    <w:rsid w:val="00E4517C"/>
    <w:rsid w:val="00E45295"/>
    <w:rsid w:val="00E46917"/>
    <w:rsid w:val="00E5596E"/>
    <w:rsid w:val="00E55DFE"/>
    <w:rsid w:val="00E772B0"/>
    <w:rsid w:val="00E8446F"/>
    <w:rsid w:val="00E9452C"/>
    <w:rsid w:val="00EA2C6C"/>
    <w:rsid w:val="00EA5C09"/>
    <w:rsid w:val="00EB1526"/>
    <w:rsid w:val="00EB46D8"/>
    <w:rsid w:val="00EB4A0F"/>
    <w:rsid w:val="00EC24DE"/>
    <w:rsid w:val="00EC6749"/>
    <w:rsid w:val="00EC7ED8"/>
    <w:rsid w:val="00ED06AC"/>
    <w:rsid w:val="00ED19E1"/>
    <w:rsid w:val="00ED3277"/>
    <w:rsid w:val="00ED7BDF"/>
    <w:rsid w:val="00EF0D55"/>
    <w:rsid w:val="00EF5873"/>
    <w:rsid w:val="00F0072B"/>
    <w:rsid w:val="00F057C4"/>
    <w:rsid w:val="00F11189"/>
    <w:rsid w:val="00F11203"/>
    <w:rsid w:val="00F15DB7"/>
    <w:rsid w:val="00F16449"/>
    <w:rsid w:val="00F21C83"/>
    <w:rsid w:val="00F259E8"/>
    <w:rsid w:val="00F25DAC"/>
    <w:rsid w:val="00F34374"/>
    <w:rsid w:val="00F34474"/>
    <w:rsid w:val="00F35FC0"/>
    <w:rsid w:val="00F368C0"/>
    <w:rsid w:val="00F46E88"/>
    <w:rsid w:val="00F54783"/>
    <w:rsid w:val="00F54A45"/>
    <w:rsid w:val="00F63F01"/>
    <w:rsid w:val="00F642DF"/>
    <w:rsid w:val="00F65086"/>
    <w:rsid w:val="00F735DF"/>
    <w:rsid w:val="00F76E9B"/>
    <w:rsid w:val="00F86857"/>
    <w:rsid w:val="00F90E88"/>
    <w:rsid w:val="00F979DD"/>
    <w:rsid w:val="00FA74FD"/>
    <w:rsid w:val="00FC6BFE"/>
    <w:rsid w:val="00FD3988"/>
    <w:rsid w:val="00FD48CD"/>
    <w:rsid w:val="00FD5DF8"/>
    <w:rsid w:val="00FD73B4"/>
    <w:rsid w:val="00FE1B67"/>
    <w:rsid w:val="00FE4A0E"/>
    <w:rsid w:val="00FE739F"/>
    <w:rsid w:val="00FF3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7EB5"/>
    <w:pPr>
      <w:jc w:val="both"/>
    </w:pPr>
    <w:rPr>
      <w:rFonts w:ascii="Cambria" w:hAnsi="Cambria"/>
      <w:sz w:val="22"/>
      <w:szCs w:val="22"/>
      <w:lang w:val="nl-BE" w:eastAsia="en-US"/>
    </w:rPr>
  </w:style>
  <w:style w:type="paragraph" w:styleId="Kop1">
    <w:name w:val="heading 1"/>
    <w:basedOn w:val="Standaard"/>
    <w:next w:val="Standaard"/>
    <w:link w:val="Kop1Char"/>
    <w:uiPriority w:val="9"/>
    <w:qFormat/>
    <w:rsid w:val="00285666"/>
    <w:pPr>
      <w:keepLines/>
      <w:numPr>
        <w:numId w:val="3"/>
      </w:numPr>
      <w:spacing w:before="480"/>
      <w:ind w:left="360"/>
      <w:outlineLvl w:val="0"/>
    </w:pPr>
    <w:rPr>
      <w:rFonts w:ascii="Calibri" w:hAnsi="Calibri"/>
      <w:b/>
      <w:bCs/>
      <w:color w:val="365F91"/>
      <w:sz w:val="28"/>
      <w:szCs w:val="28"/>
    </w:rPr>
  </w:style>
  <w:style w:type="paragraph" w:styleId="Kop2">
    <w:name w:val="heading 2"/>
    <w:basedOn w:val="Standaard"/>
    <w:next w:val="Standaard"/>
    <w:link w:val="Kop2Char"/>
    <w:uiPriority w:val="9"/>
    <w:unhideWhenUsed/>
    <w:qFormat/>
    <w:rsid w:val="00BE7773"/>
    <w:pPr>
      <w:keepLines/>
      <w:spacing w:before="200"/>
      <w:outlineLvl w:val="1"/>
    </w:pPr>
    <w:rPr>
      <w:rFonts w:ascii="Calibri" w:hAnsi="Calibri"/>
      <w:b/>
      <w:bCs/>
      <w:color w:val="4F81BD"/>
      <w:sz w:val="26"/>
      <w:szCs w:val="26"/>
    </w:rPr>
  </w:style>
  <w:style w:type="paragraph" w:styleId="Kop3">
    <w:name w:val="heading 3"/>
    <w:basedOn w:val="Standaard"/>
    <w:next w:val="Standaard"/>
    <w:link w:val="Kop3Char"/>
    <w:uiPriority w:val="9"/>
    <w:unhideWhenUsed/>
    <w:qFormat/>
    <w:rsid w:val="00FE739F"/>
    <w:pPr>
      <w:keepLines/>
      <w:spacing w:before="200"/>
      <w:outlineLvl w:val="2"/>
    </w:pPr>
    <w:rPr>
      <w:rFonts w:ascii="Calibri" w:hAnsi="Calibri"/>
      <w:b/>
      <w:bCs/>
      <w:color w:val="4F81BD"/>
    </w:rPr>
  </w:style>
  <w:style w:type="paragraph" w:styleId="Kop4">
    <w:name w:val="heading 4"/>
    <w:basedOn w:val="Standaard"/>
    <w:next w:val="Standaard"/>
    <w:uiPriority w:val="9"/>
    <w:unhideWhenUsed/>
    <w:qFormat/>
    <w:rsid w:val="00FE739F"/>
    <w:pPr>
      <w:keepLines/>
      <w:outlineLvl w:val="3"/>
    </w:pPr>
    <w:rPr>
      <w:b/>
      <w:bCs/>
      <w:i/>
      <w:i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959A7"/>
    <w:rPr>
      <w:rFonts w:ascii="Cambria" w:hAnsi="Cambria"/>
      <w:color w:val="0000FF"/>
      <w:u w:val="single"/>
    </w:rPr>
  </w:style>
  <w:style w:type="paragraph" w:styleId="Koptekst">
    <w:name w:val="header"/>
    <w:basedOn w:val="Standaard"/>
    <w:link w:val="KoptekstChar"/>
    <w:uiPriority w:val="99"/>
    <w:semiHidden/>
    <w:unhideWhenUsed/>
    <w:rsid w:val="008D60C3"/>
    <w:pPr>
      <w:tabs>
        <w:tab w:val="center" w:pos="4513"/>
        <w:tab w:val="right" w:pos="9026"/>
      </w:tabs>
    </w:pPr>
  </w:style>
  <w:style w:type="paragraph" w:styleId="Voettekst">
    <w:name w:val="footer"/>
    <w:basedOn w:val="Standaard"/>
    <w:link w:val="VoettekstChar"/>
    <w:uiPriority w:val="99"/>
    <w:rsid w:val="006B7B43"/>
    <w:pPr>
      <w:tabs>
        <w:tab w:val="center" w:pos="4536"/>
        <w:tab w:val="right" w:pos="9072"/>
      </w:tabs>
    </w:pPr>
  </w:style>
  <w:style w:type="paragraph" w:styleId="Inhopg2">
    <w:name w:val="toc 2"/>
    <w:basedOn w:val="Standaard"/>
    <w:next w:val="Standaard"/>
    <w:autoRedefine/>
    <w:uiPriority w:val="39"/>
    <w:rsid w:val="006B7B43"/>
    <w:pPr>
      <w:ind w:left="200"/>
    </w:pPr>
    <w:rPr>
      <w:smallCaps/>
      <w:spacing w:val="-5"/>
    </w:rPr>
  </w:style>
  <w:style w:type="paragraph" w:styleId="Inhopg3">
    <w:name w:val="toc 3"/>
    <w:basedOn w:val="Standaard"/>
    <w:next w:val="Standaard"/>
    <w:autoRedefine/>
    <w:uiPriority w:val="39"/>
    <w:rsid w:val="006B7B43"/>
    <w:pPr>
      <w:ind w:left="400"/>
    </w:pPr>
    <w:rPr>
      <w:i/>
      <w:spacing w:val="-5"/>
    </w:rPr>
  </w:style>
  <w:style w:type="paragraph" w:styleId="Inhopg4">
    <w:name w:val="toc 4"/>
    <w:basedOn w:val="Standaard"/>
    <w:next w:val="Standaard"/>
    <w:autoRedefine/>
    <w:uiPriority w:val="39"/>
    <w:rsid w:val="006B7B43"/>
    <w:pPr>
      <w:ind w:left="600"/>
    </w:pPr>
    <w:rPr>
      <w:spacing w:val="-5"/>
      <w:sz w:val="18"/>
    </w:rPr>
  </w:style>
  <w:style w:type="character" w:styleId="Paginanummer">
    <w:name w:val="page number"/>
    <w:basedOn w:val="Standaardalinea-lettertype"/>
    <w:rsid w:val="005959A7"/>
    <w:rPr>
      <w:rFonts w:ascii="Cambria" w:hAnsi="Cambria"/>
      <w:sz w:val="20"/>
      <w:u w:val="none"/>
    </w:rPr>
  </w:style>
  <w:style w:type="character" w:customStyle="1" w:styleId="KoptekstChar">
    <w:name w:val="Koptekst Char"/>
    <w:basedOn w:val="Standaardalinea-lettertype"/>
    <w:link w:val="Koptekst"/>
    <w:uiPriority w:val="99"/>
    <w:semiHidden/>
    <w:rsid w:val="008D60C3"/>
    <w:rPr>
      <w:rFonts w:ascii="Cambria" w:hAnsi="Cambria"/>
      <w:sz w:val="22"/>
      <w:szCs w:val="22"/>
      <w:lang w:eastAsia="en-US"/>
    </w:rPr>
  </w:style>
  <w:style w:type="table" w:styleId="Tabelraster">
    <w:name w:val="Table Grid"/>
    <w:basedOn w:val="Standaardtabel"/>
    <w:rsid w:val="00D653F7"/>
    <w:rPr>
      <w:rFonts w:ascii="Arial" w:hAnsi="Arial"/>
    </w:rPr>
    <w:tblPr>
      <w:tblInd w:w="0" w:type="dxa"/>
      <w:tblCellMar>
        <w:top w:w="0" w:type="dxa"/>
        <w:left w:w="108" w:type="dxa"/>
        <w:bottom w:w="0" w:type="dxa"/>
        <w:right w:w="108" w:type="dxa"/>
      </w:tblCellMar>
    </w:tblPr>
    <w:tcPr>
      <w:vAlign w:val="center"/>
    </w:tcPr>
  </w:style>
  <w:style w:type="paragraph" w:styleId="Ondertitel">
    <w:name w:val="Subtitle"/>
    <w:basedOn w:val="Standaard"/>
    <w:qFormat/>
    <w:rsid w:val="005959A7"/>
    <w:pPr>
      <w:keepLines/>
      <w:spacing w:after="60"/>
      <w:jc w:val="center"/>
      <w:outlineLvl w:val="1"/>
    </w:pPr>
    <w:rPr>
      <w:b/>
      <w:i/>
      <w:color w:val="4F81BD" w:themeColor="accent1"/>
    </w:rPr>
  </w:style>
  <w:style w:type="paragraph" w:styleId="Voetnoottekst">
    <w:name w:val="footnote text"/>
    <w:aliases w:val="fn,Footnotes,Footnote ak,ALTS FOOTNOTE,footnote text,fn cafc,footnote text Char,ft Char,fn cafc Char,Char Char,Voetnoottekst1,Note de bas de page Car"/>
    <w:basedOn w:val="Standaard"/>
    <w:link w:val="VoetnoottekstChar"/>
    <w:uiPriority w:val="99"/>
    <w:rsid w:val="006B7B43"/>
  </w:style>
  <w:style w:type="character" w:styleId="Voetnootmarkering">
    <w:name w:val="footnote reference"/>
    <w:aliases w:val="Ref,de nota al pie,Voetnootmarkering1,Footnote Reference Superscript,Footnote symbol,Times 10 Point,Exposant 3 Point,Appel note de bas de p,PBO Footnote Reference,FR + (Complex) Arial,(Latin) 9 pt,(Complex) 10 pt + (Compl..."/>
    <w:basedOn w:val="Standaardalinea-lettertype"/>
    <w:uiPriority w:val="99"/>
    <w:qFormat/>
    <w:rsid w:val="006B7B43"/>
    <w:rPr>
      <w:vertAlign w:val="superscript"/>
    </w:rPr>
  </w:style>
  <w:style w:type="character" w:customStyle="1" w:styleId="VoettekstChar">
    <w:name w:val="Voettekst Char"/>
    <w:basedOn w:val="Standaardalinea-lettertype"/>
    <w:link w:val="Voettekst"/>
    <w:uiPriority w:val="99"/>
    <w:rsid w:val="00A00B2E"/>
    <w:rPr>
      <w:rFonts w:ascii="Cambria" w:hAnsi="Cambria"/>
      <w:sz w:val="22"/>
      <w:szCs w:val="22"/>
      <w:lang w:eastAsia="en-US"/>
    </w:rPr>
  </w:style>
  <w:style w:type="paragraph" w:styleId="Ballontekst">
    <w:name w:val="Balloon Text"/>
    <w:basedOn w:val="Standaard"/>
    <w:semiHidden/>
    <w:rsid w:val="000B67FB"/>
    <w:rPr>
      <w:rFonts w:ascii="Tahoma" w:hAnsi="Tahoma" w:cs="Tahoma"/>
      <w:sz w:val="16"/>
      <w:szCs w:val="16"/>
    </w:rPr>
  </w:style>
  <w:style w:type="numbering" w:customStyle="1" w:styleId="Sous-titre1">
    <w:name w:val="Sous-titre 1"/>
    <w:basedOn w:val="Geenlijst"/>
    <w:rsid w:val="001030CA"/>
    <w:pPr>
      <w:numPr>
        <w:numId w:val="1"/>
      </w:numPr>
    </w:pPr>
  </w:style>
  <w:style w:type="paragraph" w:styleId="Inhopg1">
    <w:name w:val="toc 1"/>
    <w:basedOn w:val="Standaard"/>
    <w:next w:val="Standaard"/>
    <w:autoRedefine/>
    <w:uiPriority w:val="39"/>
    <w:rsid w:val="00187FC3"/>
    <w:pPr>
      <w:tabs>
        <w:tab w:val="right" w:leader="dot" w:pos="9628"/>
      </w:tabs>
    </w:pPr>
  </w:style>
  <w:style w:type="paragraph" w:styleId="Lijstalinea">
    <w:name w:val="List Paragraph"/>
    <w:basedOn w:val="Standaard"/>
    <w:uiPriority w:val="34"/>
    <w:qFormat/>
    <w:rsid w:val="00735B46"/>
    <w:pPr>
      <w:keepLines/>
      <w:numPr>
        <w:numId w:val="2"/>
      </w:numPr>
      <w:contextualSpacing/>
    </w:pPr>
    <w:rPr>
      <w:rFonts w:cs="Arial"/>
      <w:noProof/>
      <w:szCs w:val="20"/>
      <w:lang w:eastAsia="fr-BE"/>
    </w:rPr>
  </w:style>
  <w:style w:type="character" w:customStyle="1" w:styleId="Kop1Char">
    <w:name w:val="Kop 1 Char"/>
    <w:basedOn w:val="Standaardalinea-lettertype"/>
    <w:link w:val="Kop1"/>
    <w:uiPriority w:val="9"/>
    <w:rsid w:val="00285666"/>
    <w:rPr>
      <w:rFonts w:ascii="Calibri" w:hAnsi="Calibri"/>
      <w:b/>
      <w:bCs/>
      <w:color w:val="365F91"/>
      <w:sz w:val="28"/>
      <w:szCs w:val="28"/>
      <w:lang w:val="nl-BE" w:eastAsia="en-US"/>
    </w:rPr>
  </w:style>
  <w:style w:type="character" w:customStyle="1" w:styleId="Kop2Char">
    <w:name w:val="Kop 2 Char"/>
    <w:basedOn w:val="Standaardalinea-lettertype"/>
    <w:link w:val="Kop2"/>
    <w:uiPriority w:val="9"/>
    <w:rsid w:val="00BE7773"/>
    <w:rPr>
      <w:rFonts w:ascii="Calibri" w:hAnsi="Calibri"/>
      <w:b/>
      <w:bCs/>
      <w:color w:val="4F81BD"/>
      <w:sz w:val="26"/>
      <w:szCs w:val="26"/>
      <w:lang w:val="nl-BE" w:eastAsia="en-US"/>
    </w:rPr>
  </w:style>
  <w:style w:type="character" w:customStyle="1" w:styleId="Kop3Char">
    <w:name w:val="Kop 3 Char"/>
    <w:basedOn w:val="Standaardalinea-lettertype"/>
    <w:link w:val="Kop3"/>
    <w:uiPriority w:val="9"/>
    <w:rsid w:val="006D7E88"/>
    <w:rPr>
      <w:rFonts w:ascii="Calibri" w:hAnsi="Calibri"/>
      <w:b/>
      <w:bCs/>
      <w:color w:val="4F81BD"/>
      <w:sz w:val="22"/>
      <w:szCs w:val="22"/>
      <w:lang w:eastAsia="en-US"/>
    </w:rPr>
  </w:style>
  <w:style w:type="paragraph" w:styleId="Plattetekst">
    <w:name w:val="Body Text"/>
    <w:basedOn w:val="Standaard"/>
    <w:link w:val="PlattetekstChar"/>
    <w:rsid w:val="006D7E88"/>
    <w:pPr>
      <w:keepLines/>
    </w:pPr>
    <w:rPr>
      <w:szCs w:val="20"/>
      <w:lang w:eastAsia="fr-FR"/>
    </w:rPr>
  </w:style>
  <w:style w:type="character" w:customStyle="1" w:styleId="PlattetekstChar">
    <w:name w:val="Platte tekst Char"/>
    <w:basedOn w:val="Standaardalinea-lettertype"/>
    <w:link w:val="Plattetekst"/>
    <w:rsid w:val="006D7E88"/>
    <w:rPr>
      <w:rFonts w:ascii="Cambria" w:hAnsi="Cambria"/>
      <w:sz w:val="22"/>
      <w:lang w:eastAsia="fr-FR"/>
    </w:rPr>
  </w:style>
  <w:style w:type="character" w:customStyle="1" w:styleId="Coordonnesexpditeur">
    <w:name w:val="Coordonnées expéditeur"/>
    <w:basedOn w:val="Standaardalinea-lettertype"/>
    <w:rsid w:val="006D7E88"/>
    <w:rPr>
      <w:sz w:val="18"/>
    </w:rPr>
  </w:style>
  <w:style w:type="table" w:customStyle="1" w:styleId="Lichtearcering1">
    <w:name w:val="Lichte arcering1"/>
    <w:basedOn w:val="Standaardtabel"/>
    <w:uiPriority w:val="60"/>
    <w:rsid w:val="00BF25D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erwijzingopmerking">
    <w:name w:val="annotation reference"/>
    <w:basedOn w:val="Standaardalinea-lettertype"/>
    <w:uiPriority w:val="99"/>
    <w:semiHidden/>
    <w:unhideWhenUsed/>
    <w:rsid w:val="005E1515"/>
    <w:rPr>
      <w:sz w:val="16"/>
      <w:szCs w:val="16"/>
    </w:rPr>
  </w:style>
  <w:style w:type="paragraph" w:styleId="Tekstopmerking">
    <w:name w:val="annotation text"/>
    <w:basedOn w:val="Standaard"/>
    <w:link w:val="TekstopmerkingChar"/>
    <w:uiPriority w:val="99"/>
    <w:semiHidden/>
    <w:unhideWhenUsed/>
    <w:rsid w:val="005E1515"/>
    <w:rPr>
      <w:sz w:val="20"/>
      <w:szCs w:val="20"/>
    </w:rPr>
  </w:style>
  <w:style w:type="character" w:customStyle="1" w:styleId="TekstopmerkingChar">
    <w:name w:val="Tekst opmerking Char"/>
    <w:basedOn w:val="Standaardalinea-lettertype"/>
    <w:link w:val="Tekstopmerking"/>
    <w:uiPriority w:val="99"/>
    <w:semiHidden/>
    <w:rsid w:val="005E1515"/>
    <w:rPr>
      <w:rFonts w:ascii="Cambria" w:hAnsi="Cambria"/>
      <w:lang w:val="nl-BE" w:eastAsia="en-US"/>
    </w:rPr>
  </w:style>
  <w:style w:type="paragraph" w:styleId="Onderwerpvanopmerking">
    <w:name w:val="annotation subject"/>
    <w:basedOn w:val="Tekstopmerking"/>
    <w:next w:val="Tekstopmerking"/>
    <w:link w:val="OnderwerpvanopmerkingChar"/>
    <w:uiPriority w:val="99"/>
    <w:semiHidden/>
    <w:unhideWhenUsed/>
    <w:rsid w:val="005E1515"/>
    <w:rPr>
      <w:b/>
      <w:bCs/>
    </w:rPr>
  </w:style>
  <w:style w:type="character" w:customStyle="1" w:styleId="OnderwerpvanopmerkingChar">
    <w:name w:val="Onderwerp van opmerking Char"/>
    <w:basedOn w:val="TekstopmerkingChar"/>
    <w:link w:val="Onderwerpvanopmerking"/>
    <w:uiPriority w:val="99"/>
    <w:semiHidden/>
    <w:rsid w:val="005E1515"/>
    <w:rPr>
      <w:rFonts w:ascii="Cambria" w:hAnsi="Cambria"/>
      <w:b/>
      <w:bCs/>
      <w:lang w:val="nl-BE" w:eastAsia="en-US"/>
    </w:rPr>
  </w:style>
  <w:style w:type="paragraph" w:styleId="Revisie">
    <w:name w:val="Revision"/>
    <w:hidden/>
    <w:uiPriority w:val="99"/>
    <w:semiHidden/>
    <w:rsid w:val="00B66BB3"/>
    <w:rPr>
      <w:rFonts w:ascii="Cambria" w:hAnsi="Cambria"/>
      <w:sz w:val="22"/>
      <w:szCs w:val="22"/>
      <w:lang w:val="nl-BE" w:eastAsia="en-US"/>
    </w:rPr>
  </w:style>
  <w:style w:type="character" w:customStyle="1" w:styleId="VoetnoottekstChar">
    <w:name w:val="Voetnoottekst Char"/>
    <w:aliases w:val="fn Char,Footnotes Char,Footnote ak Char,ALTS FOOTNOTE Char,footnote text Char1,fn cafc Char1,footnote text Char Char,ft Char Char,fn cafc Char Char,Char Char Char,Voetnoottekst1 Char,Note de bas de page Car Char"/>
    <w:basedOn w:val="Standaardalinea-lettertype"/>
    <w:link w:val="Voetnoottekst"/>
    <w:uiPriority w:val="99"/>
    <w:locked/>
    <w:rsid w:val="005019A0"/>
    <w:rPr>
      <w:rFonts w:ascii="Cambria" w:hAnsi="Cambria"/>
      <w:sz w:val="22"/>
      <w:szCs w:val="22"/>
      <w:lang w:val="nl-BE" w:eastAsia="en-US"/>
    </w:rPr>
  </w:style>
  <w:style w:type="character" w:styleId="Regelnummer">
    <w:name w:val="line number"/>
    <w:basedOn w:val="Standaardalinea-lettertype"/>
    <w:uiPriority w:val="99"/>
    <w:semiHidden/>
    <w:unhideWhenUsed/>
    <w:rsid w:val="007C12B6"/>
  </w:style>
  <w:style w:type="paragraph" w:customStyle="1" w:styleId="Default">
    <w:name w:val="Default"/>
    <w:rsid w:val="00732B96"/>
    <w:pPr>
      <w:autoSpaceDE w:val="0"/>
      <w:autoSpaceDN w:val="0"/>
      <w:adjustRightInd w:val="0"/>
    </w:pPr>
    <w:rPr>
      <w:color w:val="000000"/>
      <w:sz w:val="24"/>
      <w:szCs w:val="24"/>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7EB5"/>
    <w:pPr>
      <w:jc w:val="both"/>
    </w:pPr>
    <w:rPr>
      <w:rFonts w:ascii="Cambria" w:hAnsi="Cambria"/>
      <w:sz w:val="22"/>
      <w:szCs w:val="22"/>
      <w:lang w:val="nl-BE" w:eastAsia="en-US"/>
    </w:rPr>
  </w:style>
  <w:style w:type="paragraph" w:styleId="Kop1">
    <w:name w:val="heading 1"/>
    <w:basedOn w:val="Standaard"/>
    <w:next w:val="Standaard"/>
    <w:link w:val="Kop1Char"/>
    <w:uiPriority w:val="9"/>
    <w:qFormat/>
    <w:rsid w:val="00285666"/>
    <w:pPr>
      <w:keepLines/>
      <w:numPr>
        <w:numId w:val="3"/>
      </w:numPr>
      <w:spacing w:before="480"/>
      <w:ind w:left="360"/>
      <w:outlineLvl w:val="0"/>
    </w:pPr>
    <w:rPr>
      <w:rFonts w:ascii="Calibri" w:hAnsi="Calibri"/>
      <w:b/>
      <w:bCs/>
      <w:color w:val="365F91"/>
      <w:sz w:val="28"/>
      <w:szCs w:val="28"/>
    </w:rPr>
  </w:style>
  <w:style w:type="paragraph" w:styleId="Kop2">
    <w:name w:val="heading 2"/>
    <w:basedOn w:val="Standaard"/>
    <w:next w:val="Standaard"/>
    <w:link w:val="Kop2Char"/>
    <w:uiPriority w:val="9"/>
    <w:unhideWhenUsed/>
    <w:qFormat/>
    <w:rsid w:val="00BE7773"/>
    <w:pPr>
      <w:keepLines/>
      <w:spacing w:before="200"/>
      <w:outlineLvl w:val="1"/>
    </w:pPr>
    <w:rPr>
      <w:rFonts w:ascii="Calibri" w:hAnsi="Calibri"/>
      <w:b/>
      <w:bCs/>
      <w:color w:val="4F81BD"/>
      <w:sz w:val="26"/>
      <w:szCs w:val="26"/>
    </w:rPr>
  </w:style>
  <w:style w:type="paragraph" w:styleId="Kop3">
    <w:name w:val="heading 3"/>
    <w:basedOn w:val="Standaard"/>
    <w:next w:val="Standaard"/>
    <w:link w:val="Kop3Char"/>
    <w:uiPriority w:val="9"/>
    <w:unhideWhenUsed/>
    <w:qFormat/>
    <w:rsid w:val="00FE739F"/>
    <w:pPr>
      <w:keepLines/>
      <w:spacing w:before="200"/>
      <w:outlineLvl w:val="2"/>
    </w:pPr>
    <w:rPr>
      <w:rFonts w:ascii="Calibri" w:hAnsi="Calibri"/>
      <w:b/>
      <w:bCs/>
      <w:color w:val="4F81BD"/>
    </w:rPr>
  </w:style>
  <w:style w:type="paragraph" w:styleId="Kop4">
    <w:name w:val="heading 4"/>
    <w:basedOn w:val="Standaard"/>
    <w:next w:val="Standaard"/>
    <w:uiPriority w:val="9"/>
    <w:unhideWhenUsed/>
    <w:qFormat/>
    <w:rsid w:val="00FE739F"/>
    <w:pPr>
      <w:keepLines/>
      <w:outlineLvl w:val="3"/>
    </w:pPr>
    <w:rPr>
      <w:b/>
      <w:bCs/>
      <w:i/>
      <w:i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959A7"/>
    <w:rPr>
      <w:rFonts w:ascii="Cambria" w:hAnsi="Cambria"/>
      <w:color w:val="0000FF"/>
      <w:u w:val="single"/>
    </w:rPr>
  </w:style>
  <w:style w:type="paragraph" w:styleId="Koptekst">
    <w:name w:val="header"/>
    <w:basedOn w:val="Standaard"/>
    <w:link w:val="KoptekstChar"/>
    <w:uiPriority w:val="99"/>
    <w:semiHidden/>
    <w:unhideWhenUsed/>
    <w:rsid w:val="008D60C3"/>
    <w:pPr>
      <w:tabs>
        <w:tab w:val="center" w:pos="4513"/>
        <w:tab w:val="right" w:pos="9026"/>
      </w:tabs>
    </w:pPr>
  </w:style>
  <w:style w:type="paragraph" w:styleId="Voettekst">
    <w:name w:val="footer"/>
    <w:basedOn w:val="Standaard"/>
    <w:link w:val="VoettekstChar"/>
    <w:uiPriority w:val="99"/>
    <w:rsid w:val="006B7B43"/>
    <w:pPr>
      <w:tabs>
        <w:tab w:val="center" w:pos="4536"/>
        <w:tab w:val="right" w:pos="9072"/>
      </w:tabs>
    </w:pPr>
  </w:style>
  <w:style w:type="paragraph" w:styleId="Inhopg2">
    <w:name w:val="toc 2"/>
    <w:basedOn w:val="Standaard"/>
    <w:next w:val="Standaard"/>
    <w:autoRedefine/>
    <w:uiPriority w:val="39"/>
    <w:rsid w:val="006B7B43"/>
    <w:pPr>
      <w:ind w:left="200"/>
    </w:pPr>
    <w:rPr>
      <w:smallCaps/>
      <w:spacing w:val="-5"/>
    </w:rPr>
  </w:style>
  <w:style w:type="paragraph" w:styleId="Inhopg3">
    <w:name w:val="toc 3"/>
    <w:basedOn w:val="Standaard"/>
    <w:next w:val="Standaard"/>
    <w:autoRedefine/>
    <w:uiPriority w:val="39"/>
    <w:rsid w:val="006B7B43"/>
    <w:pPr>
      <w:ind w:left="400"/>
    </w:pPr>
    <w:rPr>
      <w:i/>
      <w:spacing w:val="-5"/>
    </w:rPr>
  </w:style>
  <w:style w:type="paragraph" w:styleId="Inhopg4">
    <w:name w:val="toc 4"/>
    <w:basedOn w:val="Standaard"/>
    <w:next w:val="Standaard"/>
    <w:autoRedefine/>
    <w:uiPriority w:val="39"/>
    <w:rsid w:val="006B7B43"/>
    <w:pPr>
      <w:ind w:left="600"/>
    </w:pPr>
    <w:rPr>
      <w:spacing w:val="-5"/>
      <w:sz w:val="18"/>
    </w:rPr>
  </w:style>
  <w:style w:type="character" w:styleId="Paginanummer">
    <w:name w:val="page number"/>
    <w:basedOn w:val="Standaardalinea-lettertype"/>
    <w:rsid w:val="005959A7"/>
    <w:rPr>
      <w:rFonts w:ascii="Cambria" w:hAnsi="Cambria"/>
      <w:sz w:val="20"/>
      <w:u w:val="none"/>
    </w:rPr>
  </w:style>
  <w:style w:type="character" w:customStyle="1" w:styleId="KoptekstChar">
    <w:name w:val="Koptekst Char"/>
    <w:basedOn w:val="Standaardalinea-lettertype"/>
    <w:link w:val="Koptekst"/>
    <w:uiPriority w:val="99"/>
    <w:semiHidden/>
    <w:rsid w:val="008D60C3"/>
    <w:rPr>
      <w:rFonts w:ascii="Cambria" w:hAnsi="Cambria"/>
      <w:sz w:val="22"/>
      <w:szCs w:val="22"/>
      <w:lang w:eastAsia="en-US"/>
    </w:rPr>
  </w:style>
  <w:style w:type="table" w:styleId="Tabelraster">
    <w:name w:val="Table Grid"/>
    <w:basedOn w:val="Standaardtabel"/>
    <w:rsid w:val="00D653F7"/>
    <w:rPr>
      <w:rFonts w:ascii="Arial" w:hAnsi="Arial"/>
    </w:rPr>
    <w:tblPr>
      <w:tblInd w:w="0" w:type="dxa"/>
      <w:tblCellMar>
        <w:top w:w="0" w:type="dxa"/>
        <w:left w:w="108" w:type="dxa"/>
        <w:bottom w:w="0" w:type="dxa"/>
        <w:right w:w="108" w:type="dxa"/>
      </w:tblCellMar>
    </w:tblPr>
    <w:tcPr>
      <w:vAlign w:val="center"/>
    </w:tcPr>
  </w:style>
  <w:style w:type="paragraph" w:styleId="Ondertitel">
    <w:name w:val="Subtitle"/>
    <w:basedOn w:val="Standaard"/>
    <w:qFormat/>
    <w:rsid w:val="005959A7"/>
    <w:pPr>
      <w:keepLines/>
      <w:spacing w:after="60"/>
      <w:jc w:val="center"/>
      <w:outlineLvl w:val="1"/>
    </w:pPr>
    <w:rPr>
      <w:b/>
      <w:i/>
      <w:color w:val="4F81BD" w:themeColor="accent1"/>
    </w:rPr>
  </w:style>
  <w:style w:type="paragraph" w:styleId="Voetnoottekst">
    <w:name w:val="footnote text"/>
    <w:aliases w:val="fn,Footnotes,Footnote ak,ALTS FOOTNOTE,footnote text,fn cafc,footnote text Char,ft Char,fn cafc Char,Char Char,Voetnoottekst1,Note de bas de page Car"/>
    <w:basedOn w:val="Standaard"/>
    <w:link w:val="VoetnoottekstChar"/>
    <w:uiPriority w:val="99"/>
    <w:rsid w:val="006B7B43"/>
  </w:style>
  <w:style w:type="character" w:styleId="Voetnootmarkering">
    <w:name w:val="footnote reference"/>
    <w:aliases w:val="Ref,de nota al pie,Voetnootmarkering1,Footnote Reference Superscript,Footnote symbol,Times 10 Point,Exposant 3 Point,Appel note de bas de p,PBO Footnote Reference,FR + (Complex) Arial,(Latin) 9 pt,(Complex) 10 pt + (Compl..."/>
    <w:basedOn w:val="Standaardalinea-lettertype"/>
    <w:uiPriority w:val="99"/>
    <w:qFormat/>
    <w:rsid w:val="006B7B43"/>
    <w:rPr>
      <w:vertAlign w:val="superscript"/>
    </w:rPr>
  </w:style>
  <w:style w:type="character" w:customStyle="1" w:styleId="VoettekstChar">
    <w:name w:val="Voettekst Char"/>
    <w:basedOn w:val="Standaardalinea-lettertype"/>
    <w:link w:val="Voettekst"/>
    <w:uiPriority w:val="99"/>
    <w:rsid w:val="00A00B2E"/>
    <w:rPr>
      <w:rFonts w:ascii="Cambria" w:hAnsi="Cambria"/>
      <w:sz w:val="22"/>
      <w:szCs w:val="22"/>
      <w:lang w:eastAsia="en-US"/>
    </w:rPr>
  </w:style>
  <w:style w:type="paragraph" w:styleId="Ballontekst">
    <w:name w:val="Balloon Text"/>
    <w:basedOn w:val="Standaard"/>
    <w:semiHidden/>
    <w:rsid w:val="000B67FB"/>
    <w:rPr>
      <w:rFonts w:ascii="Tahoma" w:hAnsi="Tahoma" w:cs="Tahoma"/>
      <w:sz w:val="16"/>
      <w:szCs w:val="16"/>
    </w:rPr>
  </w:style>
  <w:style w:type="numbering" w:customStyle="1" w:styleId="Sous-titre1">
    <w:name w:val="Sous-titre 1"/>
    <w:basedOn w:val="Geenlijst"/>
    <w:rsid w:val="001030CA"/>
    <w:pPr>
      <w:numPr>
        <w:numId w:val="1"/>
      </w:numPr>
    </w:pPr>
  </w:style>
  <w:style w:type="paragraph" w:styleId="Inhopg1">
    <w:name w:val="toc 1"/>
    <w:basedOn w:val="Standaard"/>
    <w:next w:val="Standaard"/>
    <w:autoRedefine/>
    <w:uiPriority w:val="39"/>
    <w:rsid w:val="00187FC3"/>
    <w:pPr>
      <w:tabs>
        <w:tab w:val="right" w:leader="dot" w:pos="9628"/>
      </w:tabs>
    </w:pPr>
  </w:style>
  <w:style w:type="paragraph" w:styleId="Lijstalinea">
    <w:name w:val="List Paragraph"/>
    <w:basedOn w:val="Standaard"/>
    <w:uiPriority w:val="34"/>
    <w:qFormat/>
    <w:rsid w:val="00735B46"/>
    <w:pPr>
      <w:keepLines/>
      <w:numPr>
        <w:numId w:val="2"/>
      </w:numPr>
      <w:contextualSpacing/>
    </w:pPr>
    <w:rPr>
      <w:rFonts w:cs="Arial"/>
      <w:noProof/>
      <w:szCs w:val="20"/>
      <w:lang w:eastAsia="fr-BE"/>
    </w:rPr>
  </w:style>
  <w:style w:type="character" w:customStyle="1" w:styleId="Kop1Char">
    <w:name w:val="Kop 1 Char"/>
    <w:basedOn w:val="Standaardalinea-lettertype"/>
    <w:link w:val="Kop1"/>
    <w:uiPriority w:val="9"/>
    <w:rsid w:val="00285666"/>
    <w:rPr>
      <w:rFonts w:ascii="Calibri" w:hAnsi="Calibri"/>
      <w:b/>
      <w:bCs/>
      <w:color w:val="365F91"/>
      <w:sz w:val="28"/>
      <w:szCs w:val="28"/>
      <w:lang w:val="nl-BE" w:eastAsia="en-US"/>
    </w:rPr>
  </w:style>
  <w:style w:type="character" w:customStyle="1" w:styleId="Kop2Char">
    <w:name w:val="Kop 2 Char"/>
    <w:basedOn w:val="Standaardalinea-lettertype"/>
    <w:link w:val="Kop2"/>
    <w:uiPriority w:val="9"/>
    <w:rsid w:val="00BE7773"/>
    <w:rPr>
      <w:rFonts w:ascii="Calibri" w:hAnsi="Calibri"/>
      <w:b/>
      <w:bCs/>
      <w:color w:val="4F81BD"/>
      <w:sz w:val="26"/>
      <w:szCs w:val="26"/>
      <w:lang w:val="nl-BE" w:eastAsia="en-US"/>
    </w:rPr>
  </w:style>
  <w:style w:type="character" w:customStyle="1" w:styleId="Kop3Char">
    <w:name w:val="Kop 3 Char"/>
    <w:basedOn w:val="Standaardalinea-lettertype"/>
    <w:link w:val="Kop3"/>
    <w:uiPriority w:val="9"/>
    <w:rsid w:val="006D7E88"/>
    <w:rPr>
      <w:rFonts w:ascii="Calibri" w:hAnsi="Calibri"/>
      <w:b/>
      <w:bCs/>
      <w:color w:val="4F81BD"/>
      <w:sz w:val="22"/>
      <w:szCs w:val="22"/>
      <w:lang w:eastAsia="en-US"/>
    </w:rPr>
  </w:style>
  <w:style w:type="paragraph" w:styleId="Plattetekst">
    <w:name w:val="Body Text"/>
    <w:basedOn w:val="Standaard"/>
    <w:link w:val="PlattetekstChar"/>
    <w:rsid w:val="006D7E88"/>
    <w:pPr>
      <w:keepLines/>
    </w:pPr>
    <w:rPr>
      <w:szCs w:val="20"/>
      <w:lang w:eastAsia="fr-FR"/>
    </w:rPr>
  </w:style>
  <w:style w:type="character" w:customStyle="1" w:styleId="PlattetekstChar">
    <w:name w:val="Platte tekst Char"/>
    <w:basedOn w:val="Standaardalinea-lettertype"/>
    <w:link w:val="Plattetekst"/>
    <w:rsid w:val="006D7E88"/>
    <w:rPr>
      <w:rFonts w:ascii="Cambria" w:hAnsi="Cambria"/>
      <w:sz w:val="22"/>
      <w:lang w:eastAsia="fr-FR"/>
    </w:rPr>
  </w:style>
  <w:style w:type="character" w:customStyle="1" w:styleId="Coordonnesexpditeur">
    <w:name w:val="Coordonnées expéditeur"/>
    <w:basedOn w:val="Standaardalinea-lettertype"/>
    <w:rsid w:val="006D7E88"/>
    <w:rPr>
      <w:sz w:val="18"/>
    </w:rPr>
  </w:style>
  <w:style w:type="table" w:customStyle="1" w:styleId="Lichtearcering1">
    <w:name w:val="Lichte arcering1"/>
    <w:basedOn w:val="Standaardtabel"/>
    <w:uiPriority w:val="60"/>
    <w:rsid w:val="00BF25D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erwijzingopmerking">
    <w:name w:val="annotation reference"/>
    <w:basedOn w:val="Standaardalinea-lettertype"/>
    <w:uiPriority w:val="99"/>
    <w:semiHidden/>
    <w:unhideWhenUsed/>
    <w:rsid w:val="005E1515"/>
    <w:rPr>
      <w:sz w:val="16"/>
      <w:szCs w:val="16"/>
    </w:rPr>
  </w:style>
  <w:style w:type="paragraph" w:styleId="Tekstopmerking">
    <w:name w:val="annotation text"/>
    <w:basedOn w:val="Standaard"/>
    <w:link w:val="TekstopmerkingChar"/>
    <w:uiPriority w:val="99"/>
    <w:semiHidden/>
    <w:unhideWhenUsed/>
    <w:rsid w:val="005E1515"/>
    <w:rPr>
      <w:sz w:val="20"/>
      <w:szCs w:val="20"/>
    </w:rPr>
  </w:style>
  <w:style w:type="character" w:customStyle="1" w:styleId="TekstopmerkingChar">
    <w:name w:val="Tekst opmerking Char"/>
    <w:basedOn w:val="Standaardalinea-lettertype"/>
    <w:link w:val="Tekstopmerking"/>
    <w:uiPriority w:val="99"/>
    <w:semiHidden/>
    <w:rsid w:val="005E1515"/>
    <w:rPr>
      <w:rFonts w:ascii="Cambria" w:hAnsi="Cambria"/>
      <w:lang w:val="nl-BE" w:eastAsia="en-US"/>
    </w:rPr>
  </w:style>
  <w:style w:type="paragraph" w:styleId="Onderwerpvanopmerking">
    <w:name w:val="annotation subject"/>
    <w:basedOn w:val="Tekstopmerking"/>
    <w:next w:val="Tekstopmerking"/>
    <w:link w:val="OnderwerpvanopmerkingChar"/>
    <w:uiPriority w:val="99"/>
    <w:semiHidden/>
    <w:unhideWhenUsed/>
    <w:rsid w:val="005E1515"/>
    <w:rPr>
      <w:b/>
      <w:bCs/>
    </w:rPr>
  </w:style>
  <w:style w:type="character" w:customStyle="1" w:styleId="OnderwerpvanopmerkingChar">
    <w:name w:val="Onderwerp van opmerking Char"/>
    <w:basedOn w:val="TekstopmerkingChar"/>
    <w:link w:val="Onderwerpvanopmerking"/>
    <w:uiPriority w:val="99"/>
    <w:semiHidden/>
    <w:rsid w:val="005E1515"/>
    <w:rPr>
      <w:rFonts w:ascii="Cambria" w:hAnsi="Cambria"/>
      <w:b/>
      <w:bCs/>
      <w:lang w:val="nl-BE" w:eastAsia="en-US"/>
    </w:rPr>
  </w:style>
  <w:style w:type="paragraph" w:styleId="Revisie">
    <w:name w:val="Revision"/>
    <w:hidden/>
    <w:uiPriority w:val="99"/>
    <w:semiHidden/>
    <w:rsid w:val="00B66BB3"/>
    <w:rPr>
      <w:rFonts w:ascii="Cambria" w:hAnsi="Cambria"/>
      <w:sz w:val="22"/>
      <w:szCs w:val="22"/>
      <w:lang w:val="nl-BE" w:eastAsia="en-US"/>
    </w:rPr>
  </w:style>
  <w:style w:type="character" w:customStyle="1" w:styleId="VoetnoottekstChar">
    <w:name w:val="Voetnoottekst Char"/>
    <w:aliases w:val="fn Char,Footnotes Char,Footnote ak Char,ALTS FOOTNOTE Char,footnote text Char1,fn cafc Char1,footnote text Char Char,ft Char Char,fn cafc Char Char,Char Char Char,Voetnoottekst1 Char,Note de bas de page Car Char"/>
    <w:basedOn w:val="Standaardalinea-lettertype"/>
    <w:link w:val="Voetnoottekst"/>
    <w:uiPriority w:val="99"/>
    <w:locked/>
    <w:rsid w:val="005019A0"/>
    <w:rPr>
      <w:rFonts w:ascii="Cambria" w:hAnsi="Cambria"/>
      <w:sz w:val="22"/>
      <w:szCs w:val="22"/>
      <w:lang w:val="nl-BE" w:eastAsia="en-US"/>
    </w:rPr>
  </w:style>
  <w:style w:type="character" w:styleId="Regelnummer">
    <w:name w:val="line number"/>
    <w:basedOn w:val="Standaardalinea-lettertype"/>
    <w:uiPriority w:val="99"/>
    <w:semiHidden/>
    <w:unhideWhenUsed/>
    <w:rsid w:val="007C12B6"/>
  </w:style>
  <w:style w:type="paragraph" w:customStyle="1" w:styleId="Default">
    <w:name w:val="Default"/>
    <w:rsid w:val="00732B96"/>
    <w:pPr>
      <w:autoSpaceDE w:val="0"/>
      <w:autoSpaceDN w:val="0"/>
      <w:adjustRightInd w:val="0"/>
    </w:pPr>
    <w:rPr>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50046">
      <w:bodyDiv w:val="1"/>
      <w:marLeft w:val="0"/>
      <w:marRight w:val="0"/>
      <w:marTop w:val="0"/>
      <w:marBottom w:val="0"/>
      <w:divBdr>
        <w:top w:val="none" w:sz="0" w:space="0" w:color="auto"/>
        <w:left w:val="none" w:sz="0" w:space="0" w:color="auto"/>
        <w:bottom w:val="none" w:sz="0" w:space="0" w:color="auto"/>
        <w:right w:val="none" w:sz="0" w:space="0" w:color="auto"/>
      </w:divBdr>
    </w:div>
    <w:div w:id="666321387">
      <w:bodyDiv w:val="1"/>
      <w:marLeft w:val="0"/>
      <w:marRight w:val="0"/>
      <w:marTop w:val="0"/>
      <w:marBottom w:val="0"/>
      <w:divBdr>
        <w:top w:val="none" w:sz="0" w:space="0" w:color="auto"/>
        <w:left w:val="none" w:sz="0" w:space="0" w:color="auto"/>
        <w:bottom w:val="none" w:sz="0" w:space="0" w:color="auto"/>
        <w:right w:val="none" w:sz="0" w:space="0" w:color="auto"/>
      </w:divBdr>
    </w:div>
    <w:div w:id="710882448">
      <w:bodyDiv w:val="1"/>
      <w:marLeft w:val="0"/>
      <w:marRight w:val="0"/>
      <w:marTop w:val="0"/>
      <w:marBottom w:val="0"/>
      <w:divBdr>
        <w:top w:val="none" w:sz="0" w:space="0" w:color="auto"/>
        <w:left w:val="none" w:sz="0" w:space="0" w:color="auto"/>
        <w:bottom w:val="none" w:sz="0" w:space="0" w:color="auto"/>
        <w:right w:val="none" w:sz="0" w:space="0" w:color="auto"/>
      </w:divBdr>
      <w:divsChild>
        <w:div w:id="1720322003">
          <w:marLeft w:val="0"/>
          <w:marRight w:val="0"/>
          <w:marTop w:val="0"/>
          <w:marBottom w:val="0"/>
          <w:divBdr>
            <w:top w:val="none" w:sz="0" w:space="0" w:color="auto"/>
            <w:left w:val="none" w:sz="0" w:space="0" w:color="auto"/>
            <w:bottom w:val="none" w:sz="0" w:space="0" w:color="auto"/>
            <w:right w:val="none" w:sz="0" w:space="0" w:color="auto"/>
          </w:divBdr>
          <w:divsChild>
            <w:div w:id="312375594">
              <w:marLeft w:val="0"/>
              <w:marRight w:val="0"/>
              <w:marTop w:val="0"/>
              <w:marBottom w:val="0"/>
              <w:divBdr>
                <w:top w:val="none" w:sz="0" w:space="0" w:color="auto"/>
                <w:left w:val="none" w:sz="0" w:space="0" w:color="auto"/>
                <w:bottom w:val="none" w:sz="0" w:space="0" w:color="auto"/>
                <w:right w:val="none" w:sz="0" w:space="0" w:color="auto"/>
              </w:divBdr>
              <w:divsChild>
                <w:div w:id="9392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4047">
      <w:bodyDiv w:val="1"/>
      <w:marLeft w:val="0"/>
      <w:marRight w:val="0"/>
      <w:marTop w:val="0"/>
      <w:marBottom w:val="0"/>
      <w:divBdr>
        <w:top w:val="none" w:sz="0" w:space="0" w:color="auto"/>
        <w:left w:val="none" w:sz="0" w:space="0" w:color="auto"/>
        <w:bottom w:val="none" w:sz="0" w:space="0" w:color="auto"/>
        <w:right w:val="none" w:sz="0" w:space="0" w:color="auto"/>
      </w:divBdr>
    </w:div>
    <w:div w:id="18721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dommel.com/nl/contracten/contract.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ommel.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dommel.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hyperlink" Target="http://www.ibpt.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ekamer.be/FLWB/PDF/53/1247/53K1247001.pdf" TargetMode="External"/><Relationship Id="rId2" Type="http://schemas.openxmlformats.org/officeDocument/2006/relationships/hyperlink" Target="http://www.dekamer.be/FLWB/PDF/53/2143/53K2143001.pdf" TargetMode="External"/><Relationship Id="rId1" Type="http://schemas.openxmlformats.org/officeDocument/2006/relationships/hyperlink" Target="http://lianka.schedom-europe.net/" TargetMode="External"/><Relationship Id="rId4" Type="http://schemas.openxmlformats.org/officeDocument/2006/relationships/hyperlink" Target="http://www.dommel.be/contract/contract-n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dministrative xmlns="2b4b6fc7-bde4-44a8-8bca-a78eb25a27e9">true</Administrative>
    <Confidential1 xmlns="2b4b6fc7-bde4-44a8-8bca-a78eb25a27e9">false</Confidential1>
    <History_x0020_of_x0020_Remarks xmlns="2b4b6fc7-bde4-44a8-8bca-a78eb25a27e9">Versie track changes na Raad 8 november 2012</History_x0020_of_x0020_Remarks>
    <abfcb1f17d5f4555baa428617776f0c1 xmlns="2b4b6fc7-bde4-44a8-8bca-a78eb25a27e9">
      <Terms xmlns="http://schemas.microsoft.com/office/infopath/2007/PartnerControls">
        <TermInfo xmlns="http://schemas.microsoft.com/office/infopath/2007/PartnerControls">
          <TermName xmlns="http://schemas.microsoft.com/office/infopath/2007/PartnerControls">Ontwerpbesluit</TermName>
          <TermId xmlns="http://schemas.microsoft.com/office/infopath/2007/PartnerControls">8dbc2ead-0039-4c7f-805b-836b389bc8e4</TermId>
        </TermInfo>
      </Terms>
    </abfcb1f17d5f4555baa428617776f0c1>
    <Master_x0020_Id xmlns="2b4b6fc7-bde4-44a8-8bca-a78eb25a27e9" xsi:nil="true"/>
    <Dossier_x0020_Number xmlns="2b4b6fc7-bde4-44a8-8bca-a78eb25a27e9">2012-001758</Dossier_x0020_Number>
    <_dlc_DocId xmlns="2b4b6fc7-bde4-44a8-8bca-a78eb25a27e9">DS12-3129-1</_dlc_DocId>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6a9e699e-14a6-4582-b99d-f214c5b8b963</TermId>
        </TermInfo>
      </Terms>
    </o3cf37d2a5d34fd7955003a053893e5e>
    <DLCPolicyLabelClientValue xmlns="2b4b6fc7-bde4-44a8-8bca-a78eb25a27e9" xsi:nil="true"/>
    <TaxCatchAll xmlns="2b4b6fc7-bde4-44a8-8bca-a78eb25a27e9">
      <Value>5</Value>
      <Value>90</Value>
      <Value>78</Value>
    </TaxCatchAll>
    <_dlc_DocIdUrl xmlns="2b4b6fc7-bde4-44a8-8bca-a78eb25a27e9">
      <Url>http://teamworkingspace.bipt.local/sites/dossiers2012/10/2012001758/_layouts/DocIdRedir.aspx?ID=DS12-3129-1</Url>
      <Description>DS12-3129-1</Description>
    </_dlc_DocIdUrl>
    <QuickPartDocumentId xmlns="2b4b6fc7-bde4-44a8-8bca-a78eb25a27e9">DS12-3129-1</QuickPartDocumentId>
    <DLCPolicyLabelLock xmlns="2b4b6fc7-bde4-44a8-8bca-a78eb25a27e9" xsi:nil="true"/>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Gebruikers</TermName>
          <TermId xmlns="http://schemas.microsoft.com/office/infopath/2007/PartnerControls">c632d2bf-9a48-41a0-ae03-7b64a961cd5f</TermId>
        </TermInfo>
      </Terms>
    </d4ec9b080060429989fa5f940ee3f852>
    <Version_x0020_Published_x0020_to_x0020_Internet xmlns="2b4b6fc7-bde4-44a8-8bca-a78eb25a27e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ssier Document NL" ma:contentTypeID="0x0101004FA21861B553C741A1AA3F2E5831C1CC050600D5EAF16981273A41A71E3B962E4118C8" ma:contentTypeVersion="90" ma:contentTypeDescription="Een nieuw document maken." ma:contentTypeScope="" ma:versionID="4e5bf4e135f02b154cbe6168e0167e7f">
  <xsd:schema xmlns:xsd="http://www.w3.org/2001/XMLSchema" xmlns:xs="http://www.w3.org/2001/XMLSchema" xmlns:p="http://schemas.microsoft.com/office/2006/metadata/properties" xmlns:ns2="2b4b6fc7-bde4-44a8-8bca-a78eb25a27e9" targetNamespace="http://schemas.microsoft.com/office/2006/metadata/properties" ma:root="true" ma:fieldsID="e3b4e0fbe3ad81a5f445a49c4933cfd9"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DLCPolicyLabelValue" minOccurs="0"/>
                <xsd:element ref="ns2:DLCPolicyLabelClientValue" minOccurs="0"/>
                <xsd:element ref="ns2:DLCPolicyLabelLock"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2b4b6fc7-bde4-44a8-8bca-a78eb25a27e9">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2b4b6fc7-bde4-44a8-8bca-a78eb25a27e9">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DLCPolicyLabelValue" ma:index="25" nillable="true" ma:displayName="Label" ma:description="Hier wordt de huidige waarde van het label opgeslagen." ma:internalName="DLCPolicyLabelValue" ma:readOnly="true">
      <xsd:simpleType>
        <xsd:restriction base="dms:Note">
          <xsd:maxLength value="255"/>
        </xsd:restriction>
      </xsd:simpleType>
    </xsd:element>
    <xsd:element name="DLCPolicyLabelClientValue" ma:index="2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7" nillable="true" ma:displayName="Label Locked" ma:description="Indicates whether the label should be updated when item properties are modified." ma:hidden="true" ma:internalName="DLCPolicyLabelLock" ma:readOnly="false">
      <xsd:simpleType>
        <xsd:restriction base="dms:Text"/>
      </xsd:simpleType>
    </xsd:element>
    <xsd:element name="QuickPartDocumentId" ma:index="28" nillable="true" ma:displayName="Doc Id" ma:internalName="QuickPartDocumentId" ma:readOnly="false">
      <xsd:simpleType>
        <xsd:restriction base="dms:Text">
          <xsd:maxLength value="255"/>
        </xsd:restriction>
      </xsd:simpleType>
    </xsd:element>
    <xsd:element name="Master_x0020_Id" ma:index="29"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A74B-52E5-43B9-9D00-9EC7479C2929}">
  <ds:schemaRefs>
    <ds:schemaRef ds:uri="http://schemas.microsoft.com/office/2006/documentManagement/types"/>
    <ds:schemaRef ds:uri="http://www.w3.org/XML/1998/namespace"/>
    <ds:schemaRef ds:uri="2b4b6fc7-bde4-44a8-8bca-a78eb25a27e9"/>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70FE1F3-122E-47E1-8D6B-D45DC12F39B4}">
  <ds:schemaRefs>
    <ds:schemaRef ds:uri="http://schemas.microsoft.com/sharepoint/events"/>
  </ds:schemaRefs>
</ds:datastoreItem>
</file>

<file path=customXml/itemProps3.xml><?xml version="1.0" encoding="utf-8"?>
<ds:datastoreItem xmlns:ds="http://schemas.openxmlformats.org/officeDocument/2006/customXml" ds:itemID="{2FA319F0-1750-4BDB-A862-17E804F1E0F5}">
  <ds:schemaRefs>
    <ds:schemaRef ds:uri="http://schemas.microsoft.com/office/2006/metadata/customXsn"/>
  </ds:schemaRefs>
</ds:datastoreItem>
</file>

<file path=customXml/itemProps4.xml><?xml version="1.0" encoding="utf-8"?>
<ds:datastoreItem xmlns:ds="http://schemas.openxmlformats.org/officeDocument/2006/customXml" ds:itemID="{339F4AD4-E2AC-42D5-8C3E-0DCEBC9D3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b6fc7-bde4-44a8-8bca-a78eb25a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C9B203-CB49-474F-852A-EDF962CB1A0A}">
  <ds:schemaRefs>
    <ds:schemaRef ds:uri="http://schemas.microsoft.com/sharepoint/v3/contenttype/forms"/>
  </ds:schemaRefs>
</ds:datastoreItem>
</file>

<file path=customXml/itemProps6.xml><?xml version="1.0" encoding="utf-8"?>
<ds:datastoreItem xmlns:ds="http://schemas.openxmlformats.org/officeDocument/2006/customXml" ds:itemID="{902643AB-E262-4F27-BC25-D8130CBC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11361</Words>
  <Characters>61538</Characters>
  <Application>Microsoft Office Word</Application>
  <DocSecurity>0</DocSecurity>
  <Lines>512</Lines>
  <Paragraphs>145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vector>
  </TitlesOfParts>
  <Company>IBPT</Company>
  <LinksUpToDate>false</LinksUpToDate>
  <CharactersWithSpaces>72754</CharactersWithSpaces>
  <SharedDoc>false</SharedDoc>
  <HLinks>
    <vt:vector size="6" baseType="variant">
      <vt:variant>
        <vt:i4>7929892</vt:i4>
      </vt:variant>
      <vt:variant>
        <vt:i4>6</vt:i4>
      </vt:variant>
      <vt:variant>
        <vt:i4>0</vt:i4>
      </vt:variant>
      <vt:variant>
        <vt:i4>5</vt:i4>
      </vt:variant>
      <vt:variant>
        <vt:lpwstr>http://www.ibpt.be/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Vannieuwenhuyse</dc:creator>
  <cp:lastModifiedBy>benny.smets</cp:lastModifiedBy>
  <cp:revision>3</cp:revision>
  <cp:lastPrinted>2014-01-21T09:29:00Z</cp:lastPrinted>
  <dcterms:created xsi:type="dcterms:W3CDTF">2014-04-08T08:02:00Z</dcterms:created>
  <dcterms:modified xsi:type="dcterms:W3CDTF">2014-04-08T08:04:00Z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0x0101004FA21861B553C741A1AA3F2E5831C1CC050600D5EAF16981273A41A71E3B962E4118C8</vt:lpwstr>
  </property>
  <property fmtid="{D5CDD505-2E9C-101B-9397-08002B2CF9AE}" pid="3" name="Languages">
    <vt:lpwstr>5;#Nederlands|6a9e699e-14a6-4582-b99d-f214c5b8b963</vt:lpwstr>
  </property>
  <property fmtid="{D5CDD505-2E9C-101B-9397-08002B2CF9AE}" pid="4" name="Document Type">
    <vt:lpwstr>90;#Ontwerpbesluit|8dbc2ead-0039-4c7f-805b-836b389bc8e4</vt:lpwstr>
  </property>
  <property fmtid="{D5CDD505-2E9C-101B-9397-08002B2CF9AE}" pid="5" name="Service1">
    <vt:lpwstr>78;#Gebruikers|c632d2bf-9a48-41a0-ae03-7b64a961cd5f</vt:lpwstr>
  </property>
  <property fmtid="{D5CDD505-2E9C-101B-9397-08002B2CF9AE}" pid="6" name="_dlc_DocIdItemGuid">
    <vt:lpwstr>8a59fdf2-d110-411f-85a6-6d4810fa0264</vt:lpwstr>
  </property>
</Properties>
</file>