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C5C8F" w14:textId="20D163A3" w:rsidR="00951738" w:rsidRPr="00C5038E" w:rsidRDefault="00951738" w:rsidP="00713331">
      <w:pPr>
        <w:pStyle w:val="Title"/>
      </w:pPr>
    </w:p>
    <w:p w14:paraId="1BE82315" w14:textId="33969F51" w:rsidR="00DF6358" w:rsidRPr="00C5038E" w:rsidRDefault="00DF6358" w:rsidP="00713331"/>
    <w:p w14:paraId="346AB33A" w14:textId="7C6A98E0" w:rsidR="00DF6358" w:rsidRPr="00C5038E" w:rsidRDefault="00DF6358" w:rsidP="00713331"/>
    <w:p w14:paraId="2077BD4B" w14:textId="2CA599B9" w:rsidR="00DF6358" w:rsidRPr="00C5038E" w:rsidRDefault="00DF6358" w:rsidP="00713331"/>
    <w:p w14:paraId="68071FE0" w14:textId="745ED420" w:rsidR="00DF6358" w:rsidRPr="00C5038E" w:rsidRDefault="00DF6358" w:rsidP="00713331"/>
    <w:p w14:paraId="74FCC436" w14:textId="20003DBC" w:rsidR="00DF6358" w:rsidRPr="00C5038E" w:rsidRDefault="00DF6358" w:rsidP="00713331"/>
    <w:p w14:paraId="444D2159" w14:textId="5E053B2E" w:rsidR="00DF6358" w:rsidRPr="00C5038E" w:rsidRDefault="00DF6358" w:rsidP="00713331"/>
    <w:p w14:paraId="09BC4A7A" w14:textId="1781D9FA" w:rsidR="00DF6358" w:rsidRPr="00C5038E" w:rsidRDefault="00DF6358" w:rsidP="00713331"/>
    <w:p w14:paraId="6B941360" w14:textId="2AB835A0" w:rsidR="00DF6358" w:rsidRPr="00C5038E" w:rsidRDefault="00DF6358" w:rsidP="00713331"/>
    <w:p w14:paraId="77EDF664" w14:textId="7F124E2A" w:rsidR="00DF6358" w:rsidRPr="00C5038E" w:rsidRDefault="00DF6358" w:rsidP="00713331"/>
    <w:p w14:paraId="7C4D9A90" w14:textId="482F8983" w:rsidR="00DF6358" w:rsidRPr="00C5038E" w:rsidRDefault="00DF6358" w:rsidP="00713331"/>
    <w:p w14:paraId="62BB4286" w14:textId="4A0B24B4" w:rsidR="00DF6358" w:rsidRPr="00C5038E" w:rsidRDefault="00DF6358" w:rsidP="00713331"/>
    <w:p w14:paraId="288BE86E" w14:textId="1A60920A" w:rsidR="00DF6358" w:rsidRPr="00C5038E" w:rsidRDefault="00DF6358" w:rsidP="00713331"/>
    <w:p w14:paraId="05CF4774" w14:textId="7BF4DAFE" w:rsidR="00DF6358" w:rsidRPr="00C5038E" w:rsidRDefault="00DF6358" w:rsidP="00713331"/>
    <w:p w14:paraId="7B8248C4" w14:textId="502E8934" w:rsidR="00DF6358" w:rsidRPr="00C5038E" w:rsidRDefault="00DF6358" w:rsidP="00713331"/>
    <w:p w14:paraId="24526F6D" w14:textId="098972C8" w:rsidR="00DF6358" w:rsidRPr="00C5038E" w:rsidRDefault="00DF6358" w:rsidP="00713331"/>
    <w:p w14:paraId="79050F63" w14:textId="522C33A9" w:rsidR="00DF6358" w:rsidRPr="00C5038E" w:rsidRDefault="00DF6358" w:rsidP="00713331"/>
    <w:p w14:paraId="04C6CD6A" w14:textId="77777777" w:rsidR="00DF6358" w:rsidRPr="00C5038E" w:rsidRDefault="00DF6358" w:rsidP="00713331"/>
    <w:p w14:paraId="48A24A99" w14:textId="77777777" w:rsidR="00951738" w:rsidRPr="00C5038E" w:rsidRDefault="00951738" w:rsidP="00713331">
      <w:pPr>
        <w:pStyle w:val="Title"/>
      </w:pPr>
    </w:p>
    <w:p w14:paraId="570D2AE0" w14:textId="77777777" w:rsidR="00951738" w:rsidRPr="00C5038E" w:rsidRDefault="00951738" w:rsidP="00713331">
      <w:pPr>
        <w:pStyle w:val="Title"/>
      </w:pPr>
    </w:p>
    <w:p w14:paraId="49426516" w14:textId="77777777" w:rsidR="00951738" w:rsidRPr="00C5038E" w:rsidRDefault="00951738" w:rsidP="00713331">
      <w:pPr>
        <w:pStyle w:val="Title"/>
      </w:pPr>
    </w:p>
    <w:p w14:paraId="49343937" w14:textId="2F32C1D2" w:rsidR="009D1190" w:rsidRPr="00713331" w:rsidRDefault="00C01A8E" w:rsidP="00713331">
      <w:pPr>
        <w:rPr>
          <w:rFonts w:eastAsiaTheme="majorEastAsia" w:cstheme="majorBidi"/>
          <w:color w:val="292A81"/>
          <w:sz w:val="28"/>
          <w:szCs w:val="28"/>
        </w:rPr>
      </w:pPr>
      <w:r>
        <w:rPr>
          <w:color w:val="292A81"/>
          <w:sz w:val="28"/>
        </w:rPr>
        <w:t>Submission to the BIPT of an application for a prior authorisation or regularisation on 5G security</w:t>
      </w:r>
    </w:p>
    <w:p w14:paraId="0C5DC693" w14:textId="0497BBD7" w:rsidR="00951738" w:rsidRPr="00713331" w:rsidRDefault="00951738" w:rsidP="00713331"/>
    <w:p w14:paraId="59527632" w14:textId="77777777" w:rsidR="00DF6358" w:rsidRPr="00713331" w:rsidRDefault="00DF6358" w:rsidP="00713331">
      <w:pPr>
        <w:spacing w:after="160" w:line="259" w:lineRule="auto"/>
        <w:jc w:val="left"/>
      </w:pPr>
    </w:p>
    <w:p w14:paraId="0748C8E7" w14:textId="77777777" w:rsidR="00DF6358" w:rsidRPr="00713331" w:rsidRDefault="00DF6358" w:rsidP="00713331">
      <w:pPr>
        <w:spacing w:after="160" w:line="259" w:lineRule="auto"/>
        <w:jc w:val="left"/>
      </w:pPr>
    </w:p>
    <w:p w14:paraId="2FFC6863" w14:textId="77777777" w:rsidR="00DF6358" w:rsidRPr="00713331" w:rsidRDefault="00DF6358" w:rsidP="00713331">
      <w:pPr>
        <w:spacing w:after="160" w:line="259" w:lineRule="auto"/>
        <w:jc w:val="left"/>
      </w:pPr>
    </w:p>
    <w:p w14:paraId="2BD6E648" w14:textId="77777777" w:rsidR="00DF6358" w:rsidRPr="00713331" w:rsidRDefault="00DF6358" w:rsidP="00713331">
      <w:pPr>
        <w:spacing w:after="160" w:line="259" w:lineRule="auto"/>
        <w:jc w:val="left"/>
      </w:pPr>
    </w:p>
    <w:p w14:paraId="1E0EB428" w14:textId="77777777" w:rsidR="00DF6358" w:rsidRPr="00713331" w:rsidRDefault="00DF6358" w:rsidP="00713331">
      <w:pPr>
        <w:spacing w:after="160" w:line="259" w:lineRule="auto"/>
        <w:jc w:val="left"/>
      </w:pPr>
    </w:p>
    <w:p w14:paraId="77CFDB1A" w14:textId="77777777" w:rsidR="00DF6358" w:rsidRPr="00713331" w:rsidRDefault="00DF6358" w:rsidP="00713331">
      <w:pPr>
        <w:spacing w:after="160" w:line="259" w:lineRule="auto"/>
        <w:jc w:val="left"/>
      </w:pPr>
    </w:p>
    <w:p w14:paraId="5DAA5BBE" w14:textId="77777777" w:rsidR="00DF6358" w:rsidRPr="00713331" w:rsidRDefault="00DF6358" w:rsidP="00713331">
      <w:pPr>
        <w:spacing w:after="160" w:line="259" w:lineRule="auto"/>
        <w:jc w:val="left"/>
      </w:pPr>
    </w:p>
    <w:p w14:paraId="4FB7B3AE" w14:textId="77777777" w:rsidR="00DF6358" w:rsidRPr="00713331" w:rsidRDefault="00DF6358" w:rsidP="00713331">
      <w:pPr>
        <w:spacing w:after="160" w:line="259" w:lineRule="auto"/>
        <w:jc w:val="left"/>
      </w:pPr>
    </w:p>
    <w:p w14:paraId="0616421E" w14:textId="77777777" w:rsidR="00DF6358" w:rsidRPr="00713331" w:rsidRDefault="00DF6358" w:rsidP="00713331">
      <w:pPr>
        <w:spacing w:after="160" w:line="259" w:lineRule="auto"/>
        <w:jc w:val="left"/>
      </w:pPr>
    </w:p>
    <w:p w14:paraId="7313E3DF" w14:textId="77777777" w:rsidR="00DF6358" w:rsidRPr="00713331" w:rsidRDefault="00DF6358" w:rsidP="00713331">
      <w:pPr>
        <w:spacing w:after="160" w:line="259" w:lineRule="auto"/>
        <w:jc w:val="left"/>
      </w:pPr>
    </w:p>
    <w:p w14:paraId="41EECD6C" w14:textId="77777777" w:rsidR="00DF6358" w:rsidRPr="00713331" w:rsidRDefault="00DF6358" w:rsidP="00713331">
      <w:pPr>
        <w:spacing w:after="160" w:line="259" w:lineRule="auto"/>
        <w:jc w:val="left"/>
      </w:pPr>
    </w:p>
    <w:p w14:paraId="47BE909A" w14:textId="77777777" w:rsidR="00DF6358" w:rsidRPr="00713331" w:rsidRDefault="00DF6358" w:rsidP="00713331">
      <w:pPr>
        <w:spacing w:after="160" w:line="259" w:lineRule="auto"/>
        <w:jc w:val="left"/>
      </w:pPr>
    </w:p>
    <w:p w14:paraId="41358694" w14:textId="77777777" w:rsidR="00DF6358" w:rsidRPr="00713331" w:rsidRDefault="00DF6358" w:rsidP="00713331">
      <w:pPr>
        <w:spacing w:after="160" w:line="259" w:lineRule="auto"/>
        <w:jc w:val="left"/>
      </w:pPr>
    </w:p>
    <w:p w14:paraId="5AA24F91" w14:textId="77777777" w:rsidR="00DF6358" w:rsidRPr="00713331" w:rsidRDefault="00DF6358" w:rsidP="00713331">
      <w:pPr>
        <w:spacing w:after="160" w:line="259" w:lineRule="auto"/>
        <w:jc w:val="left"/>
      </w:pPr>
    </w:p>
    <w:p w14:paraId="08349B93" w14:textId="77777777" w:rsidR="00DF6358" w:rsidRPr="00713331" w:rsidRDefault="00DF6358" w:rsidP="00713331">
      <w:pPr>
        <w:spacing w:after="160" w:line="259" w:lineRule="auto"/>
        <w:jc w:val="left"/>
      </w:pPr>
    </w:p>
    <w:p w14:paraId="0DD6AF60" w14:textId="77777777" w:rsidR="00DF6358" w:rsidRPr="00713331" w:rsidRDefault="00DF6358" w:rsidP="00713331">
      <w:pPr>
        <w:spacing w:after="160" w:line="259" w:lineRule="auto"/>
        <w:jc w:val="left"/>
      </w:pPr>
    </w:p>
    <w:p w14:paraId="682865A8" w14:textId="77777777" w:rsidR="00DF6358" w:rsidRPr="00713331" w:rsidRDefault="00DF6358" w:rsidP="00713331">
      <w:pPr>
        <w:spacing w:after="160" w:line="259" w:lineRule="auto"/>
        <w:jc w:val="left"/>
      </w:pPr>
    </w:p>
    <w:sdt>
      <w:sdtPr>
        <w:rPr>
          <w:rFonts w:ascii="Tahoma" w:eastAsiaTheme="minorHAnsi" w:hAnsi="Tahoma" w:cstheme="minorBidi"/>
          <w:color w:val="auto"/>
          <w:sz w:val="20"/>
          <w:szCs w:val="22"/>
          <w:lang w:eastAsia="en-US"/>
        </w:rPr>
        <w:id w:val="985748558"/>
        <w:docPartObj>
          <w:docPartGallery w:val="Table of Contents"/>
          <w:docPartUnique/>
        </w:docPartObj>
      </w:sdtPr>
      <w:sdtEndPr>
        <w:rPr>
          <w:b/>
          <w:bCs/>
        </w:rPr>
      </w:sdtEndPr>
      <w:sdtContent>
        <w:p w14:paraId="24D8B9A6" w14:textId="519B750B" w:rsidR="00DF6358" w:rsidRPr="00713331" w:rsidRDefault="00DF6358" w:rsidP="00713331">
          <w:pPr>
            <w:pStyle w:val="TOCHeading"/>
            <w:jc w:val="center"/>
          </w:pPr>
          <w:r>
            <w:t>Table of contents</w:t>
          </w:r>
        </w:p>
        <w:p w14:paraId="2A7374C2" w14:textId="112CB886" w:rsidR="006D3CFA" w:rsidRDefault="00DF6358">
          <w:pPr>
            <w:pStyle w:val="TOC1"/>
            <w:tabs>
              <w:tab w:val="left" w:pos="400"/>
            </w:tabs>
            <w:rPr>
              <w:rFonts w:asciiTheme="minorHAnsi" w:eastAsiaTheme="minorEastAsia" w:hAnsiTheme="minorHAnsi" w:cstheme="minorBidi"/>
              <w:noProof/>
              <w:sz w:val="22"/>
              <w:lang w:val="fr-BE" w:eastAsia="fr-BE"/>
            </w:rPr>
          </w:pPr>
          <w:r w:rsidRPr="00713331">
            <w:fldChar w:fldCharType="begin"/>
          </w:r>
          <w:r w:rsidRPr="00713331">
            <w:instrText xml:space="preserve"> TOC \o "1-3" \h \z \u </w:instrText>
          </w:r>
          <w:r w:rsidRPr="00713331">
            <w:fldChar w:fldCharType="separate"/>
          </w:r>
          <w:hyperlink w:anchor="_Toc135085708" w:history="1">
            <w:r w:rsidR="006D3CFA" w:rsidRPr="007F7FD9">
              <w:rPr>
                <w:rStyle w:val="Hyperlink"/>
                <w:noProof/>
                <w14:scene3d>
                  <w14:camera w14:prst="orthographicFront"/>
                  <w14:lightRig w14:rig="threePt" w14:dir="t">
                    <w14:rot w14:lat="0" w14:lon="0" w14:rev="0"/>
                  </w14:lightRig>
                </w14:scene3d>
              </w:rPr>
              <w:t>1.</w:t>
            </w:r>
            <w:r w:rsidR="006D3CFA">
              <w:rPr>
                <w:rFonts w:asciiTheme="minorHAnsi" w:eastAsiaTheme="minorEastAsia" w:hAnsiTheme="minorHAnsi" w:cstheme="minorBidi"/>
                <w:noProof/>
                <w:sz w:val="22"/>
                <w:lang w:val="fr-BE" w:eastAsia="fr-BE"/>
              </w:rPr>
              <w:tab/>
            </w:r>
            <w:r w:rsidR="006D3CFA" w:rsidRPr="007F7FD9">
              <w:rPr>
                <w:rStyle w:val="Hyperlink"/>
                <w:noProof/>
              </w:rPr>
              <w:t>Purpose of this document</w:t>
            </w:r>
            <w:r w:rsidR="006D3CFA">
              <w:rPr>
                <w:noProof/>
                <w:webHidden/>
              </w:rPr>
              <w:tab/>
            </w:r>
            <w:r w:rsidR="006D3CFA">
              <w:rPr>
                <w:noProof/>
                <w:webHidden/>
              </w:rPr>
              <w:fldChar w:fldCharType="begin"/>
            </w:r>
            <w:r w:rsidR="006D3CFA">
              <w:rPr>
                <w:noProof/>
                <w:webHidden/>
              </w:rPr>
              <w:instrText xml:space="preserve"> PAGEREF _Toc135085708 \h </w:instrText>
            </w:r>
            <w:r w:rsidR="006D3CFA">
              <w:rPr>
                <w:noProof/>
                <w:webHidden/>
              </w:rPr>
            </w:r>
            <w:r w:rsidR="006D3CFA">
              <w:rPr>
                <w:noProof/>
                <w:webHidden/>
              </w:rPr>
              <w:fldChar w:fldCharType="separate"/>
            </w:r>
            <w:r w:rsidR="006D3CFA">
              <w:rPr>
                <w:noProof/>
                <w:webHidden/>
              </w:rPr>
              <w:t>3</w:t>
            </w:r>
            <w:r w:rsidR="006D3CFA">
              <w:rPr>
                <w:noProof/>
                <w:webHidden/>
              </w:rPr>
              <w:fldChar w:fldCharType="end"/>
            </w:r>
          </w:hyperlink>
        </w:p>
        <w:p w14:paraId="2A530B72" w14:textId="2A9C10EF" w:rsidR="006D3CFA" w:rsidRDefault="00AB5EEE">
          <w:pPr>
            <w:pStyle w:val="TOC1"/>
            <w:tabs>
              <w:tab w:val="left" w:pos="400"/>
            </w:tabs>
            <w:rPr>
              <w:rFonts w:asciiTheme="minorHAnsi" w:eastAsiaTheme="minorEastAsia" w:hAnsiTheme="minorHAnsi" w:cstheme="minorBidi"/>
              <w:noProof/>
              <w:sz w:val="22"/>
              <w:lang w:val="fr-BE" w:eastAsia="fr-BE"/>
            </w:rPr>
          </w:pPr>
          <w:hyperlink w:anchor="_Toc135085709" w:history="1">
            <w:r w:rsidR="006D3CFA" w:rsidRPr="007F7FD9">
              <w:rPr>
                <w:rStyle w:val="Hyperlink"/>
                <w:noProof/>
                <w14:scene3d>
                  <w14:camera w14:prst="orthographicFront"/>
                  <w14:lightRig w14:rig="threePt" w14:dir="t">
                    <w14:rot w14:lat="0" w14:lon="0" w14:rev="0"/>
                  </w14:lightRig>
                </w14:scene3d>
              </w:rPr>
              <w:t>2.</w:t>
            </w:r>
            <w:r w:rsidR="006D3CFA">
              <w:rPr>
                <w:rFonts w:asciiTheme="minorHAnsi" w:eastAsiaTheme="minorEastAsia" w:hAnsiTheme="minorHAnsi" w:cstheme="minorBidi"/>
                <w:noProof/>
                <w:sz w:val="22"/>
                <w:lang w:val="fr-BE" w:eastAsia="fr-BE"/>
              </w:rPr>
              <w:tab/>
            </w:r>
            <w:r w:rsidR="006D3CFA" w:rsidRPr="007F7FD9">
              <w:rPr>
                <w:rStyle w:val="Hyperlink"/>
                <w:noProof/>
              </w:rPr>
              <w:t>Network elements out of the scope of the RD authorisation</w:t>
            </w:r>
            <w:r w:rsidR="006D3CFA">
              <w:rPr>
                <w:noProof/>
                <w:webHidden/>
              </w:rPr>
              <w:tab/>
            </w:r>
            <w:r w:rsidR="006D3CFA">
              <w:rPr>
                <w:noProof/>
                <w:webHidden/>
              </w:rPr>
              <w:fldChar w:fldCharType="begin"/>
            </w:r>
            <w:r w:rsidR="006D3CFA">
              <w:rPr>
                <w:noProof/>
                <w:webHidden/>
              </w:rPr>
              <w:instrText xml:space="preserve"> PAGEREF _Toc135085709 \h </w:instrText>
            </w:r>
            <w:r w:rsidR="006D3CFA">
              <w:rPr>
                <w:noProof/>
                <w:webHidden/>
              </w:rPr>
            </w:r>
            <w:r w:rsidR="006D3CFA">
              <w:rPr>
                <w:noProof/>
                <w:webHidden/>
              </w:rPr>
              <w:fldChar w:fldCharType="separate"/>
            </w:r>
            <w:r w:rsidR="006D3CFA">
              <w:rPr>
                <w:noProof/>
                <w:webHidden/>
              </w:rPr>
              <w:t>3</w:t>
            </w:r>
            <w:r w:rsidR="006D3CFA">
              <w:rPr>
                <w:noProof/>
                <w:webHidden/>
              </w:rPr>
              <w:fldChar w:fldCharType="end"/>
            </w:r>
          </w:hyperlink>
        </w:p>
        <w:p w14:paraId="4EEAED81" w14:textId="6F219772" w:rsidR="006D3CFA" w:rsidRDefault="00AB5EEE">
          <w:pPr>
            <w:pStyle w:val="TOC1"/>
            <w:tabs>
              <w:tab w:val="left" w:pos="400"/>
            </w:tabs>
            <w:rPr>
              <w:rFonts w:asciiTheme="minorHAnsi" w:eastAsiaTheme="minorEastAsia" w:hAnsiTheme="minorHAnsi" w:cstheme="minorBidi"/>
              <w:noProof/>
              <w:sz w:val="22"/>
              <w:lang w:val="fr-BE" w:eastAsia="fr-BE"/>
            </w:rPr>
          </w:pPr>
          <w:hyperlink w:anchor="_Toc135085710" w:history="1">
            <w:r w:rsidR="006D3CFA" w:rsidRPr="007F7FD9">
              <w:rPr>
                <w:rStyle w:val="Hyperlink"/>
                <w:noProof/>
                <w14:scene3d>
                  <w14:camera w14:prst="orthographicFront"/>
                  <w14:lightRig w14:rig="threePt" w14:dir="t">
                    <w14:rot w14:lat="0" w14:lon="0" w14:rev="0"/>
                  </w14:lightRig>
                </w14:scene3d>
              </w:rPr>
              <w:t>3.</w:t>
            </w:r>
            <w:r w:rsidR="006D3CFA">
              <w:rPr>
                <w:rFonts w:asciiTheme="minorHAnsi" w:eastAsiaTheme="minorEastAsia" w:hAnsiTheme="minorHAnsi" w:cstheme="minorBidi"/>
                <w:noProof/>
                <w:sz w:val="22"/>
                <w:lang w:val="fr-BE" w:eastAsia="fr-BE"/>
              </w:rPr>
              <w:tab/>
            </w:r>
            <w:r w:rsidR="006D3CFA" w:rsidRPr="007F7FD9">
              <w:rPr>
                <w:rStyle w:val="Hyperlink"/>
                <w:noProof/>
              </w:rPr>
              <w:t>Mobile private networks</w:t>
            </w:r>
            <w:r w:rsidR="006D3CFA">
              <w:rPr>
                <w:noProof/>
                <w:webHidden/>
              </w:rPr>
              <w:tab/>
            </w:r>
            <w:r w:rsidR="006D3CFA">
              <w:rPr>
                <w:noProof/>
                <w:webHidden/>
              </w:rPr>
              <w:fldChar w:fldCharType="begin"/>
            </w:r>
            <w:r w:rsidR="006D3CFA">
              <w:rPr>
                <w:noProof/>
                <w:webHidden/>
              </w:rPr>
              <w:instrText xml:space="preserve"> PAGEREF _Toc135085710 \h </w:instrText>
            </w:r>
            <w:r w:rsidR="006D3CFA">
              <w:rPr>
                <w:noProof/>
                <w:webHidden/>
              </w:rPr>
            </w:r>
            <w:r w:rsidR="006D3CFA">
              <w:rPr>
                <w:noProof/>
                <w:webHidden/>
              </w:rPr>
              <w:fldChar w:fldCharType="separate"/>
            </w:r>
            <w:r w:rsidR="006D3CFA">
              <w:rPr>
                <w:noProof/>
                <w:webHidden/>
              </w:rPr>
              <w:t>4</w:t>
            </w:r>
            <w:r w:rsidR="006D3CFA">
              <w:rPr>
                <w:noProof/>
                <w:webHidden/>
              </w:rPr>
              <w:fldChar w:fldCharType="end"/>
            </w:r>
          </w:hyperlink>
        </w:p>
        <w:p w14:paraId="25A64695" w14:textId="6E51575D" w:rsidR="006D3CFA" w:rsidRDefault="00AB5EEE">
          <w:pPr>
            <w:pStyle w:val="TOC1"/>
            <w:tabs>
              <w:tab w:val="left" w:pos="400"/>
            </w:tabs>
            <w:rPr>
              <w:rFonts w:asciiTheme="minorHAnsi" w:eastAsiaTheme="minorEastAsia" w:hAnsiTheme="minorHAnsi" w:cstheme="minorBidi"/>
              <w:noProof/>
              <w:sz w:val="22"/>
              <w:lang w:val="fr-BE" w:eastAsia="fr-BE"/>
            </w:rPr>
          </w:pPr>
          <w:hyperlink w:anchor="_Toc135085711" w:history="1">
            <w:r w:rsidR="006D3CFA" w:rsidRPr="007F7FD9">
              <w:rPr>
                <w:rStyle w:val="Hyperlink"/>
                <w:noProof/>
                <w14:scene3d>
                  <w14:camera w14:prst="orthographicFront"/>
                  <w14:lightRig w14:rig="threePt" w14:dir="t">
                    <w14:rot w14:lat="0" w14:lon="0" w14:rev="0"/>
                  </w14:lightRig>
                </w14:scene3d>
              </w:rPr>
              <w:t>4.</w:t>
            </w:r>
            <w:r w:rsidR="006D3CFA">
              <w:rPr>
                <w:rFonts w:asciiTheme="minorHAnsi" w:eastAsiaTheme="minorEastAsia" w:hAnsiTheme="minorHAnsi" w:cstheme="minorBidi"/>
                <w:noProof/>
                <w:sz w:val="22"/>
                <w:lang w:val="fr-BE" w:eastAsia="fr-BE"/>
              </w:rPr>
              <w:tab/>
            </w:r>
            <w:r w:rsidR="006D3CFA" w:rsidRPr="007F7FD9">
              <w:rPr>
                <w:rStyle w:val="Hyperlink"/>
                <w:noProof/>
              </w:rPr>
              <w:t>Consultation of the list of sensitive areas</w:t>
            </w:r>
            <w:r w:rsidR="006D3CFA">
              <w:rPr>
                <w:noProof/>
                <w:webHidden/>
              </w:rPr>
              <w:tab/>
            </w:r>
            <w:r w:rsidR="006D3CFA">
              <w:rPr>
                <w:noProof/>
                <w:webHidden/>
              </w:rPr>
              <w:fldChar w:fldCharType="begin"/>
            </w:r>
            <w:r w:rsidR="006D3CFA">
              <w:rPr>
                <w:noProof/>
                <w:webHidden/>
              </w:rPr>
              <w:instrText xml:space="preserve"> PAGEREF _Toc135085711 \h </w:instrText>
            </w:r>
            <w:r w:rsidR="006D3CFA">
              <w:rPr>
                <w:noProof/>
                <w:webHidden/>
              </w:rPr>
            </w:r>
            <w:r w:rsidR="006D3CFA">
              <w:rPr>
                <w:noProof/>
                <w:webHidden/>
              </w:rPr>
              <w:fldChar w:fldCharType="separate"/>
            </w:r>
            <w:r w:rsidR="006D3CFA">
              <w:rPr>
                <w:noProof/>
                <w:webHidden/>
              </w:rPr>
              <w:t>5</w:t>
            </w:r>
            <w:r w:rsidR="006D3CFA">
              <w:rPr>
                <w:noProof/>
                <w:webHidden/>
              </w:rPr>
              <w:fldChar w:fldCharType="end"/>
            </w:r>
          </w:hyperlink>
        </w:p>
        <w:p w14:paraId="76EE7800" w14:textId="27EA1B8D" w:rsidR="006D3CFA" w:rsidRDefault="00AB5EEE">
          <w:pPr>
            <w:pStyle w:val="TOC1"/>
            <w:tabs>
              <w:tab w:val="left" w:pos="400"/>
            </w:tabs>
            <w:rPr>
              <w:rFonts w:asciiTheme="minorHAnsi" w:eastAsiaTheme="minorEastAsia" w:hAnsiTheme="minorHAnsi" w:cstheme="minorBidi"/>
              <w:noProof/>
              <w:sz w:val="22"/>
              <w:lang w:val="fr-BE" w:eastAsia="fr-BE"/>
            </w:rPr>
          </w:pPr>
          <w:hyperlink w:anchor="_Toc135085712" w:history="1">
            <w:r w:rsidR="006D3CFA" w:rsidRPr="007F7FD9">
              <w:rPr>
                <w:rStyle w:val="Hyperlink"/>
                <w:noProof/>
                <w14:scene3d>
                  <w14:camera w14:prst="orthographicFront"/>
                  <w14:lightRig w14:rig="threePt" w14:dir="t">
                    <w14:rot w14:lat="0" w14:lon="0" w14:rev="0"/>
                  </w14:lightRig>
                </w14:scene3d>
              </w:rPr>
              <w:t>5.</w:t>
            </w:r>
            <w:r w:rsidR="006D3CFA">
              <w:rPr>
                <w:rFonts w:asciiTheme="minorHAnsi" w:eastAsiaTheme="minorEastAsia" w:hAnsiTheme="minorHAnsi" w:cstheme="minorBidi"/>
                <w:noProof/>
                <w:sz w:val="22"/>
                <w:lang w:val="fr-BE" w:eastAsia="fr-BE"/>
              </w:rPr>
              <w:tab/>
            </w:r>
            <w:r w:rsidR="006D3CFA" w:rsidRPr="007F7FD9">
              <w:rPr>
                <w:rStyle w:val="Hyperlink"/>
                <w:noProof/>
              </w:rPr>
              <w:t>Deadlines</w:t>
            </w:r>
            <w:r w:rsidR="006D3CFA">
              <w:rPr>
                <w:noProof/>
                <w:webHidden/>
              </w:rPr>
              <w:tab/>
            </w:r>
            <w:r w:rsidR="006D3CFA">
              <w:rPr>
                <w:noProof/>
                <w:webHidden/>
              </w:rPr>
              <w:fldChar w:fldCharType="begin"/>
            </w:r>
            <w:r w:rsidR="006D3CFA">
              <w:rPr>
                <w:noProof/>
                <w:webHidden/>
              </w:rPr>
              <w:instrText xml:space="preserve"> PAGEREF _Toc135085712 \h </w:instrText>
            </w:r>
            <w:r w:rsidR="006D3CFA">
              <w:rPr>
                <w:noProof/>
                <w:webHidden/>
              </w:rPr>
            </w:r>
            <w:r w:rsidR="006D3CFA">
              <w:rPr>
                <w:noProof/>
                <w:webHidden/>
              </w:rPr>
              <w:fldChar w:fldCharType="separate"/>
            </w:r>
            <w:r w:rsidR="006D3CFA">
              <w:rPr>
                <w:noProof/>
                <w:webHidden/>
              </w:rPr>
              <w:t>5</w:t>
            </w:r>
            <w:r w:rsidR="006D3CFA">
              <w:rPr>
                <w:noProof/>
                <w:webHidden/>
              </w:rPr>
              <w:fldChar w:fldCharType="end"/>
            </w:r>
          </w:hyperlink>
        </w:p>
        <w:p w14:paraId="357E88D8" w14:textId="784D70E4" w:rsidR="006D3CFA" w:rsidRDefault="00AB5EEE">
          <w:pPr>
            <w:pStyle w:val="TOC1"/>
            <w:tabs>
              <w:tab w:val="left" w:pos="400"/>
            </w:tabs>
            <w:rPr>
              <w:rFonts w:asciiTheme="minorHAnsi" w:eastAsiaTheme="minorEastAsia" w:hAnsiTheme="minorHAnsi" w:cstheme="minorBidi"/>
              <w:noProof/>
              <w:sz w:val="22"/>
              <w:lang w:val="fr-BE" w:eastAsia="fr-BE"/>
            </w:rPr>
          </w:pPr>
          <w:hyperlink w:anchor="_Toc135085713" w:history="1">
            <w:r w:rsidR="006D3CFA" w:rsidRPr="007F7FD9">
              <w:rPr>
                <w:rStyle w:val="Hyperlink"/>
                <w:noProof/>
                <w14:scene3d>
                  <w14:camera w14:prst="orthographicFront"/>
                  <w14:lightRig w14:rig="threePt" w14:dir="t">
                    <w14:rot w14:lat="0" w14:lon="0" w14:rev="0"/>
                  </w14:lightRig>
                </w14:scene3d>
              </w:rPr>
              <w:t>6.</w:t>
            </w:r>
            <w:r w:rsidR="006D3CFA">
              <w:rPr>
                <w:rFonts w:asciiTheme="minorHAnsi" w:eastAsiaTheme="minorEastAsia" w:hAnsiTheme="minorHAnsi" w:cstheme="minorBidi"/>
                <w:noProof/>
                <w:sz w:val="22"/>
                <w:lang w:val="fr-BE" w:eastAsia="fr-BE"/>
              </w:rPr>
              <w:tab/>
            </w:r>
            <w:r w:rsidR="006D3CFA" w:rsidRPr="007F7FD9">
              <w:rPr>
                <w:rStyle w:val="Hyperlink"/>
                <w:noProof/>
              </w:rPr>
              <w:t>Submission of the file by the applicant</w:t>
            </w:r>
            <w:r w:rsidR="006D3CFA">
              <w:rPr>
                <w:noProof/>
                <w:webHidden/>
              </w:rPr>
              <w:tab/>
            </w:r>
            <w:r w:rsidR="006D3CFA">
              <w:rPr>
                <w:noProof/>
                <w:webHidden/>
              </w:rPr>
              <w:fldChar w:fldCharType="begin"/>
            </w:r>
            <w:r w:rsidR="006D3CFA">
              <w:rPr>
                <w:noProof/>
                <w:webHidden/>
              </w:rPr>
              <w:instrText xml:space="preserve"> PAGEREF _Toc135085713 \h </w:instrText>
            </w:r>
            <w:r w:rsidR="006D3CFA">
              <w:rPr>
                <w:noProof/>
                <w:webHidden/>
              </w:rPr>
            </w:r>
            <w:r w:rsidR="006D3CFA">
              <w:rPr>
                <w:noProof/>
                <w:webHidden/>
              </w:rPr>
              <w:fldChar w:fldCharType="separate"/>
            </w:r>
            <w:r w:rsidR="006D3CFA">
              <w:rPr>
                <w:noProof/>
                <w:webHidden/>
              </w:rPr>
              <w:t>6</w:t>
            </w:r>
            <w:r w:rsidR="006D3CFA">
              <w:rPr>
                <w:noProof/>
                <w:webHidden/>
              </w:rPr>
              <w:fldChar w:fldCharType="end"/>
            </w:r>
          </w:hyperlink>
        </w:p>
        <w:p w14:paraId="52548F39" w14:textId="3DA78C30" w:rsidR="006D3CFA" w:rsidRDefault="00AB5EEE">
          <w:pPr>
            <w:pStyle w:val="TOC2"/>
            <w:tabs>
              <w:tab w:val="left" w:pos="880"/>
              <w:tab w:val="right" w:leader="dot" w:pos="9062"/>
            </w:tabs>
            <w:rPr>
              <w:rFonts w:asciiTheme="minorHAnsi" w:eastAsiaTheme="minorEastAsia" w:hAnsiTheme="minorHAnsi" w:cstheme="minorBidi"/>
              <w:noProof/>
              <w:spacing w:val="0"/>
              <w:sz w:val="22"/>
              <w:lang w:val="fr-BE" w:eastAsia="fr-BE"/>
            </w:rPr>
          </w:pPr>
          <w:hyperlink w:anchor="_Toc135085714" w:history="1">
            <w:r w:rsidR="006D3CFA" w:rsidRPr="007F7FD9">
              <w:rPr>
                <w:rStyle w:val="Hyperlink"/>
                <w:noProof/>
              </w:rPr>
              <w:t>6.1.</w:t>
            </w:r>
            <w:r w:rsidR="006D3CFA">
              <w:rPr>
                <w:rFonts w:asciiTheme="minorHAnsi" w:eastAsiaTheme="minorEastAsia" w:hAnsiTheme="minorHAnsi" w:cstheme="minorBidi"/>
                <w:noProof/>
                <w:spacing w:val="0"/>
                <w:sz w:val="22"/>
                <w:lang w:val="fr-BE" w:eastAsia="fr-BE"/>
              </w:rPr>
              <w:tab/>
            </w:r>
            <w:r w:rsidR="006D3CFA" w:rsidRPr="007F7FD9">
              <w:rPr>
                <w:rStyle w:val="Hyperlink"/>
                <w:noProof/>
              </w:rPr>
              <w:t>Documents provided by the BIPT</w:t>
            </w:r>
            <w:r w:rsidR="006D3CFA">
              <w:rPr>
                <w:noProof/>
                <w:webHidden/>
              </w:rPr>
              <w:tab/>
            </w:r>
            <w:r w:rsidR="006D3CFA">
              <w:rPr>
                <w:noProof/>
                <w:webHidden/>
              </w:rPr>
              <w:fldChar w:fldCharType="begin"/>
            </w:r>
            <w:r w:rsidR="006D3CFA">
              <w:rPr>
                <w:noProof/>
                <w:webHidden/>
              </w:rPr>
              <w:instrText xml:space="preserve"> PAGEREF _Toc135085714 \h </w:instrText>
            </w:r>
            <w:r w:rsidR="006D3CFA">
              <w:rPr>
                <w:noProof/>
                <w:webHidden/>
              </w:rPr>
            </w:r>
            <w:r w:rsidR="006D3CFA">
              <w:rPr>
                <w:noProof/>
                <w:webHidden/>
              </w:rPr>
              <w:fldChar w:fldCharType="separate"/>
            </w:r>
            <w:r w:rsidR="006D3CFA">
              <w:rPr>
                <w:noProof/>
                <w:webHidden/>
              </w:rPr>
              <w:t>6</w:t>
            </w:r>
            <w:r w:rsidR="006D3CFA">
              <w:rPr>
                <w:noProof/>
                <w:webHidden/>
              </w:rPr>
              <w:fldChar w:fldCharType="end"/>
            </w:r>
          </w:hyperlink>
        </w:p>
        <w:p w14:paraId="110765DC" w14:textId="375D5917" w:rsidR="006D3CFA" w:rsidRDefault="00AB5EEE">
          <w:pPr>
            <w:pStyle w:val="TOC2"/>
            <w:tabs>
              <w:tab w:val="left" w:pos="880"/>
              <w:tab w:val="right" w:leader="dot" w:pos="9062"/>
            </w:tabs>
            <w:rPr>
              <w:rFonts w:asciiTheme="minorHAnsi" w:eastAsiaTheme="minorEastAsia" w:hAnsiTheme="minorHAnsi" w:cstheme="minorBidi"/>
              <w:noProof/>
              <w:spacing w:val="0"/>
              <w:sz w:val="22"/>
              <w:lang w:val="fr-BE" w:eastAsia="fr-BE"/>
            </w:rPr>
          </w:pPr>
          <w:hyperlink w:anchor="_Toc135085715" w:history="1">
            <w:r w:rsidR="006D3CFA" w:rsidRPr="007F7FD9">
              <w:rPr>
                <w:rStyle w:val="Hyperlink"/>
                <w:noProof/>
              </w:rPr>
              <w:t>6.2.</w:t>
            </w:r>
            <w:r w:rsidR="006D3CFA">
              <w:rPr>
                <w:rFonts w:asciiTheme="minorHAnsi" w:eastAsiaTheme="minorEastAsia" w:hAnsiTheme="minorHAnsi" w:cstheme="minorBidi"/>
                <w:noProof/>
                <w:spacing w:val="0"/>
                <w:sz w:val="22"/>
                <w:lang w:val="fr-BE" w:eastAsia="fr-BE"/>
              </w:rPr>
              <w:tab/>
            </w:r>
            <w:r w:rsidR="006D3CFA" w:rsidRPr="007F7FD9">
              <w:rPr>
                <w:rStyle w:val="Hyperlink"/>
                <w:noProof/>
              </w:rPr>
              <w:t>Subject of the application</w:t>
            </w:r>
            <w:r w:rsidR="006D3CFA">
              <w:rPr>
                <w:noProof/>
                <w:webHidden/>
              </w:rPr>
              <w:tab/>
            </w:r>
            <w:r w:rsidR="006D3CFA">
              <w:rPr>
                <w:noProof/>
                <w:webHidden/>
              </w:rPr>
              <w:fldChar w:fldCharType="begin"/>
            </w:r>
            <w:r w:rsidR="006D3CFA">
              <w:rPr>
                <w:noProof/>
                <w:webHidden/>
              </w:rPr>
              <w:instrText xml:space="preserve"> PAGEREF _Toc135085715 \h </w:instrText>
            </w:r>
            <w:r w:rsidR="006D3CFA">
              <w:rPr>
                <w:noProof/>
                <w:webHidden/>
              </w:rPr>
            </w:r>
            <w:r w:rsidR="006D3CFA">
              <w:rPr>
                <w:noProof/>
                <w:webHidden/>
              </w:rPr>
              <w:fldChar w:fldCharType="separate"/>
            </w:r>
            <w:r w:rsidR="006D3CFA">
              <w:rPr>
                <w:noProof/>
                <w:webHidden/>
              </w:rPr>
              <w:t>6</w:t>
            </w:r>
            <w:r w:rsidR="006D3CFA">
              <w:rPr>
                <w:noProof/>
                <w:webHidden/>
              </w:rPr>
              <w:fldChar w:fldCharType="end"/>
            </w:r>
          </w:hyperlink>
        </w:p>
        <w:p w14:paraId="63DB6ED4" w14:textId="1F6F4851" w:rsidR="006D3CFA" w:rsidRDefault="00AB5EEE">
          <w:pPr>
            <w:pStyle w:val="TOC2"/>
            <w:tabs>
              <w:tab w:val="left" w:pos="880"/>
              <w:tab w:val="right" w:leader="dot" w:pos="9062"/>
            </w:tabs>
            <w:rPr>
              <w:rFonts w:asciiTheme="minorHAnsi" w:eastAsiaTheme="minorEastAsia" w:hAnsiTheme="minorHAnsi" w:cstheme="minorBidi"/>
              <w:noProof/>
              <w:spacing w:val="0"/>
              <w:sz w:val="22"/>
              <w:lang w:val="fr-BE" w:eastAsia="fr-BE"/>
            </w:rPr>
          </w:pPr>
          <w:hyperlink w:anchor="_Toc135085716" w:history="1">
            <w:r w:rsidR="006D3CFA" w:rsidRPr="007F7FD9">
              <w:rPr>
                <w:rStyle w:val="Hyperlink"/>
                <w:noProof/>
              </w:rPr>
              <w:t>6.3.</w:t>
            </w:r>
            <w:r w:rsidR="006D3CFA">
              <w:rPr>
                <w:rFonts w:asciiTheme="minorHAnsi" w:eastAsiaTheme="minorEastAsia" w:hAnsiTheme="minorHAnsi" w:cstheme="minorBidi"/>
                <w:noProof/>
                <w:spacing w:val="0"/>
                <w:sz w:val="22"/>
                <w:lang w:val="fr-BE" w:eastAsia="fr-BE"/>
              </w:rPr>
              <w:tab/>
            </w:r>
            <w:r w:rsidR="006D3CFA" w:rsidRPr="007F7FD9">
              <w:rPr>
                <w:rStyle w:val="Hyperlink"/>
                <w:noProof/>
              </w:rPr>
              <w:t>Granularity of the network elements for which an individual sheet shall be created</w:t>
            </w:r>
            <w:r w:rsidR="006D3CFA">
              <w:rPr>
                <w:noProof/>
                <w:webHidden/>
              </w:rPr>
              <w:tab/>
            </w:r>
            <w:r w:rsidR="006D3CFA">
              <w:rPr>
                <w:noProof/>
                <w:webHidden/>
              </w:rPr>
              <w:fldChar w:fldCharType="begin"/>
            </w:r>
            <w:r w:rsidR="006D3CFA">
              <w:rPr>
                <w:noProof/>
                <w:webHidden/>
              </w:rPr>
              <w:instrText xml:space="preserve"> PAGEREF _Toc135085716 \h </w:instrText>
            </w:r>
            <w:r w:rsidR="006D3CFA">
              <w:rPr>
                <w:noProof/>
                <w:webHidden/>
              </w:rPr>
            </w:r>
            <w:r w:rsidR="006D3CFA">
              <w:rPr>
                <w:noProof/>
                <w:webHidden/>
              </w:rPr>
              <w:fldChar w:fldCharType="separate"/>
            </w:r>
            <w:r w:rsidR="006D3CFA">
              <w:rPr>
                <w:noProof/>
                <w:webHidden/>
              </w:rPr>
              <w:t>7</w:t>
            </w:r>
            <w:r w:rsidR="006D3CFA">
              <w:rPr>
                <w:noProof/>
                <w:webHidden/>
              </w:rPr>
              <w:fldChar w:fldCharType="end"/>
            </w:r>
          </w:hyperlink>
        </w:p>
        <w:p w14:paraId="7437A6E9" w14:textId="1B42F428" w:rsidR="006D3CFA" w:rsidRDefault="00AB5EEE">
          <w:pPr>
            <w:pStyle w:val="TOC2"/>
            <w:tabs>
              <w:tab w:val="left" w:pos="880"/>
              <w:tab w:val="right" w:leader="dot" w:pos="9062"/>
            </w:tabs>
            <w:rPr>
              <w:rFonts w:asciiTheme="minorHAnsi" w:eastAsiaTheme="minorEastAsia" w:hAnsiTheme="minorHAnsi" w:cstheme="minorBidi"/>
              <w:noProof/>
              <w:spacing w:val="0"/>
              <w:sz w:val="22"/>
              <w:lang w:val="fr-BE" w:eastAsia="fr-BE"/>
            </w:rPr>
          </w:pPr>
          <w:hyperlink w:anchor="_Toc135085717" w:history="1">
            <w:r w:rsidR="006D3CFA" w:rsidRPr="007F7FD9">
              <w:rPr>
                <w:rStyle w:val="Hyperlink"/>
                <w:noProof/>
              </w:rPr>
              <w:t>6.4.</w:t>
            </w:r>
            <w:r w:rsidR="006D3CFA">
              <w:rPr>
                <w:rFonts w:asciiTheme="minorHAnsi" w:eastAsiaTheme="minorEastAsia" w:hAnsiTheme="minorHAnsi" w:cstheme="minorBidi"/>
                <w:noProof/>
                <w:spacing w:val="0"/>
                <w:sz w:val="22"/>
                <w:lang w:val="fr-BE" w:eastAsia="fr-BE"/>
              </w:rPr>
              <w:tab/>
            </w:r>
            <w:r w:rsidR="006D3CFA" w:rsidRPr="007F7FD9">
              <w:rPr>
                <w:rStyle w:val="Hyperlink"/>
                <w:noProof/>
              </w:rPr>
              <w:t>Modalities for sending the file to the BIPT</w:t>
            </w:r>
            <w:r w:rsidR="006D3CFA">
              <w:rPr>
                <w:noProof/>
                <w:webHidden/>
              </w:rPr>
              <w:tab/>
            </w:r>
            <w:r w:rsidR="006D3CFA">
              <w:rPr>
                <w:noProof/>
                <w:webHidden/>
              </w:rPr>
              <w:fldChar w:fldCharType="begin"/>
            </w:r>
            <w:r w:rsidR="006D3CFA">
              <w:rPr>
                <w:noProof/>
                <w:webHidden/>
              </w:rPr>
              <w:instrText xml:space="preserve"> PAGEREF _Toc135085717 \h </w:instrText>
            </w:r>
            <w:r w:rsidR="006D3CFA">
              <w:rPr>
                <w:noProof/>
                <w:webHidden/>
              </w:rPr>
            </w:r>
            <w:r w:rsidR="006D3CFA">
              <w:rPr>
                <w:noProof/>
                <w:webHidden/>
              </w:rPr>
              <w:fldChar w:fldCharType="separate"/>
            </w:r>
            <w:r w:rsidR="006D3CFA">
              <w:rPr>
                <w:noProof/>
                <w:webHidden/>
              </w:rPr>
              <w:t>11</w:t>
            </w:r>
            <w:r w:rsidR="006D3CFA">
              <w:rPr>
                <w:noProof/>
                <w:webHidden/>
              </w:rPr>
              <w:fldChar w:fldCharType="end"/>
            </w:r>
          </w:hyperlink>
        </w:p>
        <w:p w14:paraId="160B2811" w14:textId="48E7EDDA" w:rsidR="006D3CFA" w:rsidRDefault="00AB5EEE">
          <w:pPr>
            <w:pStyle w:val="TOC1"/>
            <w:tabs>
              <w:tab w:val="left" w:pos="400"/>
            </w:tabs>
            <w:rPr>
              <w:rFonts w:asciiTheme="minorHAnsi" w:eastAsiaTheme="minorEastAsia" w:hAnsiTheme="minorHAnsi" w:cstheme="minorBidi"/>
              <w:noProof/>
              <w:sz w:val="22"/>
              <w:lang w:val="fr-BE" w:eastAsia="fr-BE"/>
            </w:rPr>
          </w:pPr>
          <w:hyperlink w:anchor="_Toc135085718" w:history="1">
            <w:r w:rsidR="006D3CFA" w:rsidRPr="007F7FD9">
              <w:rPr>
                <w:rStyle w:val="Hyperlink"/>
                <w:noProof/>
                <w14:scene3d>
                  <w14:camera w14:prst="orthographicFront"/>
                  <w14:lightRig w14:rig="threePt" w14:dir="t">
                    <w14:rot w14:lat="0" w14:lon="0" w14:rev="0"/>
                  </w14:lightRig>
                </w14:scene3d>
              </w:rPr>
              <w:t>7.</w:t>
            </w:r>
            <w:r w:rsidR="006D3CFA">
              <w:rPr>
                <w:rFonts w:asciiTheme="minorHAnsi" w:eastAsiaTheme="minorEastAsia" w:hAnsiTheme="minorHAnsi" w:cstheme="minorBidi"/>
                <w:noProof/>
                <w:sz w:val="22"/>
                <w:lang w:val="fr-BE" w:eastAsia="fr-BE"/>
              </w:rPr>
              <w:tab/>
            </w:r>
            <w:r w:rsidR="006D3CFA" w:rsidRPr="007F7FD9">
              <w:rPr>
                <w:rStyle w:val="Hyperlink"/>
                <w:noProof/>
              </w:rPr>
              <w:t>Transmission of the file to the ministers concerned and to the intelligence and security services</w:t>
            </w:r>
            <w:r w:rsidR="006D3CFA">
              <w:rPr>
                <w:noProof/>
                <w:webHidden/>
              </w:rPr>
              <w:tab/>
            </w:r>
            <w:r w:rsidR="006D3CFA">
              <w:rPr>
                <w:noProof/>
                <w:webHidden/>
              </w:rPr>
              <w:fldChar w:fldCharType="begin"/>
            </w:r>
            <w:r w:rsidR="006D3CFA">
              <w:rPr>
                <w:noProof/>
                <w:webHidden/>
              </w:rPr>
              <w:instrText xml:space="preserve"> PAGEREF _Toc135085718 \h </w:instrText>
            </w:r>
            <w:r w:rsidR="006D3CFA">
              <w:rPr>
                <w:noProof/>
                <w:webHidden/>
              </w:rPr>
            </w:r>
            <w:r w:rsidR="006D3CFA">
              <w:rPr>
                <w:noProof/>
                <w:webHidden/>
              </w:rPr>
              <w:fldChar w:fldCharType="separate"/>
            </w:r>
            <w:r w:rsidR="006D3CFA">
              <w:rPr>
                <w:noProof/>
                <w:webHidden/>
              </w:rPr>
              <w:t>12</w:t>
            </w:r>
            <w:r w:rsidR="006D3CFA">
              <w:rPr>
                <w:noProof/>
                <w:webHidden/>
              </w:rPr>
              <w:fldChar w:fldCharType="end"/>
            </w:r>
          </w:hyperlink>
        </w:p>
        <w:p w14:paraId="450CCB8C" w14:textId="5C5106ED" w:rsidR="006D3CFA" w:rsidRDefault="00AB5EEE">
          <w:pPr>
            <w:pStyle w:val="TOC1"/>
            <w:tabs>
              <w:tab w:val="left" w:pos="400"/>
            </w:tabs>
            <w:rPr>
              <w:rFonts w:asciiTheme="minorHAnsi" w:eastAsiaTheme="minorEastAsia" w:hAnsiTheme="minorHAnsi" w:cstheme="minorBidi"/>
              <w:noProof/>
              <w:sz w:val="22"/>
              <w:lang w:val="fr-BE" w:eastAsia="fr-BE"/>
            </w:rPr>
          </w:pPr>
          <w:hyperlink w:anchor="_Toc135085719" w:history="1">
            <w:r w:rsidR="006D3CFA" w:rsidRPr="007F7FD9">
              <w:rPr>
                <w:rStyle w:val="Hyperlink"/>
                <w:noProof/>
                <w14:scene3d>
                  <w14:camera w14:prst="orthographicFront"/>
                  <w14:lightRig w14:rig="threePt" w14:dir="t">
                    <w14:rot w14:lat="0" w14:lon="0" w14:rev="0"/>
                  </w14:lightRig>
                </w14:scene3d>
              </w:rPr>
              <w:t>8.</w:t>
            </w:r>
            <w:r w:rsidR="006D3CFA">
              <w:rPr>
                <w:rFonts w:asciiTheme="minorHAnsi" w:eastAsiaTheme="minorEastAsia" w:hAnsiTheme="minorHAnsi" w:cstheme="minorBidi"/>
                <w:noProof/>
                <w:sz w:val="22"/>
                <w:lang w:val="fr-BE" w:eastAsia="fr-BE"/>
              </w:rPr>
              <w:tab/>
            </w:r>
            <w:r w:rsidR="006D3CFA" w:rsidRPr="007F7FD9">
              <w:rPr>
                <w:rStyle w:val="Hyperlink"/>
                <w:noProof/>
              </w:rPr>
              <w:t>Additional information</w:t>
            </w:r>
            <w:r w:rsidR="006D3CFA">
              <w:rPr>
                <w:noProof/>
                <w:webHidden/>
              </w:rPr>
              <w:tab/>
            </w:r>
            <w:r w:rsidR="006D3CFA">
              <w:rPr>
                <w:noProof/>
                <w:webHidden/>
              </w:rPr>
              <w:fldChar w:fldCharType="begin"/>
            </w:r>
            <w:r w:rsidR="006D3CFA">
              <w:rPr>
                <w:noProof/>
                <w:webHidden/>
              </w:rPr>
              <w:instrText xml:space="preserve"> PAGEREF _Toc135085719 \h </w:instrText>
            </w:r>
            <w:r w:rsidR="006D3CFA">
              <w:rPr>
                <w:noProof/>
                <w:webHidden/>
              </w:rPr>
            </w:r>
            <w:r w:rsidR="006D3CFA">
              <w:rPr>
                <w:noProof/>
                <w:webHidden/>
              </w:rPr>
              <w:fldChar w:fldCharType="separate"/>
            </w:r>
            <w:r w:rsidR="006D3CFA">
              <w:rPr>
                <w:noProof/>
                <w:webHidden/>
              </w:rPr>
              <w:t>12</w:t>
            </w:r>
            <w:r w:rsidR="006D3CFA">
              <w:rPr>
                <w:noProof/>
                <w:webHidden/>
              </w:rPr>
              <w:fldChar w:fldCharType="end"/>
            </w:r>
          </w:hyperlink>
        </w:p>
        <w:p w14:paraId="16E99C9E" w14:textId="677F3F30" w:rsidR="006D3CFA" w:rsidRDefault="00AB5EEE">
          <w:pPr>
            <w:pStyle w:val="TOC1"/>
            <w:tabs>
              <w:tab w:val="left" w:pos="400"/>
            </w:tabs>
            <w:rPr>
              <w:rFonts w:asciiTheme="minorHAnsi" w:eastAsiaTheme="minorEastAsia" w:hAnsiTheme="minorHAnsi" w:cstheme="minorBidi"/>
              <w:noProof/>
              <w:sz w:val="22"/>
              <w:lang w:val="fr-BE" w:eastAsia="fr-BE"/>
            </w:rPr>
          </w:pPr>
          <w:hyperlink w:anchor="_Toc135085720" w:history="1">
            <w:r w:rsidR="006D3CFA" w:rsidRPr="007F7FD9">
              <w:rPr>
                <w:rStyle w:val="Hyperlink"/>
                <w:noProof/>
                <w14:scene3d>
                  <w14:camera w14:prst="orthographicFront"/>
                  <w14:lightRig w14:rig="threePt" w14:dir="t">
                    <w14:rot w14:lat="0" w14:lon="0" w14:rev="0"/>
                  </w14:lightRig>
                </w14:scene3d>
              </w:rPr>
              <w:t>9.</w:t>
            </w:r>
            <w:r w:rsidR="006D3CFA">
              <w:rPr>
                <w:rFonts w:asciiTheme="minorHAnsi" w:eastAsiaTheme="minorEastAsia" w:hAnsiTheme="minorHAnsi" w:cstheme="minorBidi"/>
                <w:noProof/>
                <w:sz w:val="22"/>
                <w:lang w:val="fr-BE" w:eastAsia="fr-BE"/>
              </w:rPr>
              <w:tab/>
            </w:r>
            <w:r w:rsidR="006D3CFA" w:rsidRPr="007F7FD9">
              <w:rPr>
                <w:rStyle w:val="Hyperlink"/>
                <w:noProof/>
              </w:rPr>
              <w:t>Opinion of the BIPT and of the intelligence and security services</w:t>
            </w:r>
            <w:r w:rsidR="006D3CFA">
              <w:rPr>
                <w:noProof/>
                <w:webHidden/>
              </w:rPr>
              <w:tab/>
            </w:r>
            <w:r w:rsidR="006D3CFA">
              <w:rPr>
                <w:noProof/>
                <w:webHidden/>
              </w:rPr>
              <w:fldChar w:fldCharType="begin"/>
            </w:r>
            <w:r w:rsidR="006D3CFA">
              <w:rPr>
                <w:noProof/>
                <w:webHidden/>
              </w:rPr>
              <w:instrText xml:space="preserve"> PAGEREF _Toc135085720 \h </w:instrText>
            </w:r>
            <w:r w:rsidR="006D3CFA">
              <w:rPr>
                <w:noProof/>
                <w:webHidden/>
              </w:rPr>
            </w:r>
            <w:r w:rsidR="006D3CFA">
              <w:rPr>
                <w:noProof/>
                <w:webHidden/>
              </w:rPr>
              <w:fldChar w:fldCharType="separate"/>
            </w:r>
            <w:r w:rsidR="006D3CFA">
              <w:rPr>
                <w:noProof/>
                <w:webHidden/>
              </w:rPr>
              <w:t>12</w:t>
            </w:r>
            <w:r w:rsidR="006D3CFA">
              <w:rPr>
                <w:noProof/>
                <w:webHidden/>
              </w:rPr>
              <w:fldChar w:fldCharType="end"/>
            </w:r>
          </w:hyperlink>
        </w:p>
        <w:p w14:paraId="1B2A1C50" w14:textId="2C3E88DB" w:rsidR="006D3CFA" w:rsidRDefault="00AB5EEE">
          <w:pPr>
            <w:pStyle w:val="TOC1"/>
            <w:tabs>
              <w:tab w:val="left" w:pos="660"/>
            </w:tabs>
            <w:rPr>
              <w:rFonts w:asciiTheme="minorHAnsi" w:eastAsiaTheme="minorEastAsia" w:hAnsiTheme="minorHAnsi" w:cstheme="minorBidi"/>
              <w:noProof/>
              <w:sz w:val="22"/>
              <w:lang w:val="fr-BE" w:eastAsia="fr-BE"/>
            </w:rPr>
          </w:pPr>
          <w:hyperlink w:anchor="_Toc135085721" w:history="1">
            <w:r w:rsidR="006D3CFA" w:rsidRPr="007F7FD9">
              <w:rPr>
                <w:rStyle w:val="Hyperlink"/>
                <w:noProof/>
                <w14:scene3d>
                  <w14:camera w14:prst="orthographicFront"/>
                  <w14:lightRig w14:rig="threePt" w14:dir="t">
                    <w14:rot w14:lat="0" w14:lon="0" w14:rev="0"/>
                  </w14:lightRig>
                </w14:scene3d>
              </w:rPr>
              <w:t>10.</w:t>
            </w:r>
            <w:r w:rsidR="006D3CFA">
              <w:rPr>
                <w:rFonts w:asciiTheme="minorHAnsi" w:eastAsiaTheme="minorEastAsia" w:hAnsiTheme="minorHAnsi" w:cstheme="minorBidi"/>
                <w:noProof/>
                <w:sz w:val="22"/>
                <w:lang w:val="fr-BE" w:eastAsia="fr-BE"/>
              </w:rPr>
              <w:tab/>
            </w:r>
            <w:r w:rsidR="006D3CFA" w:rsidRPr="007F7FD9">
              <w:rPr>
                <w:rStyle w:val="Hyperlink"/>
                <w:noProof/>
              </w:rPr>
              <w:t>Additional information when the equipment manufacturer is considered to be high risk (only applicable when the applicant is an MNO)</w:t>
            </w:r>
            <w:r w:rsidR="006D3CFA">
              <w:rPr>
                <w:noProof/>
                <w:webHidden/>
              </w:rPr>
              <w:tab/>
            </w:r>
            <w:r w:rsidR="006D3CFA">
              <w:rPr>
                <w:noProof/>
                <w:webHidden/>
              </w:rPr>
              <w:fldChar w:fldCharType="begin"/>
            </w:r>
            <w:r w:rsidR="006D3CFA">
              <w:rPr>
                <w:noProof/>
                <w:webHidden/>
              </w:rPr>
              <w:instrText xml:space="preserve"> PAGEREF _Toc135085721 \h </w:instrText>
            </w:r>
            <w:r w:rsidR="006D3CFA">
              <w:rPr>
                <w:noProof/>
                <w:webHidden/>
              </w:rPr>
            </w:r>
            <w:r w:rsidR="006D3CFA">
              <w:rPr>
                <w:noProof/>
                <w:webHidden/>
              </w:rPr>
              <w:fldChar w:fldCharType="separate"/>
            </w:r>
            <w:r w:rsidR="006D3CFA">
              <w:rPr>
                <w:noProof/>
                <w:webHidden/>
              </w:rPr>
              <w:t>13</w:t>
            </w:r>
            <w:r w:rsidR="006D3CFA">
              <w:rPr>
                <w:noProof/>
                <w:webHidden/>
              </w:rPr>
              <w:fldChar w:fldCharType="end"/>
            </w:r>
          </w:hyperlink>
        </w:p>
        <w:p w14:paraId="398CE468" w14:textId="343A4115" w:rsidR="006D3CFA" w:rsidRDefault="00AB5EEE">
          <w:pPr>
            <w:pStyle w:val="TOC1"/>
            <w:tabs>
              <w:tab w:val="left" w:pos="660"/>
            </w:tabs>
            <w:rPr>
              <w:rFonts w:asciiTheme="minorHAnsi" w:eastAsiaTheme="minorEastAsia" w:hAnsiTheme="minorHAnsi" w:cstheme="minorBidi"/>
              <w:noProof/>
              <w:sz w:val="22"/>
              <w:lang w:val="fr-BE" w:eastAsia="fr-BE"/>
            </w:rPr>
          </w:pPr>
          <w:hyperlink w:anchor="_Toc135085722" w:history="1">
            <w:r w:rsidR="006D3CFA" w:rsidRPr="007F7FD9">
              <w:rPr>
                <w:rStyle w:val="Hyperlink"/>
                <w:noProof/>
                <w14:scene3d>
                  <w14:camera w14:prst="orthographicFront"/>
                  <w14:lightRig w14:rig="threePt" w14:dir="t">
                    <w14:rot w14:lat="0" w14:lon="0" w14:rev="0"/>
                  </w14:lightRig>
                </w14:scene3d>
              </w:rPr>
              <w:t>11.</w:t>
            </w:r>
            <w:r w:rsidR="006D3CFA">
              <w:rPr>
                <w:rFonts w:asciiTheme="minorHAnsi" w:eastAsiaTheme="minorEastAsia" w:hAnsiTheme="minorHAnsi" w:cstheme="minorBidi"/>
                <w:noProof/>
                <w:sz w:val="22"/>
                <w:lang w:val="fr-BE" w:eastAsia="fr-BE"/>
              </w:rPr>
              <w:tab/>
            </w:r>
            <w:r w:rsidR="006D3CFA" w:rsidRPr="007F7FD9">
              <w:rPr>
                <w:rStyle w:val="Hyperlink"/>
                <w:noProof/>
              </w:rPr>
              <w:t>Hearing of the applicant and provision of written comments</w:t>
            </w:r>
            <w:r w:rsidR="006D3CFA">
              <w:rPr>
                <w:noProof/>
                <w:webHidden/>
              </w:rPr>
              <w:tab/>
            </w:r>
            <w:r w:rsidR="006D3CFA">
              <w:rPr>
                <w:noProof/>
                <w:webHidden/>
              </w:rPr>
              <w:fldChar w:fldCharType="begin"/>
            </w:r>
            <w:r w:rsidR="006D3CFA">
              <w:rPr>
                <w:noProof/>
                <w:webHidden/>
              </w:rPr>
              <w:instrText xml:space="preserve"> PAGEREF _Toc135085722 \h </w:instrText>
            </w:r>
            <w:r w:rsidR="006D3CFA">
              <w:rPr>
                <w:noProof/>
                <w:webHidden/>
              </w:rPr>
            </w:r>
            <w:r w:rsidR="006D3CFA">
              <w:rPr>
                <w:noProof/>
                <w:webHidden/>
              </w:rPr>
              <w:fldChar w:fldCharType="separate"/>
            </w:r>
            <w:r w:rsidR="006D3CFA">
              <w:rPr>
                <w:noProof/>
                <w:webHidden/>
              </w:rPr>
              <w:t>13</w:t>
            </w:r>
            <w:r w:rsidR="006D3CFA">
              <w:rPr>
                <w:noProof/>
                <w:webHidden/>
              </w:rPr>
              <w:fldChar w:fldCharType="end"/>
            </w:r>
          </w:hyperlink>
        </w:p>
        <w:p w14:paraId="6D233E39" w14:textId="6487311C" w:rsidR="006D3CFA" w:rsidRDefault="00AB5EEE">
          <w:pPr>
            <w:pStyle w:val="TOC1"/>
            <w:tabs>
              <w:tab w:val="left" w:pos="660"/>
            </w:tabs>
            <w:rPr>
              <w:rFonts w:asciiTheme="minorHAnsi" w:eastAsiaTheme="minorEastAsia" w:hAnsiTheme="minorHAnsi" w:cstheme="minorBidi"/>
              <w:noProof/>
              <w:sz w:val="22"/>
              <w:lang w:val="fr-BE" w:eastAsia="fr-BE"/>
            </w:rPr>
          </w:pPr>
          <w:hyperlink w:anchor="_Toc135085723" w:history="1">
            <w:r w:rsidR="006D3CFA" w:rsidRPr="007F7FD9">
              <w:rPr>
                <w:rStyle w:val="Hyperlink"/>
                <w:noProof/>
                <w14:scene3d>
                  <w14:camera w14:prst="orthographicFront"/>
                  <w14:lightRig w14:rig="threePt" w14:dir="t">
                    <w14:rot w14:lat="0" w14:lon="0" w14:rev="0"/>
                  </w14:lightRig>
                </w14:scene3d>
              </w:rPr>
              <w:t>12.</w:t>
            </w:r>
            <w:r w:rsidR="006D3CFA">
              <w:rPr>
                <w:rFonts w:asciiTheme="minorHAnsi" w:eastAsiaTheme="minorEastAsia" w:hAnsiTheme="minorHAnsi" w:cstheme="minorBidi"/>
                <w:noProof/>
                <w:sz w:val="22"/>
                <w:lang w:val="fr-BE" w:eastAsia="fr-BE"/>
              </w:rPr>
              <w:tab/>
            </w:r>
            <w:r w:rsidR="006D3CFA" w:rsidRPr="007F7FD9">
              <w:rPr>
                <w:rStyle w:val="Hyperlink"/>
                <w:noProof/>
              </w:rPr>
              <w:t>Final decision</w:t>
            </w:r>
            <w:r w:rsidR="006D3CFA">
              <w:rPr>
                <w:noProof/>
                <w:webHidden/>
              </w:rPr>
              <w:tab/>
            </w:r>
            <w:r w:rsidR="006D3CFA">
              <w:rPr>
                <w:noProof/>
                <w:webHidden/>
              </w:rPr>
              <w:fldChar w:fldCharType="begin"/>
            </w:r>
            <w:r w:rsidR="006D3CFA">
              <w:rPr>
                <w:noProof/>
                <w:webHidden/>
              </w:rPr>
              <w:instrText xml:space="preserve"> PAGEREF _Toc135085723 \h </w:instrText>
            </w:r>
            <w:r w:rsidR="006D3CFA">
              <w:rPr>
                <w:noProof/>
                <w:webHidden/>
              </w:rPr>
            </w:r>
            <w:r w:rsidR="006D3CFA">
              <w:rPr>
                <w:noProof/>
                <w:webHidden/>
              </w:rPr>
              <w:fldChar w:fldCharType="separate"/>
            </w:r>
            <w:r w:rsidR="006D3CFA">
              <w:rPr>
                <w:noProof/>
                <w:webHidden/>
              </w:rPr>
              <w:t>13</w:t>
            </w:r>
            <w:r w:rsidR="006D3CFA">
              <w:rPr>
                <w:noProof/>
                <w:webHidden/>
              </w:rPr>
              <w:fldChar w:fldCharType="end"/>
            </w:r>
          </w:hyperlink>
        </w:p>
        <w:p w14:paraId="7C1705BE" w14:textId="1F010445" w:rsidR="006D3CFA" w:rsidRDefault="00AB5EEE">
          <w:pPr>
            <w:pStyle w:val="TOC1"/>
            <w:tabs>
              <w:tab w:val="left" w:pos="660"/>
            </w:tabs>
            <w:rPr>
              <w:rFonts w:asciiTheme="minorHAnsi" w:eastAsiaTheme="minorEastAsia" w:hAnsiTheme="minorHAnsi" w:cstheme="minorBidi"/>
              <w:noProof/>
              <w:sz w:val="22"/>
              <w:lang w:val="fr-BE" w:eastAsia="fr-BE"/>
            </w:rPr>
          </w:pPr>
          <w:hyperlink w:anchor="_Toc135085724" w:history="1">
            <w:r w:rsidR="006D3CFA" w:rsidRPr="007F7FD9">
              <w:rPr>
                <w:rStyle w:val="Hyperlink"/>
                <w:noProof/>
                <w14:scene3d>
                  <w14:camera w14:prst="orthographicFront"/>
                  <w14:lightRig w14:rig="threePt" w14:dir="t">
                    <w14:rot w14:lat="0" w14:lon="0" w14:rev="0"/>
                  </w14:lightRig>
                </w14:scene3d>
              </w:rPr>
              <w:t>13.</w:t>
            </w:r>
            <w:r w:rsidR="006D3CFA">
              <w:rPr>
                <w:rFonts w:asciiTheme="minorHAnsi" w:eastAsiaTheme="minorEastAsia" w:hAnsiTheme="minorHAnsi" w:cstheme="minorBidi"/>
                <w:noProof/>
                <w:sz w:val="22"/>
                <w:lang w:val="fr-BE" w:eastAsia="fr-BE"/>
              </w:rPr>
              <w:tab/>
            </w:r>
            <w:r w:rsidR="006D3CFA" w:rsidRPr="007F7FD9">
              <w:rPr>
                <w:rStyle w:val="Hyperlink"/>
                <w:noProof/>
              </w:rPr>
              <w:t>Modification of an already submitted file</w:t>
            </w:r>
            <w:r w:rsidR="006D3CFA">
              <w:rPr>
                <w:noProof/>
                <w:webHidden/>
              </w:rPr>
              <w:tab/>
            </w:r>
            <w:r w:rsidR="006D3CFA">
              <w:rPr>
                <w:noProof/>
                <w:webHidden/>
              </w:rPr>
              <w:fldChar w:fldCharType="begin"/>
            </w:r>
            <w:r w:rsidR="006D3CFA">
              <w:rPr>
                <w:noProof/>
                <w:webHidden/>
              </w:rPr>
              <w:instrText xml:space="preserve"> PAGEREF _Toc135085724 \h </w:instrText>
            </w:r>
            <w:r w:rsidR="006D3CFA">
              <w:rPr>
                <w:noProof/>
                <w:webHidden/>
              </w:rPr>
            </w:r>
            <w:r w:rsidR="006D3CFA">
              <w:rPr>
                <w:noProof/>
                <w:webHidden/>
              </w:rPr>
              <w:fldChar w:fldCharType="separate"/>
            </w:r>
            <w:r w:rsidR="006D3CFA">
              <w:rPr>
                <w:noProof/>
                <w:webHidden/>
              </w:rPr>
              <w:t>13</w:t>
            </w:r>
            <w:r w:rsidR="006D3CFA">
              <w:rPr>
                <w:noProof/>
                <w:webHidden/>
              </w:rPr>
              <w:fldChar w:fldCharType="end"/>
            </w:r>
          </w:hyperlink>
        </w:p>
        <w:p w14:paraId="2956D49F" w14:textId="1A443FBD" w:rsidR="00DF6358" w:rsidRPr="00713331" w:rsidRDefault="00DF6358" w:rsidP="00713331">
          <w:r w:rsidRPr="00713331">
            <w:rPr>
              <w:b/>
            </w:rPr>
            <w:fldChar w:fldCharType="end"/>
          </w:r>
        </w:p>
      </w:sdtContent>
    </w:sdt>
    <w:p w14:paraId="15A01D7E" w14:textId="77777777" w:rsidR="00DF6358" w:rsidRPr="00713331" w:rsidRDefault="00DF6358" w:rsidP="00713331">
      <w:pPr>
        <w:spacing w:after="160" w:line="259" w:lineRule="auto"/>
        <w:jc w:val="left"/>
      </w:pPr>
    </w:p>
    <w:p w14:paraId="4C0DD0B1" w14:textId="70D0CEF2" w:rsidR="00B91697" w:rsidRPr="00713331" w:rsidRDefault="00B91697" w:rsidP="00713331">
      <w:pPr>
        <w:spacing w:after="160" w:line="259" w:lineRule="auto"/>
        <w:jc w:val="left"/>
      </w:pPr>
      <w:r>
        <w:br w:type="page"/>
      </w:r>
    </w:p>
    <w:p w14:paraId="2D1FABE2" w14:textId="6773CE9A" w:rsidR="002C3C99" w:rsidRPr="00713331" w:rsidRDefault="002C3C99" w:rsidP="00713331">
      <w:pPr>
        <w:pStyle w:val="Heading1"/>
      </w:pPr>
      <w:bookmarkStart w:id="0" w:name="_Toc135085708"/>
      <w:r>
        <w:lastRenderedPageBreak/>
        <w:t>Purpose of this document</w:t>
      </w:r>
      <w:bookmarkEnd w:id="0"/>
      <w:r>
        <w:t xml:space="preserve"> </w:t>
      </w:r>
    </w:p>
    <w:p w14:paraId="3FE3ED6A" w14:textId="77777777" w:rsidR="00216AD6" w:rsidRPr="00713331" w:rsidRDefault="002C3C99" w:rsidP="00713331">
      <w:pPr>
        <w:pStyle w:val="Numberednormal"/>
      </w:pPr>
      <w:r>
        <w:t xml:space="preserve">This document is intended for applicants for a prior authorisation or regularisation on 5G security. </w:t>
      </w:r>
    </w:p>
    <w:p w14:paraId="7A04B8A6" w14:textId="77777777" w:rsidR="00216AD6" w:rsidRPr="00713331" w:rsidRDefault="00216AD6" w:rsidP="00713331">
      <w:pPr>
        <w:pStyle w:val="Numberednormal"/>
        <w:numPr>
          <w:ilvl w:val="0"/>
          <w:numId w:val="0"/>
        </w:numPr>
        <w:ind w:left="360"/>
      </w:pPr>
    </w:p>
    <w:p w14:paraId="1D4FE401" w14:textId="2617CC48" w:rsidR="002C3C99" w:rsidRPr="00713331" w:rsidRDefault="00216AD6" w:rsidP="00713331">
      <w:pPr>
        <w:pStyle w:val="Numberednormal"/>
      </w:pPr>
      <w:r>
        <w:t xml:space="preserve">It contains information on the various steps followed in the context of this authorisation application. </w:t>
      </w:r>
    </w:p>
    <w:p w14:paraId="693B3E67" w14:textId="3E5BD473" w:rsidR="00C379C1" w:rsidRPr="00713331" w:rsidRDefault="00C379C1" w:rsidP="00713331">
      <w:pPr>
        <w:pStyle w:val="Numberednormal"/>
        <w:numPr>
          <w:ilvl w:val="0"/>
          <w:numId w:val="0"/>
        </w:numPr>
        <w:ind w:left="360"/>
      </w:pPr>
    </w:p>
    <w:p w14:paraId="59719835" w14:textId="5C693D1F" w:rsidR="009D034D" w:rsidRPr="00713331" w:rsidRDefault="009D034D" w:rsidP="00713331">
      <w:pPr>
        <w:pStyle w:val="Numberednormal"/>
        <w:numPr>
          <w:ilvl w:val="0"/>
          <w:numId w:val="6"/>
        </w:numPr>
      </w:pPr>
      <w:r>
        <w:t>It also addresses a series of questions raised in the context of the consultation on this document and its annex</w:t>
      </w:r>
      <w:r w:rsidR="00310A99">
        <w:t>es</w:t>
      </w:r>
      <w:r>
        <w:t xml:space="preserve">. </w:t>
      </w:r>
    </w:p>
    <w:p w14:paraId="63F21737" w14:textId="77777777" w:rsidR="009D034D" w:rsidRPr="00713331" w:rsidRDefault="009D034D" w:rsidP="00713331">
      <w:pPr>
        <w:pStyle w:val="Numberednormal"/>
        <w:numPr>
          <w:ilvl w:val="0"/>
          <w:numId w:val="0"/>
        </w:numPr>
        <w:ind w:left="360"/>
      </w:pPr>
    </w:p>
    <w:p w14:paraId="38D661CB" w14:textId="2C5F5EEB" w:rsidR="009D034D" w:rsidRPr="00713331" w:rsidRDefault="00C379C1" w:rsidP="00713331">
      <w:pPr>
        <w:pStyle w:val="Numberednormal"/>
      </w:pPr>
      <w:r>
        <w:t xml:space="preserve">This authorisation must be requested pursuant to Article 105, § 1, of the Act of 13 June 2005 on electronic communications (hereafter the “Act on electronic communications”) and the Royal Decree of </w:t>
      </w:r>
      <w:r w:rsidR="00310A99">
        <w:t>16/04/2023</w:t>
      </w:r>
      <w:r>
        <w:t xml:space="preserve"> on the ministerial authorisation for the deployment of a 5G network (hereafter the “RD authorisation”).</w:t>
      </w:r>
    </w:p>
    <w:p w14:paraId="2CF85ADF" w14:textId="7CC5A1E7" w:rsidR="009D034D" w:rsidRPr="00713331" w:rsidRDefault="009D034D" w:rsidP="00713331">
      <w:pPr>
        <w:pStyle w:val="Heading1"/>
      </w:pPr>
      <w:bookmarkStart w:id="1" w:name="_Toc132804586"/>
      <w:bookmarkStart w:id="2" w:name="_Toc135085709"/>
      <w:r>
        <w:t>Network elements out of the scope of the RD authorisation</w:t>
      </w:r>
      <w:bookmarkEnd w:id="1"/>
      <w:bookmarkEnd w:id="2"/>
      <w:r>
        <w:t xml:space="preserve"> </w:t>
      </w:r>
    </w:p>
    <w:p w14:paraId="4EC2E910" w14:textId="77777777" w:rsidR="009D034D" w:rsidRPr="00713331" w:rsidRDefault="009D034D" w:rsidP="00713331">
      <w:pPr>
        <w:rPr>
          <w:lang w:eastAsia="fr-FR"/>
        </w:rPr>
      </w:pPr>
    </w:p>
    <w:p w14:paraId="2673F2AA" w14:textId="77777777" w:rsidR="009D034D" w:rsidRPr="00713331" w:rsidRDefault="009D034D" w:rsidP="00713331">
      <w:pPr>
        <w:pStyle w:val="Numberednormal"/>
        <w:numPr>
          <w:ilvl w:val="0"/>
          <w:numId w:val="6"/>
        </w:numPr>
      </w:pPr>
      <w:r>
        <w:t xml:space="preserve">Question from an operator: </w:t>
      </w:r>
    </w:p>
    <w:p w14:paraId="49313428" w14:textId="77777777" w:rsidR="009D034D" w:rsidRPr="00713331" w:rsidRDefault="009D034D" w:rsidP="00713331">
      <w:pPr>
        <w:ind w:left="360"/>
      </w:pPr>
      <w:r>
        <w:t xml:space="preserve">“We suppose this Royal Decree does not apply to </w:t>
      </w:r>
      <w:proofErr w:type="gramStart"/>
      <w:r>
        <w:t>a number of</w:t>
      </w:r>
      <w:proofErr w:type="gramEnd"/>
      <w:r>
        <w:t xml:space="preserve"> network elements which are not explicitly mentioned in the Royal Decree since they do not carry 5G traffic. </w:t>
      </w:r>
    </w:p>
    <w:p w14:paraId="7FAAB88C" w14:textId="50053690" w:rsidR="009D034D" w:rsidRPr="00713331" w:rsidRDefault="009D034D" w:rsidP="00713331">
      <w:pPr>
        <w:ind w:left="360"/>
      </w:pPr>
      <w:r>
        <w:t xml:space="preserve">More specifically, </w:t>
      </w:r>
      <w:proofErr w:type="gramStart"/>
      <w:r>
        <w:t>this concerns (1)</w:t>
      </w:r>
      <w:proofErr w:type="gramEnd"/>
      <w:r>
        <w:t xml:space="preserve"> the PKI server (encryption key distribution server) and (2) the synchronisation network with the reference time clocks. Can the BIPT confirm these network elements fall out of the scope of the RDs concerned?”</w:t>
      </w:r>
    </w:p>
    <w:p w14:paraId="5376C0C7" w14:textId="77777777" w:rsidR="009D034D" w:rsidRPr="00713331" w:rsidRDefault="009D034D" w:rsidP="00713331">
      <w:pPr>
        <w:ind w:left="360"/>
        <w:rPr>
          <w:lang w:eastAsia="fr-FR"/>
        </w:rPr>
      </w:pPr>
    </w:p>
    <w:p w14:paraId="0DCE7E1E" w14:textId="52D36926" w:rsidR="009D034D" w:rsidRPr="00713331" w:rsidRDefault="009D034D" w:rsidP="00713331">
      <w:pPr>
        <w:pStyle w:val="Numberednormal"/>
        <w:numPr>
          <w:ilvl w:val="0"/>
          <w:numId w:val="6"/>
        </w:numPr>
      </w:pPr>
      <w:r>
        <w:t>The BIPT’s answer is the following</w:t>
      </w:r>
      <w:r w:rsidR="00310A99">
        <w:t>.</w:t>
      </w:r>
      <w:r>
        <w:t xml:space="preserve"> </w:t>
      </w:r>
    </w:p>
    <w:p w14:paraId="45C906FC" w14:textId="77777777" w:rsidR="009D034D" w:rsidRPr="00713331" w:rsidRDefault="009D034D" w:rsidP="00713331">
      <w:pPr>
        <w:pStyle w:val="Numberednormal"/>
        <w:numPr>
          <w:ilvl w:val="0"/>
          <w:numId w:val="0"/>
        </w:numPr>
        <w:ind w:left="360"/>
      </w:pPr>
    </w:p>
    <w:p w14:paraId="4C1DD354" w14:textId="77777777" w:rsidR="009D034D" w:rsidRPr="00713331" w:rsidRDefault="009D034D" w:rsidP="00713331">
      <w:pPr>
        <w:pStyle w:val="Numberednormal"/>
        <w:numPr>
          <w:ilvl w:val="0"/>
          <w:numId w:val="6"/>
        </w:numPr>
      </w:pPr>
      <w:r>
        <w:t xml:space="preserve">Article 1, 3°, of the RD authorisation defines the “parts of a 5G network” as follows: “the radio access network, the transport network and the central part of the network; these three parts include all of the 5G network elements and each 5G network element belongs to only one of those parts”. (Free translation) </w:t>
      </w:r>
    </w:p>
    <w:p w14:paraId="2F4118EE" w14:textId="77777777" w:rsidR="009D034D" w:rsidRPr="00713331" w:rsidRDefault="009D034D" w:rsidP="00713331">
      <w:pPr>
        <w:pStyle w:val="Numberednormal"/>
        <w:numPr>
          <w:ilvl w:val="0"/>
          <w:numId w:val="0"/>
        </w:numPr>
        <w:ind w:left="360"/>
      </w:pPr>
    </w:p>
    <w:p w14:paraId="6F662D03" w14:textId="77777777" w:rsidR="009D034D" w:rsidRPr="00713331" w:rsidRDefault="009D034D" w:rsidP="00713331">
      <w:pPr>
        <w:pStyle w:val="Numberednormal"/>
        <w:numPr>
          <w:ilvl w:val="0"/>
          <w:numId w:val="6"/>
        </w:numPr>
      </w:pPr>
      <w:r>
        <w:t xml:space="preserve">It appears that the intention of the RD was that these 3 parts should include all the elements of a 5G network, </w:t>
      </w:r>
      <w:proofErr w:type="gramStart"/>
      <w:r>
        <w:t>i.e.</w:t>
      </w:r>
      <w:proofErr w:type="gramEnd"/>
      <w:r>
        <w:t xml:space="preserve"> all the elements that are necessary for the operation of this network. </w:t>
      </w:r>
    </w:p>
    <w:p w14:paraId="3DD9C207" w14:textId="77777777" w:rsidR="009D034D" w:rsidRPr="00713331" w:rsidRDefault="009D034D" w:rsidP="00713331">
      <w:pPr>
        <w:pStyle w:val="Numberednormal"/>
        <w:numPr>
          <w:ilvl w:val="0"/>
          <w:numId w:val="0"/>
        </w:numPr>
        <w:ind w:left="360"/>
      </w:pPr>
    </w:p>
    <w:p w14:paraId="65F55CC9" w14:textId="15C9867D" w:rsidR="009D034D" w:rsidRPr="00713331" w:rsidRDefault="009D034D" w:rsidP="00713331">
      <w:pPr>
        <w:pStyle w:val="Numberednormal"/>
        <w:numPr>
          <w:ilvl w:val="0"/>
          <w:numId w:val="6"/>
        </w:numPr>
      </w:pPr>
      <w:r>
        <w:t xml:space="preserve">The PKI server (encryption key distribution server) meets the criteria referred to in Article 1, 11°, g), </w:t>
      </w:r>
      <w:proofErr w:type="spellStart"/>
      <w:r>
        <w:t>i</w:t>
      </w:r>
      <w:proofErr w:type="spellEnd"/>
      <w:r>
        <w:t>) and k)</w:t>
      </w:r>
      <w:r w:rsidR="00310A99">
        <w:t xml:space="preserve"> of </w:t>
      </w:r>
      <w:r w:rsidR="00310A99">
        <w:rPr>
          <w:rStyle w:val="cf01"/>
          <w:rFonts w:ascii="Tahoma" w:hAnsi="Tahoma"/>
          <w:sz w:val="20"/>
        </w:rPr>
        <w:t>RD authorisation</w:t>
      </w:r>
      <w:r>
        <w:t xml:space="preserve">: </w:t>
      </w:r>
    </w:p>
    <w:tbl>
      <w:tblPr>
        <w:tblStyle w:val="TableGrid"/>
        <w:tblW w:w="9067" w:type="dxa"/>
        <w:tblLayout w:type="fixed"/>
        <w:tblLook w:val="04A0" w:firstRow="1" w:lastRow="0" w:firstColumn="1" w:lastColumn="0" w:noHBand="0" w:noVBand="1"/>
      </w:tblPr>
      <w:tblGrid>
        <w:gridCol w:w="9067"/>
      </w:tblGrid>
      <w:tr w:rsidR="006074C1" w:rsidRPr="00713331" w14:paraId="71BBA3C7" w14:textId="77777777" w:rsidTr="006074C1">
        <w:trPr>
          <w:trHeight w:val="211"/>
        </w:trPr>
        <w:tc>
          <w:tcPr>
            <w:tcW w:w="9067" w:type="dxa"/>
          </w:tcPr>
          <w:p w14:paraId="318FB912" w14:textId="4B830BBE" w:rsidR="006074C1" w:rsidRPr="00713331" w:rsidRDefault="006074C1" w:rsidP="00713331">
            <w:pPr>
              <w:numPr>
                <w:ilvl w:val="0"/>
                <w:numId w:val="35"/>
              </w:numPr>
              <w:rPr>
                <w:rFonts w:cs="Tahoma"/>
                <w:bCs/>
                <w:noProof/>
                <w:szCs w:val="20"/>
              </w:rPr>
            </w:pPr>
            <w:r>
              <w:t>the security systems, including the corresponding automation and support systems, notably firewalls, intrusion prevention systems (IPS), and intrusion detection systems (ID</w:t>
            </w:r>
            <w:r w:rsidR="009A0E35">
              <w:t>S</w:t>
            </w:r>
            <w:r>
              <w:t>);</w:t>
            </w:r>
          </w:p>
        </w:tc>
      </w:tr>
      <w:tr w:rsidR="006074C1" w:rsidRPr="00713331" w14:paraId="1621EA47" w14:textId="77777777" w:rsidTr="006074C1">
        <w:trPr>
          <w:trHeight w:val="50"/>
        </w:trPr>
        <w:tc>
          <w:tcPr>
            <w:tcW w:w="9067" w:type="dxa"/>
          </w:tcPr>
          <w:p w14:paraId="45BD9C4C" w14:textId="77777777" w:rsidR="006074C1" w:rsidRPr="00713331" w:rsidRDefault="006074C1" w:rsidP="00713331">
            <w:pPr>
              <w:ind w:left="720"/>
              <w:contextualSpacing/>
              <w:rPr>
                <w:rFonts w:cs="Tahoma"/>
                <w:sz w:val="24"/>
                <w:szCs w:val="20"/>
              </w:rPr>
            </w:pPr>
          </w:p>
        </w:tc>
      </w:tr>
      <w:tr w:rsidR="006074C1" w:rsidRPr="00713331" w14:paraId="35491514" w14:textId="77777777" w:rsidTr="006074C1">
        <w:trPr>
          <w:trHeight w:val="126"/>
        </w:trPr>
        <w:tc>
          <w:tcPr>
            <w:tcW w:w="9067" w:type="dxa"/>
          </w:tcPr>
          <w:p w14:paraId="68A24BF6" w14:textId="77777777" w:rsidR="006074C1" w:rsidRPr="00713331" w:rsidRDefault="006074C1" w:rsidP="00713331">
            <w:pPr>
              <w:numPr>
                <w:ilvl w:val="0"/>
                <w:numId w:val="36"/>
              </w:numPr>
              <w:rPr>
                <w:rFonts w:cs="Tahoma"/>
                <w:bCs/>
                <w:noProof/>
                <w:szCs w:val="20"/>
              </w:rPr>
            </w:pPr>
            <w:r>
              <w:t>the network equipment (switches and routers) interconnecting equipment of the central part of the network;</w:t>
            </w:r>
          </w:p>
        </w:tc>
      </w:tr>
      <w:tr w:rsidR="006074C1" w:rsidRPr="00713331" w14:paraId="1973862E" w14:textId="77777777" w:rsidTr="006074C1">
        <w:trPr>
          <w:trHeight w:val="50"/>
        </w:trPr>
        <w:tc>
          <w:tcPr>
            <w:tcW w:w="9067" w:type="dxa"/>
          </w:tcPr>
          <w:p w14:paraId="3DC06871" w14:textId="77777777" w:rsidR="006074C1" w:rsidRPr="00713331" w:rsidRDefault="006074C1" w:rsidP="00713331">
            <w:pPr>
              <w:ind w:left="720"/>
              <w:contextualSpacing/>
              <w:rPr>
                <w:rFonts w:cs="Tahoma"/>
                <w:sz w:val="24"/>
                <w:szCs w:val="20"/>
              </w:rPr>
            </w:pPr>
          </w:p>
        </w:tc>
      </w:tr>
      <w:tr w:rsidR="006074C1" w:rsidRPr="00713331" w14:paraId="62EC6335" w14:textId="77777777" w:rsidTr="006074C1">
        <w:trPr>
          <w:trHeight w:val="126"/>
        </w:trPr>
        <w:tc>
          <w:tcPr>
            <w:tcW w:w="9067" w:type="dxa"/>
          </w:tcPr>
          <w:p w14:paraId="18507D87" w14:textId="77777777" w:rsidR="006074C1" w:rsidRPr="00713331" w:rsidRDefault="006074C1" w:rsidP="00713331">
            <w:pPr>
              <w:numPr>
                <w:ilvl w:val="0"/>
                <w:numId w:val="37"/>
              </w:numPr>
              <w:rPr>
                <w:rFonts w:cs="Tahoma"/>
                <w:bCs/>
                <w:noProof/>
                <w:szCs w:val="20"/>
              </w:rPr>
            </w:pPr>
            <w:r>
              <w:t xml:space="preserve">the elements used for the management, </w:t>
            </w:r>
            <w:proofErr w:type="gramStart"/>
            <w:r>
              <w:t>configuration</w:t>
            </w:r>
            <w:proofErr w:type="gramEnd"/>
            <w:r>
              <w:t xml:space="preserve"> and monitoring of the elements of the central part of the network;</w:t>
            </w:r>
          </w:p>
        </w:tc>
      </w:tr>
      <w:tr w:rsidR="006074C1" w:rsidRPr="00713331" w14:paraId="4A4AB8D4" w14:textId="77777777" w:rsidTr="006074C1">
        <w:trPr>
          <w:trHeight w:val="50"/>
        </w:trPr>
        <w:tc>
          <w:tcPr>
            <w:tcW w:w="9067" w:type="dxa"/>
          </w:tcPr>
          <w:p w14:paraId="1625FC3F" w14:textId="77777777" w:rsidR="006074C1" w:rsidRPr="00713331" w:rsidRDefault="006074C1" w:rsidP="00713331">
            <w:pPr>
              <w:ind w:left="720"/>
              <w:contextualSpacing/>
              <w:rPr>
                <w:rFonts w:cs="Tahoma"/>
                <w:sz w:val="24"/>
                <w:szCs w:val="20"/>
              </w:rPr>
            </w:pPr>
          </w:p>
        </w:tc>
      </w:tr>
      <w:tr w:rsidR="006074C1" w:rsidRPr="00713331" w14:paraId="50C1BC54" w14:textId="77777777" w:rsidTr="006074C1">
        <w:trPr>
          <w:trHeight w:val="169"/>
        </w:trPr>
        <w:tc>
          <w:tcPr>
            <w:tcW w:w="9067" w:type="dxa"/>
          </w:tcPr>
          <w:p w14:paraId="62256C89" w14:textId="77777777" w:rsidR="006074C1" w:rsidRPr="00713331" w:rsidRDefault="006074C1" w:rsidP="00713331">
            <w:pPr>
              <w:pStyle w:val="ListParagraph"/>
              <w:numPr>
                <w:ilvl w:val="0"/>
                <w:numId w:val="39"/>
              </w:numPr>
              <w:rPr>
                <w:rFonts w:cs="Tahoma"/>
              </w:rPr>
            </w:pPr>
            <w:r>
              <w:t>all elements used to intercept communication content, in order to comply with a request from judicial authorities, or intelligence or security services;</w:t>
            </w:r>
          </w:p>
        </w:tc>
      </w:tr>
      <w:tr w:rsidR="006074C1" w:rsidRPr="00713331" w14:paraId="2CE3A2C8" w14:textId="77777777" w:rsidTr="006074C1">
        <w:trPr>
          <w:trHeight w:val="50"/>
        </w:trPr>
        <w:tc>
          <w:tcPr>
            <w:tcW w:w="9067" w:type="dxa"/>
          </w:tcPr>
          <w:p w14:paraId="6F5F0F87" w14:textId="77777777" w:rsidR="006074C1" w:rsidRPr="00713331" w:rsidRDefault="006074C1" w:rsidP="00713331">
            <w:pPr>
              <w:ind w:left="720"/>
              <w:contextualSpacing/>
              <w:rPr>
                <w:rFonts w:cs="Tahoma"/>
                <w:sz w:val="24"/>
                <w:szCs w:val="20"/>
              </w:rPr>
            </w:pPr>
          </w:p>
        </w:tc>
      </w:tr>
      <w:tr w:rsidR="006074C1" w:rsidRPr="00713331" w14:paraId="0C9EBF98" w14:textId="77777777" w:rsidTr="006074C1">
        <w:trPr>
          <w:trHeight w:val="169"/>
        </w:trPr>
        <w:tc>
          <w:tcPr>
            <w:tcW w:w="9067" w:type="dxa"/>
          </w:tcPr>
          <w:p w14:paraId="002E55D0" w14:textId="77777777" w:rsidR="006074C1" w:rsidRPr="00713331" w:rsidRDefault="006074C1" w:rsidP="00713331">
            <w:pPr>
              <w:numPr>
                <w:ilvl w:val="0"/>
                <w:numId w:val="38"/>
              </w:numPr>
              <w:rPr>
                <w:rFonts w:cs="Tahoma"/>
                <w:bCs/>
                <w:noProof/>
                <w:szCs w:val="20"/>
              </w:rPr>
            </w:pPr>
            <w:r>
              <w:t xml:space="preserve">any other system using signalling, </w:t>
            </w:r>
            <w:proofErr w:type="gramStart"/>
            <w:r>
              <w:t>configuration</w:t>
            </w:r>
            <w:proofErr w:type="gramEnd"/>
            <w:r>
              <w:t xml:space="preserve"> or management data provided that it can modify the configuration of other elements of the central part of the network;</w:t>
            </w:r>
          </w:p>
        </w:tc>
      </w:tr>
    </w:tbl>
    <w:p w14:paraId="4128D215" w14:textId="336101E3" w:rsidR="009D034D" w:rsidRPr="00713331" w:rsidRDefault="009D034D" w:rsidP="00713331">
      <w:pPr>
        <w:pStyle w:val="Numberednormal"/>
        <w:numPr>
          <w:ilvl w:val="0"/>
          <w:numId w:val="6"/>
        </w:numPr>
        <w:rPr>
          <w:rStyle w:val="cf01"/>
          <w:rFonts w:ascii="Tahoma" w:hAnsi="Tahoma" w:cs="Tahoma"/>
          <w:sz w:val="20"/>
          <w:szCs w:val="20"/>
        </w:rPr>
      </w:pPr>
      <w:r>
        <w:rPr>
          <w:rStyle w:val="cf01"/>
          <w:rFonts w:ascii="Tahoma" w:hAnsi="Tahoma"/>
          <w:sz w:val="20"/>
        </w:rPr>
        <w:t xml:space="preserve">The synchronisation network may fall within Article 1, 4°, b), and 7°, b), of RD authorisation:  </w:t>
      </w:r>
    </w:p>
    <w:tbl>
      <w:tblPr>
        <w:tblStyle w:val="TableGrid"/>
        <w:tblW w:w="0" w:type="auto"/>
        <w:tblLayout w:type="fixed"/>
        <w:tblLook w:val="04A0" w:firstRow="1" w:lastRow="0" w:firstColumn="1" w:lastColumn="0" w:noHBand="0" w:noVBand="1"/>
      </w:tblPr>
      <w:tblGrid>
        <w:gridCol w:w="8925"/>
      </w:tblGrid>
      <w:tr w:rsidR="006074C1" w:rsidRPr="00713331" w14:paraId="42B39A78" w14:textId="77777777" w:rsidTr="006074C1">
        <w:trPr>
          <w:trHeight w:val="794"/>
        </w:trPr>
        <w:tc>
          <w:tcPr>
            <w:tcW w:w="8925" w:type="dxa"/>
          </w:tcPr>
          <w:p w14:paraId="49EA75BC" w14:textId="77777777" w:rsidR="006074C1" w:rsidRPr="00713331" w:rsidRDefault="006074C1" w:rsidP="00713331">
            <w:pPr>
              <w:rPr>
                <w:rFonts w:cs="Tahoma"/>
                <w:szCs w:val="20"/>
              </w:rPr>
            </w:pPr>
            <w:r>
              <w:lastRenderedPageBreak/>
              <w:t>4° “radio access network”: the part of a 5G network including the elements meeting at least one of the following criteria:</w:t>
            </w:r>
          </w:p>
        </w:tc>
      </w:tr>
      <w:tr w:rsidR="006074C1" w:rsidRPr="00713331" w14:paraId="3E040BAC" w14:textId="77777777" w:rsidTr="006074C1">
        <w:trPr>
          <w:trHeight w:val="264"/>
        </w:trPr>
        <w:tc>
          <w:tcPr>
            <w:tcW w:w="8925" w:type="dxa"/>
          </w:tcPr>
          <w:p w14:paraId="64A23625" w14:textId="77777777" w:rsidR="006074C1" w:rsidRPr="00713331" w:rsidRDefault="006074C1" w:rsidP="00713331">
            <w:pPr>
              <w:rPr>
                <w:rFonts w:cs="Tahoma"/>
                <w:szCs w:val="20"/>
              </w:rPr>
            </w:pPr>
          </w:p>
        </w:tc>
      </w:tr>
      <w:tr w:rsidR="006074C1" w:rsidRPr="00713331" w14:paraId="348CA2B8" w14:textId="77777777" w:rsidTr="006074C1">
        <w:trPr>
          <w:trHeight w:val="248"/>
        </w:trPr>
        <w:tc>
          <w:tcPr>
            <w:tcW w:w="8925" w:type="dxa"/>
          </w:tcPr>
          <w:p w14:paraId="16ED9C2A" w14:textId="4F9636C8" w:rsidR="006074C1" w:rsidRPr="00713331" w:rsidRDefault="006074C1" w:rsidP="00713331">
            <w:pPr>
              <w:numPr>
                <w:ilvl w:val="0"/>
                <w:numId w:val="45"/>
              </w:numPr>
              <w:contextualSpacing/>
              <w:jc w:val="left"/>
              <w:rPr>
                <w:rFonts w:cs="Tahoma"/>
                <w:szCs w:val="20"/>
              </w:rPr>
            </w:pPr>
            <w:bookmarkStart w:id="3" w:name="_Hlk48309319"/>
            <w:proofErr w:type="gramStart"/>
            <w:r>
              <w:t>all of</w:t>
            </w:r>
            <w:proofErr w:type="gramEnd"/>
            <w:r>
              <w:t xml:space="preserve"> the elements of a base station;</w:t>
            </w:r>
            <w:bookmarkEnd w:id="3"/>
          </w:p>
        </w:tc>
      </w:tr>
      <w:tr w:rsidR="006074C1" w:rsidRPr="00713331" w14:paraId="6A5DEB93" w14:textId="77777777" w:rsidTr="006074C1">
        <w:trPr>
          <w:trHeight w:val="264"/>
        </w:trPr>
        <w:tc>
          <w:tcPr>
            <w:tcW w:w="8925" w:type="dxa"/>
          </w:tcPr>
          <w:p w14:paraId="6929242E" w14:textId="77777777" w:rsidR="006074C1" w:rsidRPr="00713331" w:rsidRDefault="006074C1" w:rsidP="00713331">
            <w:pPr>
              <w:rPr>
                <w:rFonts w:cs="Tahoma"/>
                <w:szCs w:val="20"/>
              </w:rPr>
            </w:pPr>
          </w:p>
        </w:tc>
      </w:tr>
      <w:tr w:rsidR="006074C1" w:rsidRPr="00713331" w14:paraId="2A482414" w14:textId="77777777" w:rsidTr="006074C1">
        <w:trPr>
          <w:trHeight w:val="518"/>
        </w:trPr>
        <w:tc>
          <w:tcPr>
            <w:tcW w:w="8925" w:type="dxa"/>
          </w:tcPr>
          <w:p w14:paraId="56021E10" w14:textId="77777777" w:rsidR="006074C1" w:rsidRPr="00713331" w:rsidRDefault="006074C1" w:rsidP="00713331">
            <w:pPr>
              <w:numPr>
                <w:ilvl w:val="0"/>
                <w:numId w:val="46"/>
              </w:numPr>
              <w:contextualSpacing/>
              <w:rPr>
                <w:rFonts w:cs="Tahoma"/>
                <w:szCs w:val="20"/>
              </w:rPr>
            </w:pPr>
            <w:r>
              <w:t xml:space="preserve">the elements used for the implementation, management, </w:t>
            </w:r>
            <w:proofErr w:type="gramStart"/>
            <w:r>
              <w:t>configuration</w:t>
            </w:r>
            <w:proofErr w:type="gramEnd"/>
            <w:r>
              <w:t xml:space="preserve"> or supervision of a base station;</w:t>
            </w:r>
          </w:p>
        </w:tc>
      </w:tr>
    </w:tbl>
    <w:p w14:paraId="2C9CEC0F" w14:textId="77777777" w:rsidR="009D034D" w:rsidRPr="00713331" w:rsidRDefault="009D034D" w:rsidP="00713331">
      <w:pPr>
        <w:pStyle w:val="Numberednormal"/>
        <w:numPr>
          <w:ilvl w:val="0"/>
          <w:numId w:val="0"/>
        </w:numPr>
        <w:ind w:left="360" w:hanging="360"/>
        <w:rPr>
          <w:rStyle w:val="cf01"/>
          <w:rFonts w:ascii="Tahoma" w:hAnsi="Tahoma" w:cs="Tahoma"/>
          <w:sz w:val="20"/>
          <w:szCs w:val="20"/>
        </w:rPr>
      </w:pPr>
    </w:p>
    <w:tbl>
      <w:tblPr>
        <w:tblStyle w:val="TableGrid"/>
        <w:tblW w:w="0" w:type="auto"/>
        <w:tblLayout w:type="fixed"/>
        <w:tblLook w:val="04A0" w:firstRow="1" w:lastRow="0" w:firstColumn="1" w:lastColumn="0" w:noHBand="0" w:noVBand="1"/>
      </w:tblPr>
      <w:tblGrid>
        <w:gridCol w:w="8926"/>
      </w:tblGrid>
      <w:tr w:rsidR="006074C1" w:rsidRPr="00713331" w14:paraId="518F924A" w14:textId="77777777" w:rsidTr="006074C1">
        <w:tc>
          <w:tcPr>
            <w:tcW w:w="8926" w:type="dxa"/>
          </w:tcPr>
          <w:p w14:paraId="1E62DB9B" w14:textId="77777777" w:rsidR="006074C1" w:rsidRPr="00713331" w:rsidRDefault="006074C1" w:rsidP="00713331">
            <w:pPr>
              <w:rPr>
                <w:rFonts w:eastAsia="Calibri" w:cs="Tahoma"/>
                <w:szCs w:val="20"/>
              </w:rPr>
            </w:pPr>
            <w:r>
              <w:t>7° “transport network”: the part of a 5G network consisting of the backbone and the backhaul and including the elements meeting at least one of the following criteria:</w:t>
            </w:r>
          </w:p>
        </w:tc>
      </w:tr>
      <w:tr w:rsidR="006074C1" w:rsidRPr="00713331" w14:paraId="7FB09DB7" w14:textId="77777777" w:rsidTr="006074C1">
        <w:tc>
          <w:tcPr>
            <w:tcW w:w="8926" w:type="dxa"/>
          </w:tcPr>
          <w:p w14:paraId="7685A24F" w14:textId="77777777" w:rsidR="006074C1" w:rsidRPr="00713331" w:rsidRDefault="006074C1" w:rsidP="00713331">
            <w:pPr>
              <w:rPr>
                <w:rFonts w:cs="Tahoma"/>
                <w:szCs w:val="20"/>
              </w:rPr>
            </w:pPr>
          </w:p>
        </w:tc>
      </w:tr>
      <w:tr w:rsidR="006074C1" w:rsidRPr="00713331" w14:paraId="23333DF8" w14:textId="77777777" w:rsidTr="006074C1">
        <w:tc>
          <w:tcPr>
            <w:tcW w:w="8926" w:type="dxa"/>
          </w:tcPr>
          <w:p w14:paraId="431BF92E" w14:textId="77777777" w:rsidR="006074C1" w:rsidRPr="00713331" w:rsidRDefault="006074C1" w:rsidP="00713331">
            <w:pPr>
              <w:numPr>
                <w:ilvl w:val="0"/>
                <w:numId w:val="42"/>
              </w:numPr>
              <w:rPr>
                <w:rFonts w:cs="Tahoma"/>
                <w:bCs/>
                <w:noProof/>
                <w:szCs w:val="20"/>
              </w:rPr>
            </w:pPr>
            <w:r>
              <w:t xml:space="preserve">the elements ensuring the transmission of the signals between the radio access network and the elements of the central part of the network, between the various radio access network sites or between the various elements of the central part of the network; </w:t>
            </w:r>
          </w:p>
        </w:tc>
      </w:tr>
      <w:tr w:rsidR="006074C1" w:rsidRPr="00713331" w14:paraId="6A19F189" w14:textId="77777777" w:rsidTr="006074C1">
        <w:tc>
          <w:tcPr>
            <w:tcW w:w="8926" w:type="dxa"/>
          </w:tcPr>
          <w:p w14:paraId="5D859E62" w14:textId="77777777" w:rsidR="006074C1" w:rsidRPr="00713331" w:rsidRDefault="006074C1" w:rsidP="00713331">
            <w:pPr>
              <w:ind w:left="720"/>
              <w:contextualSpacing/>
              <w:rPr>
                <w:rFonts w:cs="Tahoma"/>
                <w:sz w:val="24"/>
                <w:szCs w:val="20"/>
              </w:rPr>
            </w:pPr>
          </w:p>
        </w:tc>
      </w:tr>
      <w:tr w:rsidR="006074C1" w:rsidRPr="00713331" w14:paraId="2E3AF67D" w14:textId="77777777" w:rsidTr="006074C1">
        <w:tc>
          <w:tcPr>
            <w:tcW w:w="8926" w:type="dxa"/>
          </w:tcPr>
          <w:p w14:paraId="33FA8E89" w14:textId="77777777" w:rsidR="006074C1" w:rsidRPr="00713331" w:rsidRDefault="006074C1" w:rsidP="00713331">
            <w:pPr>
              <w:numPr>
                <w:ilvl w:val="0"/>
                <w:numId w:val="43"/>
              </w:numPr>
              <w:rPr>
                <w:rFonts w:cs="Tahoma"/>
                <w:bCs/>
                <w:noProof/>
                <w:szCs w:val="20"/>
              </w:rPr>
            </w:pPr>
            <w:r>
              <w:t xml:space="preserve">the elements used for the implementation, management, </w:t>
            </w:r>
            <w:proofErr w:type="gramStart"/>
            <w:r>
              <w:t>configuration</w:t>
            </w:r>
            <w:proofErr w:type="gramEnd"/>
            <w:r>
              <w:t xml:space="preserve"> or supervision of the transport network elements;</w:t>
            </w:r>
          </w:p>
        </w:tc>
      </w:tr>
    </w:tbl>
    <w:p w14:paraId="270EDDAC" w14:textId="77777777" w:rsidR="009D034D" w:rsidRPr="00713331" w:rsidRDefault="009D034D" w:rsidP="00713331">
      <w:pPr>
        <w:pStyle w:val="Numberednormal"/>
        <w:numPr>
          <w:ilvl w:val="0"/>
          <w:numId w:val="0"/>
        </w:numPr>
        <w:ind w:left="360" w:hanging="360"/>
        <w:rPr>
          <w:rFonts w:cs="Tahoma"/>
          <w:szCs w:val="20"/>
        </w:rPr>
      </w:pPr>
    </w:p>
    <w:p w14:paraId="005AD52C" w14:textId="7D664D97" w:rsidR="009D034D" w:rsidRPr="00713331" w:rsidRDefault="009D034D" w:rsidP="00713331">
      <w:pPr>
        <w:pStyle w:val="Numberednormal"/>
        <w:numPr>
          <w:ilvl w:val="0"/>
          <w:numId w:val="6"/>
        </w:numPr>
        <w:rPr>
          <w:rStyle w:val="cf01"/>
          <w:rFonts w:ascii="Tahoma" w:hAnsi="Tahoma" w:cs="Tahoma"/>
          <w:sz w:val="20"/>
          <w:szCs w:val="20"/>
        </w:rPr>
      </w:pPr>
      <w:r>
        <w:rPr>
          <w:rStyle w:val="cf01"/>
          <w:rFonts w:ascii="Tahoma" w:hAnsi="Tahoma"/>
          <w:sz w:val="20"/>
        </w:rPr>
        <w:t xml:space="preserve">Synchronisation appears to play an increasing role </w:t>
      </w:r>
      <w:r w:rsidR="009A0E35">
        <w:rPr>
          <w:rStyle w:val="cf01"/>
          <w:rFonts w:ascii="Tahoma" w:hAnsi="Tahoma"/>
          <w:sz w:val="20"/>
        </w:rPr>
        <w:t xml:space="preserve">when it comes to </w:t>
      </w:r>
      <w:r>
        <w:rPr>
          <w:rStyle w:val="cf01"/>
          <w:rFonts w:ascii="Tahoma" w:hAnsi="Tahoma"/>
          <w:sz w:val="20"/>
        </w:rPr>
        <w:t>5G network radios</w:t>
      </w:r>
      <w:r w:rsidRPr="00713331">
        <w:rPr>
          <w:rStyle w:val="FootnoteReference"/>
          <w:rFonts w:cs="Tahoma"/>
          <w:szCs w:val="20"/>
        </w:rPr>
        <w:footnoteReference w:id="1"/>
      </w:r>
      <w:r>
        <w:rPr>
          <w:rStyle w:val="cf01"/>
          <w:rFonts w:ascii="Tahoma" w:hAnsi="Tahoma"/>
          <w:sz w:val="20"/>
        </w:rPr>
        <w:t>.</w:t>
      </w:r>
    </w:p>
    <w:p w14:paraId="37B0A99D" w14:textId="77777777" w:rsidR="009D034D" w:rsidRPr="00713331" w:rsidRDefault="009D034D" w:rsidP="00713331">
      <w:pPr>
        <w:pStyle w:val="Heading1"/>
        <w:numPr>
          <w:ilvl w:val="0"/>
          <w:numId w:val="7"/>
        </w:numPr>
      </w:pPr>
      <w:bookmarkStart w:id="4" w:name="_Toc132804587"/>
      <w:bookmarkStart w:id="5" w:name="_Toc135085710"/>
      <w:r>
        <w:t>Mobile private networks</w:t>
      </w:r>
      <w:bookmarkEnd w:id="4"/>
      <w:bookmarkEnd w:id="5"/>
    </w:p>
    <w:p w14:paraId="0F67C175" w14:textId="77777777" w:rsidR="009D034D" w:rsidRPr="00713331" w:rsidRDefault="009D034D" w:rsidP="00713331"/>
    <w:tbl>
      <w:tblPr>
        <w:tblStyle w:val="TableGrid"/>
        <w:tblW w:w="0" w:type="auto"/>
        <w:tblLook w:val="04A0" w:firstRow="1" w:lastRow="0" w:firstColumn="1" w:lastColumn="0" w:noHBand="0" w:noVBand="1"/>
      </w:tblPr>
      <w:tblGrid>
        <w:gridCol w:w="4308"/>
        <w:gridCol w:w="4754"/>
      </w:tblGrid>
      <w:tr w:rsidR="009D034D" w:rsidRPr="00713331" w14:paraId="3FA40805" w14:textId="77777777" w:rsidTr="00DA32B7">
        <w:tc>
          <w:tcPr>
            <w:tcW w:w="4308" w:type="dxa"/>
          </w:tcPr>
          <w:p w14:paraId="1A756A11" w14:textId="77777777" w:rsidR="009D034D" w:rsidRPr="00713331" w:rsidRDefault="009D034D" w:rsidP="00713331">
            <w:pPr>
              <w:spacing w:after="160" w:line="256" w:lineRule="auto"/>
              <w:rPr>
                <w:rFonts w:cs="Tahoma"/>
                <w:b/>
                <w:bCs/>
                <w:szCs w:val="20"/>
                <w:u w:val="single"/>
              </w:rPr>
            </w:pPr>
            <w:r>
              <w:rPr>
                <w:b/>
                <w:u w:val="single"/>
              </w:rPr>
              <w:t>Question from operator X </w:t>
            </w:r>
          </w:p>
        </w:tc>
        <w:tc>
          <w:tcPr>
            <w:tcW w:w="4754" w:type="dxa"/>
          </w:tcPr>
          <w:p w14:paraId="2572C95F" w14:textId="77777777" w:rsidR="009D034D" w:rsidRPr="00713331" w:rsidRDefault="009D034D" w:rsidP="00713331">
            <w:pPr>
              <w:rPr>
                <w:rFonts w:cs="Tahoma"/>
                <w:b/>
                <w:bCs/>
                <w:szCs w:val="20"/>
                <w:u w:val="single"/>
              </w:rPr>
            </w:pPr>
            <w:r>
              <w:t xml:space="preserve"> </w:t>
            </w:r>
            <w:r>
              <w:rPr>
                <w:b/>
                <w:u w:val="single"/>
              </w:rPr>
              <w:t xml:space="preserve">Answer from the BIPT </w:t>
            </w:r>
          </w:p>
        </w:tc>
      </w:tr>
      <w:tr w:rsidR="009D034D" w:rsidRPr="00713331" w14:paraId="7676CC1F" w14:textId="77777777" w:rsidTr="00DA32B7">
        <w:tc>
          <w:tcPr>
            <w:tcW w:w="4308" w:type="dxa"/>
          </w:tcPr>
          <w:p w14:paraId="12D47EBC" w14:textId="77777777" w:rsidR="009D034D" w:rsidRPr="00713331" w:rsidRDefault="009D034D" w:rsidP="00713331">
            <w:pPr>
              <w:spacing w:after="160" w:line="256" w:lineRule="auto"/>
              <w:rPr>
                <w:rFonts w:cs="Tahoma"/>
                <w:szCs w:val="20"/>
              </w:rPr>
            </w:pPr>
            <w:r>
              <w:t xml:space="preserve">Operator X is a mobile private network provider and should apply for authorisation according to the law. </w:t>
            </w:r>
          </w:p>
          <w:p w14:paraId="7D0EC0BE" w14:textId="77777777" w:rsidR="009D034D" w:rsidRPr="00713331" w:rsidRDefault="009D034D" w:rsidP="00713331">
            <w:pPr>
              <w:spacing w:after="160" w:line="256" w:lineRule="auto"/>
              <w:rPr>
                <w:rFonts w:cs="Tahoma"/>
                <w:b/>
                <w:bCs/>
                <w:szCs w:val="20"/>
                <w:u w:val="single"/>
              </w:rPr>
            </w:pPr>
            <w:r>
              <w:t>The consultation does not mention any specific reference to the authorisation of mobile private networks (MPNs</w:t>
            </w:r>
            <w:proofErr w:type="gramStart"/>
            <w:r>
              <w:t>)</w:t>
            </w:r>
            <w:proofErr w:type="gramEnd"/>
            <w:r>
              <w:t xml:space="preserve"> nor does it mention the case where MPN components are installed and/or managed by several parties (e.g. the MNO together with an undertaking or an institution).</w:t>
            </w:r>
          </w:p>
        </w:tc>
        <w:tc>
          <w:tcPr>
            <w:tcW w:w="4754" w:type="dxa"/>
          </w:tcPr>
          <w:p w14:paraId="3A05400B" w14:textId="5B582B6C" w:rsidR="009D034D" w:rsidRPr="00713331" w:rsidRDefault="009D034D" w:rsidP="00713331">
            <w:pPr>
              <w:rPr>
                <w:rFonts w:cs="Tahoma"/>
                <w:szCs w:val="20"/>
              </w:rPr>
            </w:pPr>
          </w:p>
        </w:tc>
      </w:tr>
      <w:tr w:rsidR="009D034D" w:rsidRPr="00713331" w14:paraId="2EA94BC7" w14:textId="77777777" w:rsidTr="00DA32B7">
        <w:tc>
          <w:tcPr>
            <w:tcW w:w="4308" w:type="dxa"/>
          </w:tcPr>
          <w:p w14:paraId="4681B134" w14:textId="77777777" w:rsidR="009D034D" w:rsidRPr="00713331" w:rsidRDefault="009D034D" w:rsidP="00713331">
            <w:pPr>
              <w:rPr>
                <w:rFonts w:cs="Tahoma"/>
                <w:b/>
                <w:bCs/>
                <w:szCs w:val="20"/>
                <w:u w:val="single"/>
              </w:rPr>
            </w:pPr>
            <w:r>
              <w:t>5.1. Can the BIPT clarify whether specific information is required for the regularisation as an MPN provider?</w:t>
            </w:r>
          </w:p>
        </w:tc>
        <w:tc>
          <w:tcPr>
            <w:tcW w:w="4754" w:type="dxa"/>
          </w:tcPr>
          <w:p w14:paraId="7878001D" w14:textId="77777777" w:rsidR="009D034D" w:rsidRPr="00713331" w:rsidRDefault="009D034D" w:rsidP="00713331">
            <w:pPr>
              <w:rPr>
                <w:rFonts w:cs="Tahoma"/>
                <w:szCs w:val="20"/>
              </w:rPr>
            </w:pPr>
            <w:r>
              <w:t xml:space="preserve">Specific information does not need to be added to the file submitted to the BIPT. </w:t>
            </w:r>
          </w:p>
        </w:tc>
      </w:tr>
      <w:tr w:rsidR="009D034D" w:rsidRPr="00713331" w14:paraId="4B60AC12" w14:textId="77777777" w:rsidTr="00DA32B7">
        <w:tc>
          <w:tcPr>
            <w:tcW w:w="4308" w:type="dxa"/>
          </w:tcPr>
          <w:p w14:paraId="2FCCD2DB" w14:textId="77777777" w:rsidR="009D034D" w:rsidRPr="00713331" w:rsidRDefault="009D034D" w:rsidP="00713331">
            <w:pPr>
              <w:spacing w:line="256" w:lineRule="auto"/>
              <w:rPr>
                <w:rFonts w:cs="Tahoma"/>
                <w:szCs w:val="20"/>
              </w:rPr>
            </w:pPr>
            <w:r>
              <w:t xml:space="preserve">5.2. Operator X does not know which of its MPN clients are subject to the NIS regulation. In principle, operator X shall apply for a general authorisation as an MPN provider independently of the customers using its MPN services. How then can it be determined whether operator X will have to apply for an </w:t>
            </w:r>
            <w:r>
              <w:lastRenderedPageBreak/>
              <w:t>authorisation or a regularisation for a mobile private network it operates for a customer subject to the NIS regulation?</w:t>
            </w:r>
          </w:p>
          <w:p w14:paraId="5FC1F2EC" w14:textId="77777777" w:rsidR="009D034D" w:rsidRPr="00713331" w:rsidRDefault="009D034D" w:rsidP="00713331">
            <w:pPr>
              <w:spacing w:line="256" w:lineRule="auto"/>
              <w:rPr>
                <w:rFonts w:cs="Tahoma"/>
                <w:szCs w:val="20"/>
              </w:rPr>
            </w:pPr>
          </w:p>
          <w:p w14:paraId="2E913FFF" w14:textId="77777777" w:rsidR="009D034D" w:rsidRPr="00713331" w:rsidRDefault="009D034D" w:rsidP="00713331">
            <w:pPr>
              <w:spacing w:line="256" w:lineRule="auto"/>
              <w:rPr>
                <w:rFonts w:cs="Tahoma"/>
                <w:b/>
                <w:bCs/>
                <w:szCs w:val="20"/>
                <w:u w:val="single"/>
              </w:rPr>
            </w:pPr>
          </w:p>
        </w:tc>
        <w:tc>
          <w:tcPr>
            <w:tcW w:w="4754" w:type="dxa"/>
          </w:tcPr>
          <w:p w14:paraId="5AEA5FE6" w14:textId="32FC2141" w:rsidR="009D034D" w:rsidRPr="00713331" w:rsidRDefault="00E24CA4" w:rsidP="00713331">
            <w:r>
              <w:lastRenderedPageBreak/>
              <w:t>As an MNO, operator X shall indeed apply for a general authorisation as an MPN provider</w:t>
            </w:r>
            <w:r w:rsidR="00310A99">
              <w:t>,</w:t>
            </w:r>
            <w:r>
              <w:t xml:space="preserve"> independently of the customer using the MPN services.</w:t>
            </w:r>
          </w:p>
          <w:p w14:paraId="5FE0509F" w14:textId="77777777" w:rsidR="00E24CA4" w:rsidRPr="00713331" w:rsidRDefault="00E24CA4" w:rsidP="00713331">
            <w:pPr>
              <w:rPr>
                <w:rFonts w:cs="Tahoma"/>
                <w:szCs w:val="20"/>
              </w:rPr>
            </w:pPr>
          </w:p>
          <w:p w14:paraId="6C6DEDCB" w14:textId="77777777" w:rsidR="009D034D" w:rsidRPr="00713331" w:rsidRDefault="009D034D" w:rsidP="00713331">
            <w:pPr>
              <w:rPr>
                <w:rFonts w:cs="Tahoma"/>
                <w:szCs w:val="20"/>
              </w:rPr>
            </w:pPr>
            <w:r>
              <w:t xml:space="preserve">If another undertaking than the operator offers this MPN from a legal point of view, this undertaking shall apply for a ministerial authorisation if: </w:t>
            </w:r>
          </w:p>
          <w:p w14:paraId="50486C85" w14:textId="77777777" w:rsidR="009D034D" w:rsidRPr="00713331" w:rsidRDefault="009D034D" w:rsidP="00713331">
            <w:pPr>
              <w:pStyle w:val="ListParagraph"/>
              <w:keepLines w:val="0"/>
              <w:numPr>
                <w:ilvl w:val="0"/>
                <w:numId w:val="34"/>
              </w:numPr>
              <w:jc w:val="left"/>
              <w:rPr>
                <w:rFonts w:cs="Tahoma"/>
              </w:rPr>
            </w:pPr>
            <w:r>
              <w:lastRenderedPageBreak/>
              <w:t xml:space="preserve">it has been designated as an operator of critical infrastructures within the meaning of the Act of 1 July 2011 on the security and protection of critical infrastructures, provided that elements of the private 5G network are used in one of these critical infrastructures; or </w:t>
            </w:r>
          </w:p>
          <w:p w14:paraId="05781A30" w14:textId="77777777" w:rsidR="009D034D" w:rsidRPr="00713331" w:rsidRDefault="009D034D" w:rsidP="00713331">
            <w:pPr>
              <w:pStyle w:val="ListParagraph"/>
              <w:keepLines w:val="0"/>
              <w:numPr>
                <w:ilvl w:val="0"/>
                <w:numId w:val="34"/>
              </w:numPr>
              <w:jc w:val="left"/>
              <w:rPr>
                <w:rFonts w:cs="Tahoma"/>
              </w:rPr>
            </w:pPr>
            <w:r>
              <w:t xml:space="preserve">it has been designated as an operator of essential services within the meaning of the Act of 7 April 2019 laying down a framework for the security of network and information systems of general interest for public safety, provided that the provision of an essential service makes use of the private 5G network (see Article 1, 15°, b) and c), of the RD authorisation).  </w:t>
            </w:r>
          </w:p>
          <w:p w14:paraId="6B915E2E" w14:textId="77777777" w:rsidR="009D034D" w:rsidRPr="00713331" w:rsidRDefault="009D034D" w:rsidP="00713331">
            <w:pPr>
              <w:pStyle w:val="ListParagraph"/>
              <w:numPr>
                <w:ilvl w:val="0"/>
                <w:numId w:val="0"/>
              </w:numPr>
              <w:ind w:left="717"/>
              <w:rPr>
                <w:rFonts w:cs="Tahoma"/>
              </w:rPr>
            </w:pPr>
          </w:p>
          <w:p w14:paraId="42D6F423" w14:textId="77777777" w:rsidR="009D034D" w:rsidRPr="00713331" w:rsidRDefault="009D034D" w:rsidP="00713331">
            <w:pPr>
              <w:rPr>
                <w:rFonts w:cs="Tahoma"/>
                <w:szCs w:val="20"/>
              </w:rPr>
            </w:pPr>
            <w:r>
              <w:t>The BIPT will identify these companies by collaborating with the sectoral authorities referred to in the above-mentioned acts. However, it cannot be excluded that at some point, the BIPT will request information from the operators.</w:t>
            </w:r>
          </w:p>
        </w:tc>
      </w:tr>
      <w:tr w:rsidR="009D034D" w:rsidRPr="00713331" w14:paraId="0CB24B74" w14:textId="77777777" w:rsidTr="00DA32B7">
        <w:tc>
          <w:tcPr>
            <w:tcW w:w="4308" w:type="dxa"/>
          </w:tcPr>
          <w:p w14:paraId="56B601B5" w14:textId="77777777" w:rsidR="009D034D" w:rsidRPr="00713331" w:rsidRDefault="009D034D" w:rsidP="00713331">
            <w:pPr>
              <w:spacing w:line="256" w:lineRule="auto"/>
              <w:rPr>
                <w:rFonts w:cs="Tahoma"/>
                <w:szCs w:val="20"/>
              </w:rPr>
            </w:pPr>
            <w:r>
              <w:lastRenderedPageBreak/>
              <w:t>5.3 We would like to draw the attention of the BIPT on the fact that hybrid forms of private mobile networks also exist. (= mobile private networks including components installed and/or managed by several parties (</w:t>
            </w:r>
            <w:proofErr w:type="gramStart"/>
            <w:r>
              <w:t>e.g.</w:t>
            </w:r>
            <w:proofErr w:type="gramEnd"/>
            <w:r>
              <w:t xml:space="preserve"> the MNO together with an undertaking or an institution)). Who then is considered by the BIPT as the mobile private network provider?</w:t>
            </w:r>
          </w:p>
        </w:tc>
        <w:tc>
          <w:tcPr>
            <w:tcW w:w="4754" w:type="dxa"/>
          </w:tcPr>
          <w:p w14:paraId="1F6C6E6C" w14:textId="6E7463A3" w:rsidR="009D034D" w:rsidRPr="00713331" w:rsidRDefault="009D034D" w:rsidP="00713331">
            <w:pPr>
              <w:rPr>
                <w:rFonts w:cs="Tahoma"/>
                <w:szCs w:val="20"/>
              </w:rPr>
            </w:pPr>
            <w:r>
              <w:t>The undertaking that shall have to apply for the authorisation for a specific MPN is the one providing the MPN from a legal point of view, meaning the undertaking legally responsible for the provision of the network or service.</w:t>
            </w:r>
          </w:p>
          <w:p w14:paraId="1DD4EDC4" w14:textId="77777777" w:rsidR="009D034D" w:rsidRPr="00713331" w:rsidRDefault="009D034D" w:rsidP="00713331">
            <w:pPr>
              <w:rPr>
                <w:rFonts w:cs="Tahoma"/>
                <w:szCs w:val="20"/>
              </w:rPr>
            </w:pPr>
          </w:p>
        </w:tc>
      </w:tr>
    </w:tbl>
    <w:p w14:paraId="718A5185" w14:textId="0FEB9A84" w:rsidR="002C3C99" w:rsidRPr="00713331" w:rsidRDefault="002C3C99" w:rsidP="00713331">
      <w:pPr>
        <w:pStyle w:val="Heading1"/>
      </w:pPr>
      <w:bookmarkStart w:id="6" w:name="_Toc135085711"/>
      <w:r>
        <w:t>Consultation of the list of sensitive areas</w:t>
      </w:r>
      <w:bookmarkEnd w:id="6"/>
      <w:r>
        <w:t xml:space="preserve"> </w:t>
      </w:r>
    </w:p>
    <w:p w14:paraId="78345357" w14:textId="532BA1A4" w:rsidR="008D71F3" w:rsidRPr="00713331" w:rsidRDefault="00DF6358" w:rsidP="00713331">
      <w:pPr>
        <w:pStyle w:val="Numberednormal"/>
        <w:rPr>
          <w:rFonts w:cs="Tahoma"/>
          <w:szCs w:val="20"/>
        </w:rPr>
      </w:pPr>
      <w:r>
        <w:t xml:space="preserve">A list of sensitive areas is mentioned in: </w:t>
      </w:r>
    </w:p>
    <w:p w14:paraId="01B3005A" w14:textId="19929491" w:rsidR="008D71F3" w:rsidRPr="00713331" w:rsidRDefault="008D71F3" w:rsidP="00713331">
      <w:pPr>
        <w:pStyle w:val="Numberednormal"/>
        <w:numPr>
          <w:ilvl w:val="1"/>
          <w:numId w:val="15"/>
        </w:numPr>
        <w:rPr>
          <w:rFonts w:cs="Tahoma"/>
          <w:szCs w:val="20"/>
        </w:rPr>
      </w:pPr>
      <w:r>
        <w:t xml:space="preserve">Article 105, §§ 4 and 7, of the Act on electronic communications; and </w:t>
      </w:r>
    </w:p>
    <w:p w14:paraId="07DF0061" w14:textId="646BEF69" w:rsidR="002C3C99" w:rsidRPr="00713331" w:rsidRDefault="00C379C1" w:rsidP="00713331">
      <w:pPr>
        <w:pStyle w:val="Numberednormal"/>
        <w:numPr>
          <w:ilvl w:val="1"/>
          <w:numId w:val="15"/>
        </w:numPr>
        <w:rPr>
          <w:rFonts w:cs="Tahoma"/>
          <w:szCs w:val="20"/>
        </w:rPr>
      </w:pPr>
      <w:r>
        <w:t xml:space="preserve">Article 6, § 2, and Article 7, § 1, of the RD authorisation. </w:t>
      </w:r>
    </w:p>
    <w:p w14:paraId="61FF3517" w14:textId="77777777" w:rsidR="00297F17" w:rsidRPr="00713331" w:rsidRDefault="00297F17" w:rsidP="00713331">
      <w:pPr>
        <w:pStyle w:val="Numberednormal"/>
        <w:numPr>
          <w:ilvl w:val="0"/>
          <w:numId w:val="0"/>
        </w:numPr>
        <w:ind w:left="1080"/>
        <w:rPr>
          <w:rFonts w:cs="Tahoma"/>
          <w:szCs w:val="20"/>
        </w:rPr>
      </w:pPr>
    </w:p>
    <w:p w14:paraId="666E20B5" w14:textId="7710E502" w:rsidR="008D71F3" w:rsidRPr="00713331" w:rsidRDefault="008D71F3" w:rsidP="00713331">
      <w:pPr>
        <w:pStyle w:val="Numberednormal"/>
        <w:rPr>
          <w:rFonts w:cs="Tahoma"/>
          <w:szCs w:val="20"/>
        </w:rPr>
      </w:pPr>
      <w:r>
        <w:t xml:space="preserve">This list is in the annex to the </w:t>
      </w:r>
      <w:hyperlink r:id="rId13" w:history="1">
        <w:r>
          <w:rPr>
            <w:rStyle w:val="Hyperlink"/>
          </w:rPr>
          <w:t>Royal Decree of 23 October 2022 on sensitive areas within the framework of the Act of 17 February 2022 introducing additional security measures for the provision of mobile 5G services</w:t>
        </w:r>
      </w:hyperlink>
      <w:r>
        <w:t>. This annex is confidential.</w:t>
      </w:r>
    </w:p>
    <w:p w14:paraId="5E2E881E" w14:textId="77777777" w:rsidR="00297F17" w:rsidRPr="00713331" w:rsidRDefault="00297F17" w:rsidP="00713331">
      <w:pPr>
        <w:pStyle w:val="Numberednormal"/>
        <w:numPr>
          <w:ilvl w:val="0"/>
          <w:numId w:val="0"/>
        </w:numPr>
        <w:ind w:left="360"/>
        <w:rPr>
          <w:rFonts w:cs="Tahoma"/>
          <w:szCs w:val="20"/>
        </w:rPr>
      </w:pPr>
    </w:p>
    <w:p w14:paraId="10AC5079" w14:textId="0BC569E1" w:rsidR="00A953E4" w:rsidRPr="00713331" w:rsidRDefault="00ED6642" w:rsidP="00713331">
      <w:pPr>
        <w:pStyle w:val="Numberednormal"/>
        <w:rPr>
          <w:rFonts w:cs="Tahoma"/>
          <w:szCs w:val="20"/>
        </w:rPr>
      </w:pPr>
      <w:r>
        <w:t>A</w:t>
      </w:r>
      <w:r w:rsidR="00DF6358">
        <w:t xml:space="preserve">n MNO with a </w:t>
      </w:r>
      <w:r>
        <w:t xml:space="preserve">5G </w:t>
      </w:r>
      <w:r w:rsidR="00DF6358">
        <w:t xml:space="preserve">network in Belgium </w:t>
      </w:r>
      <w:r>
        <w:t xml:space="preserve">or planning to have one in Belgium, </w:t>
      </w:r>
      <w:r w:rsidR="00DF6358">
        <w:t xml:space="preserve">may ask the BIPT to consult the list of sensitive areas by sending an e-mail to </w:t>
      </w:r>
      <w:hyperlink r:id="rId14" w:history="1">
        <w:r w:rsidR="00DF6358">
          <w:rPr>
            <w:rStyle w:val="Hyperlink"/>
          </w:rPr>
          <w:t>net.sec@ibpt.be</w:t>
        </w:r>
      </w:hyperlink>
      <w:r w:rsidR="00DF6358">
        <w:t xml:space="preserve">. The BIPT will check whether the request is justified (request by an MNO which must submit </w:t>
      </w:r>
      <w:r>
        <w:t xml:space="preserve">or already has submitted </w:t>
      </w:r>
      <w:r w:rsidR="00DF6358">
        <w:t xml:space="preserve">an authorisation application). </w:t>
      </w:r>
    </w:p>
    <w:p w14:paraId="1A26A339" w14:textId="77777777" w:rsidR="005975D9" w:rsidRPr="00713331" w:rsidRDefault="005975D9" w:rsidP="00713331">
      <w:pPr>
        <w:pStyle w:val="Heading1"/>
      </w:pPr>
      <w:bookmarkStart w:id="7" w:name="_Toc135085712"/>
      <w:r>
        <w:t>Deadlines</w:t>
      </w:r>
      <w:bookmarkEnd w:id="7"/>
      <w:r>
        <w:t xml:space="preserve"> </w:t>
      </w:r>
    </w:p>
    <w:p w14:paraId="575090FB" w14:textId="77777777" w:rsidR="005975D9" w:rsidRPr="00713331" w:rsidRDefault="005975D9" w:rsidP="00713331">
      <w:pPr>
        <w:pStyle w:val="Numberednormal"/>
      </w:pPr>
      <w:r>
        <w:t xml:space="preserve">Article 105, § 6, of the Act on electronic communications and Article 12 of the Royal Decree on </w:t>
      </w:r>
      <w:r>
        <w:rPr>
          <w:color w:val="000000"/>
        </w:rPr>
        <w:t>the ministerial authorisation</w:t>
      </w:r>
      <w:r>
        <w:t xml:space="preserve"> lay down the following: </w:t>
      </w:r>
    </w:p>
    <w:p w14:paraId="48D6CDC4" w14:textId="77777777" w:rsidR="005975D9" w:rsidRPr="00713331" w:rsidRDefault="005975D9" w:rsidP="00713331">
      <w:pPr>
        <w:pStyle w:val="ListParagraph"/>
        <w:numPr>
          <w:ilvl w:val="0"/>
          <w:numId w:val="28"/>
        </w:numPr>
      </w:pPr>
      <w:r>
        <w:rPr>
          <w:color w:val="000000"/>
        </w:rPr>
        <w:t>Within a period of 3 months, “</w:t>
      </w:r>
      <w:r>
        <w:rPr>
          <w:i/>
          <w:color w:val="000000"/>
        </w:rPr>
        <w:t>starting from the submission of the application, the applicant shall receive the decision of the ministers granting the authorisation or the draft decision in which they refuse to grant the authorisation or attach conditions to it</w:t>
      </w:r>
      <w:r>
        <w:rPr>
          <w:color w:val="000000"/>
        </w:rPr>
        <w:t xml:space="preserve">”; </w:t>
      </w:r>
    </w:p>
    <w:p w14:paraId="73A0B736" w14:textId="77777777" w:rsidR="005975D9" w:rsidRPr="00713331" w:rsidRDefault="005975D9" w:rsidP="00713331">
      <w:pPr>
        <w:pStyle w:val="ListParagraph"/>
        <w:numPr>
          <w:ilvl w:val="0"/>
          <w:numId w:val="28"/>
        </w:numPr>
      </w:pPr>
      <w:r>
        <w:rPr>
          <w:color w:val="000000"/>
        </w:rPr>
        <w:t>“</w:t>
      </w:r>
      <w:r>
        <w:rPr>
          <w:i/>
          <w:color w:val="000000"/>
        </w:rPr>
        <w:t>In the event of a hearing or written observations by the applicant [...], the ministers shall take their decision at the latest within [a period of 2 months], starting from the receipt of the written observations or the date of the hearing, whichever is the later</w:t>
      </w:r>
      <w:r>
        <w:rPr>
          <w:color w:val="000000"/>
        </w:rPr>
        <w:t>”;  </w:t>
      </w:r>
    </w:p>
    <w:p w14:paraId="77A178BE" w14:textId="61F158FF" w:rsidR="005975D9" w:rsidRPr="00713331" w:rsidRDefault="005975D9" w:rsidP="00713331">
      <w:pPr>
        <w:pStyle w:val="ListParagraph"/>
        <w:numPr>
          <w:ilvl w:val="0"/>
          <w:numId w:val="28"/>
        </w:numPr>
      </w:pPr>
      <w:r>
        <w:rPr>
          <w:color w:val="000000"/>
        </w:rPr>
        <w:lastRenderedPageBreak/>
        <w:t>“</w:t>
      </w:r>
      <w:r>
        <w:rPr>
          <w:i/>
          <w:color w:val="000000"/>
        </w:rPr>
        <w:t>The request for information or documents [...] shall suspend the deadlines set out [above], until the day on which the information or documents requested are provided</w:t>
      </w:r>
      <w:r>
        <w:rPr>
          <w:color w:val="000000"/>
        </w:rPr>
        <w:t>”;</w:t>
      </w:r>
    </w:p>
    <w:p w14:paraId="08A2010C" w14:textId="77777777" w:rsidR="005975D9" w:rsidRPr="00713331" w:rsidRDefault="005975D9" w:rsidP="00713331">
      <w:pPr>
        <w:pStyle w:val="ListParagraph"/>
        <w:numPr>
          <w:ilvl w:val="0"/>
          <w:numId w:val="28"/>
        </w:numPr>
      </w:pPr>
      <w:r>
        <w:rPr>
          <w:color w:val="000000"/>
        </w:rPr>
        <w:t>“</w:t>
      </w:r>
      <w:r>
        <w:rPr>
          <w:i/>
          <w:color w:val="000000"/>
        </w:rPr>
        <w:t>The absence of a decision or draft decision [...] within the period referred to in the [first or second indent] shall be equivalent to a refusal.</w:t>
      </w:r>
      <w:r>
        <w:rPr>
          <w:color w:val="000000"/>
        </w:rPr>
        <w:t>” (Free translation)</w:t>
      </w:r>
    </w:p>
    <w:p w14:paraId="6B0DAE38" w14:textId="625CC3FA" w:rsidR="002E5BD2" w:rsidRPr="00713331" w:rsidRDefault="00F4337D" w:rsidP="00713331">
      <w:pPr>
        <w:pStyle w:val="Heading1"/>
      </w:pPr>
      <w:bookmarkStart w:id="8" w:name="_Toc135085713"/>
      <w:r>
        <w:t>Submission of the file by the applicant</w:t>
      </w:r>
      <w:bookmarkEnd w:id="8"/>
    </w:p>
    <w:p w14:paraId="27237DC7" w14:textId="364DD5F5" w:rsidR="00614144" w:rsidRPr="00713331" w:rsidRDefault="00614144" w:rsidP="00713331">
      <w:pPr>
        <w:pStyle w:val="Heading2"/>
      </w:pPr>
      <w:bookmarkStart w:id="9" w:name="_Toc127173118"/>
      <w:bookmarkStart w:id="10" w:name="_Toc135085714"/>
      <w:r>
        <w:t xml:space="preserve">Documents provided by the </w:t>
      </w:r>
      <w:proofErr w:type="gramStart"/>
      <w:r>
        <w:t>BIPT</w:t>
      </w:r>
      <w:bookmarkEnd w:id="9"/>
      <w:bookmarkEnd w:id="10"/>
      <w:proofErr w:type="gramEnd"/>
      <w:r>
        <w:t xml:space="preserve"> </w:t>
      </w:r>
    </w:p>
    <w:p w14:paraId="26216F80" w14:textId="3459DF99" w:rsidR="00D83926" w:rsidRPr="00713331" w:rsidRDefault="00EE12F1" w:rsidP="00713331">
      <w:pPr>
        <w:pStyle w:val="Numberednormal"/>
      </w:pPr>
      <w:r>
        <w:t xml:space="preserve">The BIPT provides the following documents to facilitate the submission to the BIPT of an authorisation application: </w:t>
      </w:r>
    </w:p>
    <w:p w14:paraId="71040773" w14:textId="3C191242" w:rsidR="00E91815" w:rsidRPr="00713331" w:rsidRDefault="00E91815" w:rsidP="00713331">
      <w:pPr>
        <w:pStyle w:val="Numberednormal"/>
        <w:numPr>
          <w:ilvl w:val="0"/>
          <w:numId w:val="0"/>
        </w:numPr>
        <w:ind w:left="360" w:hanging="360"/>
      </w:pPr>
    </w:p>
    <w:tbl>
      <w:tblPr>
        <w:tblStyle w:val="TableGrid"/>
        <w:tblW w:w="0" w:type="auto"/>
        <w:tblInd w:w="360" w:type="dxa"/>
        <w:tblLook w:val="04A0" w:firstRow="1" w:lastRow="0" w:firstColumn="1" w:lastColumn="0" w:noHBand="0" w:noVBand="1"/>
      </w:tblPr>
      <w:tblGrid>
        <w:gridCol w:w="1116"/>
        <w:gridCol w:w="3622"/>
        <w:gridCol w:w="1982"/>
        <w:gridCol w:w="1982"/>
      </w:tblGrid>
      <w:tr w:rsidR="00C96F62" w:rsidRPr="00713331" w14:paraId="2D39F278" w14:textId="77777777" w:rsidTr="00945B3F">
        <w:trPr>
          <w:trHeight w:val="695"/>
        </w:trPr>
        <w:tc>
          <w:tcPr>
            <w:tcW w:w="1116" w:type="dxa"/>
            <w:shd w:val="clear" w:color="auto" w:fill="D9D9D9" w:themeFill="background1" w:themeFillShade="D9"/>
          </w:tcPr>
          <w:p w14:paraId="4A6A2F92" w14:textId="3B4B886C" w:rsidR="00C96F62" w:rsidRPr="00713331" w:rsidRDefault="0071400B" w:rsidP="00713331">
            <w:pPr>
              <w:pStyle w:val="Numberednormal"/>
              <w:numPr>
                <w:ilvl w:val="0"/>
                <w:numId w:val="0"/>
              </w:numPr>
            </w:pPr>
            <w:r>
              <w:t xml:space="preserve">Part </w:t>
            </w:r>
          </w:p>
        </w:tc>
        <w:tc>
          <w:tcPr>
            <w:tcW w:w="3622" w:type="dxa"/>
            <w:shd w:val="clear" w:color="auto" w:fill="D9D9D9" w:themeFill="background1" w:themeFillShade="D9"/>
          </w:tcPr>
          <w:p w14:paraId="03FB3832" w14:textId="3C73545D" w:rsidR="00C96F62" w:rsidRPr="00713331" w:rsidRDefault="00C96F62" w:rsidP="00713331">
            <w:pPr>
              <w:pStyle w:val="Numberednormal"/>
              <w:numPr>
                <w:ilvl w:val="0"/>
                <w:numId w:val="0"/>
              </w:numPr>
            </w:pPr>
            <w:r>
              <w:t xml:space="preserve">Subject </w:t>
            </w:r>
          </w:p>
        </w:tc>
        <w:tc>
          <w:tcPr>
            <w:tcW w:w="1982" w:type="dxa"/>
            <w:shd w:val="clear" w:color="auto" w:fill="D9D9D9" w:themeFill="background1" w:themeFillShade="D9"/>
          </w:tcPr>
          <w:p w14:paraId="66AFC662" w14:textId="78CDA336" w:rsidR="00C96F62" w:rsidRPr="00713331" w:rsidRDefault="00C96F62" w:rsidP="00713331">
            <w:pPr>
              <w:pStyle w:val="Numberednormal"/>
              <w:numPr>
                <w:ilvl w:val="0"/>
                <w:numId w:val="0"/>
              </w:numPr>
            </w:pPr>
            <w:r>
              <w:t xml:space="preserve">Template </w:t>
            </w:r>
          </w:p>
        </w:tc>
        <w:tc>
          <w:tcPr>
            <w:tcW w:w="1982" w:type="dxa"/>
            <w:shd w:val="clear" w:color="auto" w:fill="D9D9D9" w:themeFill="background1" w:themeFillShade="D9"/>
          </w:tcPr>
          <w:p w14:paraId="005A8F59" w14:textId="762A3F67" w:rsidR="00C96F62" w:rsidRPr="00713331" w:rsidRDefault="00C96F62" w:rsidP="00713331">
            <w:pPr>
              <w:pStyle w:val="Numberednormal"/>
              <w:numPr>
                <w:ilvl w:val="0"/>
                <w:numId w:val="0"/>
              </w:numPr>
            </w:pPr>
            <w:r>
              <w:t xml:space="preserve">Document with the explanations </w:t>
            </w:r>
          </w:p>
        </w:tc>
      </w:tr>
      <w:tr w:rsidR="00C96F62" w:rsidRPr="00713331" w14:paraId="6CDE4EC7" w14:textId="77777777" w:rsidTr="00336219">
        <w:trPr>
          <w:trHeight w:val="439"/>
        </w:trPr>
        <w:tc>
          <w:tcPr>
            <w:tcW w:w="1116" w:type="dxa"/>
          </w:tcPr>
          <w:p w14:paraId="2317B4B9" w14:textId="23404669" w:rsidR="00C96F62" w:rsidRPr="00713331" w:rsidRDefault="00C96F62" w:rsidP="00713331">
            <w:pPr>
              <w:pStyle w:val="Numberednormal"/>
              <w:numPr>
                <w:ilvl w:val="0"/>
                <w:numId w:val="0"/>
              </w:numPr>
            </w:pPr>
            <w:r>
              <w:t>1</w:t>
            </w:r>
          </w:p>
        </w:tc>
        <w:tc>
          <w:tcPr>
            <w:tcW w:w="3622" w:type="dxa"/>
          </w:tcPr>
          <w:p w14:paraId="50F66EA5" w14:textId="4E738D97" w:rsidR="00C96F62" w:rsidRPr="00713331" w:rsidRDefault="00C96F62" w:rsidP="00713331">
            <w:pPr>
              <w:pStyle w:val="Numberednormal"/>
              <w:numPr>
                <w:ilvl w:val="0"/>
                <w:numId w:val="0"/>
              </w:numPr>
            </w:pPr>
            <w:r>
              <w:t xml:space="preserve">Letter to be sent to the BIPT to apply for an authorisation </w:t>
            </w:r>
          </w:p>
        </w:tc>
        <w:tc>
          <w:tcPr>
            <w:tcW w:w="1982" w:type="dxa"/>
          </w:tcPr>
          <w:p w14:paraId="5F7CD7E0" w14:textId="0CBA769F" w:rsidR="00C96F62" w:rsidRPr="00713331" w:rsidRDefault="00C96F62" w:rsidP="00713331">
            <w:pPr>
              <w:pStyle w:val="Numberednormal"/>
              <w:numPr>
                <w:ilvl w:val="0"/>
                <w:numId w:val="0"/>
              </w:numPr>
            </w:pPr>
            <w:r>
              <w:t>No</w:t>
            </w:r>
          </w:p>
        </w:tc>
        <w:tc>
          <w:tcPr>
            <w:tcW w:w="1982" w:type="dxa"/>
          </w:tcPr>
          <w:p w14:paraId="53728ED4" w14:textId="3B762EFF" w:rsidR="00C96F62" w:rsidRPr="00713331" w:rsidRDefault="00C96F62" w:rsidP="00713331">
            <w:pPr>
              <w:pStyle w:val="Numberednormal"/>
              <w:numPr>
                <w:ilvl w:val="0"/>
                <w:numId w:val="0"/>
              </w:numPr>
            </w:pPr>
            <w:r>
              <w:t xml:space="preserve">Yes  </w:t>
            </w:r>
          </w:p>
        </w:tc>
      </w:tr>
      <w:tr w:rsidR="00C96F62" w:rsidRPr="00713331" w14:paraId="6F44A829" w14:textId="77777777" w:rsidTr="00171915">
        <w:trPr>
          <w:trHeight w:val="141"/>
        </w:trPr>
        <w:tc>
          <w:tcPr>
            <w:tcW w:w="1116" w:type="dxa"/>
          </w:tcPr>
          <w:p w14:paraId="27811A7C" w14:textId="4DEDEAC8" w:rsidR="00C96F62" w:rsidRPr="00713331" w:rsidRDefault="00C96F62" w:rsidP="00713331">
            <w:pPr>
              <w:pStyle w:val="Numberednormal"/>
              <w:numPr>
                <w:ilvl w:val="0"/>
                <w:numId w:val="0"/>
              </w:numPr>
            </w:pPr>
            <w:r>
              <w:t>2</w:t>
            </w:r>
          </w:p>
        </w:tc>
        <w:tc>
          <w:tcPr>
            <w:tcW w:w="3622" w:type="dxa"/>
          </w:tcPr>
          <w:p w14:paraId="220464E9" w14:textId="4685827E" w:rsidR="00C96F62" w:rsidRPr="00713331" w:rsidRDefault="00C96F62" w:rsidP="00713331">
            <w:pPr>
              <w:pStyle w:val="Numberednormal"/>
              <w:numPr>
                <w:ilvl w:val="0"/>
                <w:numId w:val="0"/>
              </w:numPr>
            </w:pPr>
            <w:r>
              <w:t>Inventory of the annexes to this letter</w:t>
            </w:r>
          </w:p>
        </w:tc>
        <w:tc>
          <w:tcPr>
            <w:tcW w:w="1982" w:type="dxa"/>
          </w:tcPr>
          <w:p w14:paraId="1EE1D9FF" w14:textId="68ED5493" w:rsidR="00C96F62" w:rsidRPr="00713331" w:rsidRDefault="00C96F62" w:rsidP="00713331">
            <w:pPr>
              <w:pStyle w:val="Numberednormal"/>
              <w:numPr>
                <w:ilvl w:val="0"/>
                <w:numId w:val="0"/>
              </w:numPr>
            </w:pPr>
            <w:r>
              <w:t>Yes</w:t>
            </w:r>
          </w:p>
        </w:tc>
        <w:tc>
          <w:tcPr>
            <w:tcW w:w="1982" w:type="dxa"/>
          </w:tcPr>
          <w:p w14:paraId="5974C209" w14:textId="73D27067" w:rsidR="00C96F62" w:rsidRPr="00713331" w:rsidRDefault="00C96F62" w:rsidP="00713331">
            <w:pPr>
              <w:pStyle w:val="Numberednormal"/>
              <w:numPr>
                <w:ilvl w:val="0"/>
                <w:numId w:val="0"/>
              </w:numPr>
            </w:pPr>
            <w:r>
              <w:t>Yes</w:t>
            </w:r>
          </w:p>
        </w:tc>
      </w:tr>
      <w:tr w:rsidR="00C96F62" w:rsidRPr="00713331" w14:paraId="35146034" w14:textId="77777777" w:rsidTr="00945B3F">
        <w:tc>
          <w:tcPr>
            <w:tcW w:w="1116" w:type="dxa"/>
          </w:tcPr>
          <w:p w14:paraId="37F42561" w14:textId="0A0958F9" w:rsidR="00C96F62" w:rsidRPr="00713331" w:rsidRDefault="00C96F62" w:rsidP="00713331">
            <w:pPr>
              <w:pStyle w:val="Numberednormal"/>
              <w:numPr>
                <w:ilvl w:val="0"/>
                <w:numId w:val="0"/>
              </w:numPr>
            </w:pPr>
            <w:r>
              <w:t>3</w:t>
            </w:r>
          </w:p>
        </w:tc>
        <w:tc>
          <w:tcPr>
            <w:tcW w:w="3622" w:type="dxa"/>
          </w:tcPr>
          <w:p w14:paraId="206DEF04" w14:textId="289B05CE" w:rsidR="00C96F62" w:rsidRPr="00713331" w:rsidRDefault="00C96F62" w:rsidP="00713331">
            <w:pPr>
              <w:pStyle w:val="Numberednormal"/>
              <w:numPr>
                <w:ilvl w:val="0"/>
                <w:numId w:val="0"/>
              </w:numPr>
            </w:pPr>
            <w:r>
              <w:t xml:space="preserve">Contact details of the points of contact of the applicant </w:t>
            </w:r>
          </w:p>
        </w:tc>
        <w:tc>
          <w:tcPr>
            <w:tcW w:w="1982" w:type="dxa"/>
          </w:tcPr>
          <w:p w14:paraId="2C4AD713" w14:textId="749A23BE" w:rsidR="00C96F62" w:rsidRPr="00713331" w:rsidRDefault="00C96F62" w:rsidP="00713331">
            <w:pPr>
              <w:pStyle w:val="Numberednormal"/>
              <w:numPr>
                <w:ilvl w:val="0"/>
                <w:numId w:val="0"/>
              </w:numPr>
            </w:pPr>
            <w:r>
              <w:t xml:space="preserve">Yes </w:t>
            </w:r>
          </w:p>
        </w:tc>
        <w:tc>
          <w:tcPr>
            <w:tcW w:w="1982" w:type="dxa"/>
          </w:tcPr>
          <w:p w14:paraId="4E29CFC4" w14:textId="03A794EE" w:rsidR="00C96F62" w:rsidRPr="00713331" w:rsidRDefault="00C96F62" w:rsidP="00713331">
            <w:pPr>
              <w:pStyle w:val="Numberednormal"/>
              <w:numPr>
                <w:ilvl w:val="0"/>
                <w:numId w:val="0"/>
              </w:numPr>
            </w:pPr>
            <w:r>
              <w:t xml:space="preserve">No </w:t>
            </w:r>
          </w:p>
        </w:tc>
      </w:tr>
      <w:tr w:rsidR="00C96F62" w:rsidRPr="00713331" w14:paraId="1B5850E1" w14:textId="77777777" w:rsidTr="00945B3F">
        <w:tc>
          <w:tcPr>
            <w:tcW w:w="1116" w:type="dxa"/>
          </w:tcPr>
          <w:p w14:paraId="6C681FA9" w14:textId="4046188A" w:rsidR="00C96F62" w:rsidRPr="00713331" w:rsidRDefault="00C96F62" w:rsidP="00713331">
            <w:pPr>
              <w:pStyle w:val="Numberednormal"/>
              <w:numPr>
                <w:ilvl w:val="0"/>
                <w:numId w:val="0"/>
              </w:numPr>
            </w:pPr>
            <w:r>
              <w:t>4</w:t>
            </w:r>
          </w:p>
        </w:tc>
        <w:tc>
          <w:tcPr>
            <w:tcW w:w="3622" w:type="dxa"/>
          </w:tcPr>
          <w:p w14:paraId="5C131C79" w14:textId="346EEBC1" w:rsidR="00C96F62" w:rsidRPr="00713331" w:rsidRDefault="00C96F62" w:rsidP="00713331">
            <w:pPr>
              <w:pStyle w:val="Numberednormal"/>
              <w:numPr>
                <w:ilvl w:val="0"/>
                <w:numId w:val="0"/>
              </w:numPr>
            </w:pPr>
            <w:r>
              <w:t>Characteristics of the network elements subject to the application </w:t>
            </w:r>
          </w:p>
        </w:tc>
        <w:tc>
          <w:tcPr>
            <w:tcW w:w="1982" w:type="dxa"/>
          </w:tcPr>
          <w:p w14:paraId="71938583" w14:textId="054234B9" w:rsidR="00C96F62" w:rsidRPr="00713331" w:rsidRDefault="00C96F62" w:rsidP="00713331">
            <w:pPr>
              <w:pStyle w:val="Numberednormal"/>
              <w:numPr>
                <w:ilvl w:val="0"/>
                <w:numId w:val="0"/>
              </w:numPr>
            </w:pPr>
            <w:r>
              <w:t xml:space="preserve">Yes (network element sheet) </w:t>
            </w:r>
          </w:p>
        </w:tc>
        <w:tc>
          <w:tcPr>
            <w:tcW w:w="1982" w:type="dxa"/>
          </w:tcPr>
          <w:p w14:paraId="4375DAD1" w14:textId="3B7D5972" w:rsidR="00C96F62" w:rsidRPr="00713331" w:rsidRDefault="00C96F62" w:rsidP="00713331">
            <w:pPr>
              <w:pStyle w:val="Numberednormal"/>
              <w:numPr>
                <w:ilvl w:val="0"/>
                <w:numId w:val="0"/>
              </w:numPr>
            </w:pPr>
            <w:r>
              <w:t xml:space="preserve">Yes </w:t>
            </w:r>
          </w:p>
        </w:tc>
      </w:tr>
      <w:tr w:rsidR="00614144" w:rsidRPr="00713331" w14:paraId="6491BCD5" w14:textId="77777777" w:rsidTr="00945B3F">
        <w:tc>
          <w:tcPr>
            <w:tcW w:w="1116" w:type="dxa"/>
          </w:tcPr>
          <w:p w14:paraId="66591AB8" w14:textId="4606235A" w:rsidR="00614144" w:rsidRPr="00713331" w:rsidRDefault="00614144" w:rsidP="00713331">
            <w:pPr>
              <w:pStyle w:val="Numberednormal"/>
              <w:numPr>
                <w:ilvl w:val="0"/>
                <w:numId w:val="0"/>
              </w:numPr>
            </w:pPr>
            <w:r>
              <w:t>5</w:t>
            </w:r>
          </w:p>
        </w:tc>
        <w:tc>
          <w:tcPr>
            <w:tcW w:w="3622" w:type="dxa"/>
          </w:tcPr>
          <w:p w14:paraId="0362E488" w14:textId="6650C77D" w:rsidR="00614144" w:rsidRPr="00713331" w:rsidRDefault="00614144" w:rsidP="00713331">
            <w:pPr>
              <w:pStyle w:val="Numberednormal"/>
              <w:numPr>
                <w:ilvl w:val="0"/>
                <w:numId w:val="0"/>
              </w:numPr>
            </w:pPr>
            <w:r>
              <w:t xml:space="preserve">Information on the providers </w:t>
            </w:r>
          </w:p>
        </w:tc>
        <w:tc>
          <w:tcPr>
            <w:tcW w:w="1982" w:type="dxa"/>
          </w:tcPr>
          <w:p w14:paraId="03E5E72A" w14:textId="7D7C89AD" w:rsidR="00614144" w:rsidRPr="00713331" w:rsidRDefault="00614144" w:rsidP="00713331">
            <w:pPr>
              <w:pStyle w:val="Numberednormal"/>
              <w:numPr>
                <w:ilvl w:val="0"/>
                <w:numId w:val="0"/>
              </w:numPr>
            </w:pPr>
            <w:r>
              <w:t>Yes (provider sheet)</w:t>
            </w:r>
          </w:p>
        </w:tc>
        <w:tc>
          <w:tcPr>
            <w:tcW w:w="1982" w:type="dxa"/>
          </w:tcPr>
          <w:p w14:paraId="25E1DAC0" w14:textId="2C4AC699" w:rsidR="00614144" w:rsidRPr="00713331" w:rsidRDefault="00614144" w:rsidP="00713331">
            <w:pPr>
              <w:pStyle w:val="Numberednormal"/>
              <w:numPr>
                <w:ilvl w:val="0"/>
                <w:numId w:val="0"/>
              </w:numPr>
            </w:pPr>
            <w:r>
              <w:t xml:space="preserve">Yes </w:t>
            </w:r>
          </w:p>
        </w:tc>
      </w:tr>
    </w:tbl>
    <w:p w14:paraId="57BC1060" w14:textId="50BF4B42" w:rsidR="002624FF" w:rsidRPr="00713331" w:rsidRDefault="002624FF" w:rsidP="00713331">
      <w:pPr>
        <w:pStyle w:val="Numberednormal"/>
      </w:pPr>
      <w:r>
        <w:t xml:space="preserve">The file to be provided to the BIPT: </w:t>
      </w:r>
    </w:p>
    <w:p w14:paraId="0848AB22" w14:textId="44DBEFFF" w:rsidR="004B3C39" w:rsidRPr="00713331" w:rsidRDefault="004B3C39" w:rsidP="00713331">
      <w:pPr>
        <w:pStyle w:val="Numberednormal"/>
        <w:numPr>
          <w:ilvl w:val="1"/>
          <w:numId w:val="15"/>
        </w:numPr>
      </w:pPr>
      <w:r>
        <w:t xml:space="preserve">shall include at least </w:t>
      </w:r>
      <w:r w:rsidR="0038548B">
        <w:t>parts</w:t>
      </w:r>
      <w:r>
        <w:t xml:space="preserve"> 1 to 5 duly completed; due to the formal nature of the application, the applicant is invited to fill </w:t>
      </w:r>
      <w:r w:rsidR="0038548B">
        <w:t>parts</w:t>
      </w:r>
      <w:r>
        <w:t> 1 and 2 in French</w:t>
      </w:r>
      <w:r w:rsidR="00AB5EEE">
        <w:t>,</w:t>
      </w:r>
      <w:r>
        <w:t xml:space="preserve"> Dutch</w:t>
      </w:r>
      <w:r w:rsidR="00AB5EEE">
        <w:t xml:space="preserve"> or </w:t>
      </w:r>
      <w:proofErr w:type="gramStart"/>
      <w:r w:rsidR="00AB5EEE">
        <w:t>German</w:t>
      </w:r>
      <w:r>
        <w:t>;</w:t>
      </w:r>
      <w:proofErr w:type="gramEnd"/>
      <w:r>
        <w:t xml:space="preserve">  </w:t>
      </w:r>
    </w:p>
    <w:p w14:paraId="128CD84F" w14:textId="4ACC446B" w:rsidR="002624FF" w:rsidRPr="00713331" w:rsidRDefault="004B3C39" w:rsidP="00713331">
      <w:pPr>
        <w:pStyle w:val="Numberednormal"/>
        <w:numPr>
          <w:ilvl w:val="1"/>
          <w:numId w:val="15"/>
        </w:numPr>
      </w:pPr>
      <w:r>
        <w:t xml:space="preserve">may include additional documents, technical explanations which may be written in </w:t>
      </w:r>
      <w:proofErr w:type="gramStart"/>
      <w:r>
        <w:t>English;</w:t>
      </w:r>
      <w:proofErr w:type="gramEnd"/>
      <w:r>
        <w:t xml:space="preserve"> </w:t>
      </w:r>
    </w:p>
    <w:p w14:paraId="07DB0C28" w14:textId="6B896CDC" w:rsidR="002624FF" w:rsidRPr="00713331" w:rsidRDefault="004B3C39" w:rsidP="00713331">
      <w:pPr>
        <w:pStyle w:val="Numberednormal"/>
        <w:numPr>
          <w:ilvl w:val="1"/>
          <w:numId w:val="15"/>
        </w:numPr>
      </w:pPr>
      <w:r>
        <w:t>shall not include the explanation documents (last column of the table)</w:t>
      </w:r>
      <w:r w:rsidR="00294497">
        <w:t xml:space="preserve"> </w:t>
      </w:r>
      <w:r w:rsidR="00294497">
        <w:rPr>
          <w:rFonts w:ascii="Arial" w:hAnsi="Arial" w:cs="Arial"/>
        </w:rPr>
        <w:t xml:space="preserve">unless these explanations are included in the template.  </w:t>
      </w:r>
      <w:r w:rsidR="00294497">
        <w:rPr>
          <w:rFonts w:ascii="Arial" w:hAnsi="Arial" w:cs="Arial"/>
        </w:rPr>
        <w:br/>
      </w:r>
    </w:p>
    <w:p w14:paraId="46A340BA" w14:textId="33F6F8FC" w:rsidR="00614144" w:rsidRPr="00713331" w:rsidRDefault="00614144" w:rsidP="00713331">
      <w:pPr>
        <w:pStyle w:val="Heading2"/>
      </w:pPr>
      <w:bookmarkStart w:id="11" w:name="_Toc127173119"/>
      <w:bookmarkStart w:id="12" w:name="_Toc135085715"/>
      <w:r>
        <w:t>Subject of the application</w:t>
      </w:r>
      <w:bookmarkEnd w:id="11"/>
      <w:bookmarkEnd w:id="12"/>
      <w:r>
        <w:t xml:space="preserve"> </w:t>
      </w:r>
    </w:p>
    <w:p w14:paraId="4209FB39" w14:textId="2F7B99F5" w:rsidR="00614144" w:rsidRPr="00713331" w:rsidRDefault="00614144" w:rsidP="00713331">
      <w:pPr>
        <w:pStyle w:val="Numberednormal"/>
      </w:pPr>
      <w:r>
        <w:t xml:space="preserve">Pursuant to Article 105, § 1, of the Act on electronic communications and Article 8 of the </w:t>
      </w:r>
      <w:r>
        <w:rPr>
          <w:color w:val="000000"/>
        </w:rPr>
        <w:t>Royal Decree authorisation</w:t>
      </w:r>
      <w:r>
        <w:t xml:space="preserve">, an undertaking referred to by the same act shall apply for </w:t>
      </w:r>
      <w:proofErr w:type="gramStart"/>
      <w:r>
        <w:t>a  ministerial</w:t>
      </w:r>
      <w:proofErr w:type="gramEnd"/>
      <w:r>
        <w:t xml:space="preserve"> authorisation </w:t>
      </w:r>
      <w:r w:rsidR="00ED6642">
        <w:t xml:space="preserve">(prior authorisation </w:t>
      </w:r>
      <w:r>
        <w:t>or regularisation</w:t>
      </w:r>
      <w:r w:rsidR="00ED6642">
        <w:t>)</w:t>
      </w:r>
      <w:r>
        <w:t xml:space="preserve">: </w:t>
      </w:r>
    </w:p>
    <w:p w14:paraId="13F79ABE" w14:textId="57B9063D" w:rsidR="00614144" w:rsidRPr="00713331" w:rsidRDefault="00614144" w:rsidP="00713331">
      <w:pPr>
        <w:pStyle w:val="ListParagraph"/>
        <w:numPr>
          <w:ilvl w:val="0"/>
          <w:numId w:val="31"/>
        </w:numPr>
      </w:pPr>
      <w:r>
        <w:rPr>
          <w:color w:val="000000"/>
        </w:rPr>
        <w:t>In order to use a 5G network element, and;   </w:t>
      </w:r>
    </w:p>
    <w:p w14:paraId="1CF8271E" w14:textId="41A7FE2A" w:rsidR="00614144" w:rsidRPr="00713331" w:rsidRDefault="00614144" w:rsidP="00713331">
      <w:pPr>
        <w:pStyle w:val="ListParagraph"/>
        <w:numPr>
          <w:ilvl w:val="0"/>
          <w:numId w:val="31"/>
        </w:numPr>
      </w:pPr>
      <w:r>
        <w:rPr>
          <w:color w:val="000000"/>
        </w:rPr>
        <w:t xml:space="preserve">In order to </w:t>
      </w:r>
      <w:r>
        <w:t>use a service provider for the management and supervision of its 5G network elements, with the exception of using equipment manufacturers providing support services, when this service is included in the contract for the provision of network elements (hereafter the service providers).</w:t>
      </w:r>
    </w:p>
    <w:p w14:paraId="7701774C" w14:textId="5F98E2F5" w:rsidR="00614144" w:rsidRPr="00713331" w:rsidRDefault="00614144" w:rsidP="00713331">
      <w:pPr>
        <w:pStyle w:val="Numberednormal"/>
      </w:pPr>
      <w:r>
        <w:t xml:space="preserve">An authorisation application shall relate to both the 5G network elements selected by the applicant, and the service providers for </w:t>
      </w:r>
      <w:r>
        <w:rPr>
          <w:color w:val="000000"/>
        </w:rPr>
        <w:t xml:space="preserve">those network elements. It is therefore not possible to apply for an authorisation for only one network element or for the use of only one service provider. </w:t>
      </w:r>
    </w:p>
    <w:p w14:paraId="0E4A90CE" w14:textId="77777777" w:rsidR="00614144" w:rsidRPr="00713331" w:rsidRDefault="00614144" w:rsidP="00713331">
      <w:pPr>
        <w:pStyle w:val="Numberednormal"/>
        <w:numPr>
          <w:ilvl w:val="0"/>
          <w:numId w:val="0"/>
        </w:numPr>
        <w:ind w:left="360"/>
        <w:rPr>
          <w:szCs w:val="20"/>
        </w:rPr>
      </w:pPr>
    </w:p>
    <w:p w14:paraId="5DA1DB6B" w14:textId="0924A992" w:rsidR="00614144" w:rsidRPr="00713331" w:rsidRDefault="00614144" w:rsidP="00713331">
      <w:pPr>
        <w:pStyle w:val="Numberednormal"/>
      </w:pPr>
      <w:r>
        <w:t xml:space="preserve">However, the applicant may select the 5G network elements subject to the application and may therefore submit: </w:t>
      </w:r>
    </w:p>
    <w:p w14:paraId="256B74A2" w14:textId="0A40827C" w:rsidR="00614144" w:rsidRPr="00713331" w:rsidRDefault="00614144" w:rsidP="00713331">
      <w:pPr>
        <w:pStyle w:val="Numberednormal"/>
        <w:numPr>
          <w:ilvl w:val="0"/>
          <w:numId w:val="25"/>
        </w:numPr>
        <w:ind w:left="360"/>
        <w:rPr>
          <w:szCs w:val="20"/>
        </w:rPr>
      </w:pPr>
      <w:r>
        <w:t>only one file for all of the elements of its 5G network (</w:t>
      </w:r>
      <w:proofErr w:type="gramStart"/>
      <w:r>
        <w:t>i.e.</w:t>
      </w:r>
      <w:proofErr w:type="gramEnd"/>
      <w:r>
        <w:t xml:space="preserve"> for all providers who provide services for these elements); or </w:t>
      </w:r>
    </w:p>
    <w:p w14:paraId="26663FBF" w14:textId="246851A6" w:rsidR="00614144" w:rsidRPr="00713331" w:rsidRDefault="00614144" w:rsidP="00713331">
      <w:pPr>
        <w:pStyle w:val="Numberednormal"/>
        <w:numPr>
          <w:ilvl w:val="0"/>
          <w:numId w:val="25"/>
        </w:numPr>
        <w:ind w:left="360"/>
        <w:rPr>
          <w:szCs w:val="20"/>
        </w:rPr>
      </w:pPr>
      <w:r>
        <w:t xml:space="preserve">several files, each file being limited to the network elements selected by the applicant (and therefore also only covers </w:t>
      </w:r>
      <w:proofErr w:type="gramStart"/>
      <w:r>
        <w:t>the  providers</w:t>
      </w:r>
      <w:proofErr w:type="gramEnd"/>
      <w:r>
        <w:t xml:space="preserve"> who provide services for these elements). </w:t>
      </w:r>
    </w:p>
    <w:p w14:paraId="07118537" w14:textId="2C783346" w:rsidR="00E814AB" w:rsidRPr="00713331" w:rsidRDefault="00E814AB" w:rsidP="00713331">
      <w:pPr>
        <w:pStyle w:val="Numberednormal"/>
        <w:numPr>
          <w:ilvl w:val="0"/>
          <w:numId w:val="0"/>
        </w:numPr>
        <w:ind w:left="360" w:hanging="360"/>
        <w:rPr>
          <w:szCs w:val="20"/>
        </w:rPr>
      </w:pPr>
    </w:p>
    <w:p w14:paraId="1A53DEB9" w14:textId="6A83D31A" w:rsidR="00E814AB" w:rsidRPr="00713331" w:rsidRDefault="00E814AB" w:rsidP="00713331">
      <w:pPr>
        <w:pStyle w:val="Numberednormal"/>
        <w:numPr>
          <w:ilvl w:val="0"/>
          <w:numId w:val="6"/>
        </w:numPr>
        <w:rPr>
          <w:szCs w:val="20"/>
        </w:rPr>
      </w:pPr>
      <w:r>
        <w:t>In both scenarios in paragraph </w:t>
      </w:r>
      <w:r w:rsidRPr="00713331">
        <w:fldChar w:fldCharType="begin"/>
      </w:r>
      <w:r w:rsidRPr="00713331">
        <w:instrText xml:space="preserve"> REF _Ref132796640 \r \h </w:instrText>
      </w:r>
      <w:r w:rsidR="00631944" w:rsidRPr="00713331">
        <w:instrText xml:space="preserve"> \* MERGEFORMAT </w:instrText>
      </w:r>
      <w:r w:rsidRPr="00713331">
        <w:fldChar w:fldCharType="separate"/>
      </w:r>
      <w:r w:rsidRPr="00713331">
        <w:t>20</w:t>
      </w:r>
      <w:r w:rsidRPr="00713331">
        <w:fldChar w:fldCharType="end"/>
      </w:r>
      <w:r>
        <w:t xml:space="preserve">, </w:t>
      </w:r>
      <w:r w:rsidR="00AB5EEE">
        <w:t>parts</w:t>
      </w:r>
      <w:r>
        <w:t xml:space="preserve"> 4 and 5 must be attached to the file. </w:t>
      </w:r>
    </w:p>
    <w:p w14:paraId="3BA85482" w14:textId="77777777" w:rsidR="00614144" w:rsidRPr="00713331" w:rsidRDefault="00614144" w:rsidP="00713331">
      <w:pPr>
        <w:pStyle w:val="Numberednormal"/>
        <w:numPr>
          <w:ilvl w:val="0"/>
          <w:numId w:val="0"/>
        </w:numPr>
        <w:ind w:left="360"/>
        <w:rPr>
          <w:szCs w:val="20"/>
        </w:rPr>
      </w:pPr>
      <w:r>
        <w:t xml:space="preserve">  </w:t>
      </w:r>
    </w:p>
    <w:p w14:paraId="43BEDC10" w14:textId="4F265871" w:rsidR="00614144" w:rsidRPr="00713331" w:rsidRDefault="00614144" w:rsidP="00713331">
      <w:pPr>
        <w:pStyle w:val="Numberednormal"/>
      </w:pPr>
      <w:r>
        <w:lastRenderedPageBreak/>
        <w:t>In th</w:t>
      </w:r>
      <w:r w:rsidR="00613737">
        <w:t>e</w:t>
      </w:r>
      <w:r>
        <w:t xml:space="preserve"> second scenario, the applicant shall comply with the following obligations from Article 105 of the Act on electronic communications: </w:t>
      </w:r>
    </w:p>
    <w:p w14:paraId="0C0D2DAE" w14:textId="7E30CB97" w:rsidR="00614144" w:rsidRPr="00713331" w:rsidRDefault="00614144" w:rsidP="00713331">
      <w:pPr>
        <w:pStyle w:val="ListParagraph"/>
      </w:pPr>
      <w:r>
        <w:t xml:space="preserve">In the context of a prior authorisation, it must receive the authorision </w:t>
      </w:r>
      <w:r>
        <w:rPr>
          <w:u w:val="single"/>
        </w:rPr>
        <w:t>before</w:t>
      </w:r>
      <w:r>
        <w:t xml:space="preserve"> using a network element or a service provider; </w:t>
      </w:r>
    </w:p>
    <w:p w14:paraId="63DF4102" w14:textId="1889C09C" w:rsidR="00E814AB" w:rsidRPr="00713331" w:rsidRDefault="00614144" w:rsidP="00713331">
      <w:pPr>
        <w:pStyle w:val="ListParagraph"/>
        <w:rPr>
          <w:rFonts w:eastAsia="Times New Roman" w:cs="Tahoma"/>
        </w:rPr>
      </w:pPr>
      <w:r>
        <w:t>In the context of a regularisation</w:t>
      </w:r>
      <w:r w:rsidR="00835DF7">
        <w:t xml:space="preserve"> application</w:t>
      </w:r>
      <w:r>
        <w:t xml:space="preserve">, it shall apply for an authorisation for all network elements or for all service providers for these elements </w:t>
      </w:r>
      <w:r>
        <w:rPr>
          <w:u w:val="single"/>
        </w:rPr>
        <w:t>at the latest within two months</w:t>
      </w:r>
      <w:r>
        <w:t xml:space="preserve"> following the entry into force of the </w:t>
      </w:r>
      <w:r>
        <w:rPr>
          <w:color w:val="000000"/>
        </w:rPr>
        <w:t>Royal Decree on the ministerial authorisation</w:t>
      </w:r>
      <w:r>
        <w:rPr>
          <w:color w:val="1E1E1C"/>
        </w:rPr>
        <w:t xml:space="preserve">. </w:t>
      </w:r>
    </w:p>
    <w:p w14:paraId="536E178C" w14:textId="77777777" w:rsidR="00E814AB" w:rsidRPr="00713331" w:rsidRDefault="00E814AB" w:rsidP="00713331">
      <w:pPr>
        <w:pStyle w:val="Heading2"/>
        <w:numPr>
          <w:ilvl w:val="1"/>
          <w:numId w:val="7"/>
        </w:numPr>
      </w:pPr>
      <w:bookmarkStart w:id="13" w:name="_Toc135085716"/>
      <w:r>
        <w:t xml:space="preserve">Granularity of the network elements for which an individual sheet shall be </w:t>
      </w:r>
      <w:proofErr w:type="gramStart"/>
      <w:r>
        <w:t>created</w:t>
      </w:r>
      <w:bookmarkEnd w:id="13"/>
      <w:proofErr w:type="gramEnd"/>
    </w:p>
    <w:tbl>
      <w:tblPr>
        <w:tblStyle w:val="TableGrid"/>
        <w:tblW w:w="0" w:type="auto"/>
        <w:tblLook w:val="04A0" w:firstRow="1" w:lastRow="0" w:firstColumn="1" w:lastColumn="0" w:noHBand="0" w:noVBand="1"/>
      </w:tblPr>
      <w:tblGrid>
        <w:gridCol w:w="4800"/>
        <w:gridCol w:w="4262"/>
      </w:tblGrid>
      <w:tr w:rsidR="00E814AB" w:rsidRPr="00713331" w14:paraId="2E6BFD60" w14:textId="77777777" w:rsidTr="00DA32B7">
        <w:trPr>
          <w:cantSplit/>
        </w:trPr>
        <w:tc>
          <w:tcPr>
            <w:tcW w:w="4800" w:type="dxa"/>
            <w:shd w:val="clear" w:color="auto" w:fill="D9D9D9" w:themeFill="background1" w:themeFillShade="D9"/>
          </w:tcPr>
          <w:p w14:paraId="571F169F" w14:textId="77777777" w:rsidR="00E814AB" w:rsidRPr="00713331" w:rsidRDefault="00E814AB" w:rsidP="00713331">
            <w:pPr>
              <w:keepNext/>
              <w:autoSpaceDE w:val="0"/>
              <w:autoSpaceDN w:val="0"/>
              <w:adjustRightInd w:val="0"/>
              <w:spacing w:before="20" w:after="20"/>
              <w:rPr>
                <w:rFonts w:cs="Tahoma"/>
                <w:szCs w:val="20"/>
              </w:rPr>
            </w:pPr>
            <w:r>
              <w:lastRenderedPageBreak/>
              <w:t xml:space="preserve">Question from the operators  </w:t>
            </w:r>
          </w:p>
        </w:tc>
        <w:tc>
          <w:tcPr>
            <w:tcW w:w="4262" w:type="dxa"/>
            <w:shd w:val="clear" w:color="auto" w:fill="D9D9D9" w:themeFill="background1" w:themeFillShade="D9"/>
          </w:tcPr>
          <w:p w14:paraId="5EB3AFCC" w14:textId="77777777" w:rsidR="00E814AB" w:rsidRPr="00713331" w:rsidRDefault="00E814AB" w:rsidP="00713331">
            <w:pPr>
              <w:rPr>
                <w:rFonts w:cs="Tahoma"/>
                <w:szCs w:val="20"/>
              </w:rPr>
            </w:pPr>
            <w:r>
              <w:t xml:space="preserve">Analysis </w:t>
            </w:r>
          </w:p>
        </w:tc>
      </w:tr>
      <w:tr w:rsidR="00E814AB" w:rsidRPr="00713331" w14:paraId="6156049F" w14:textId="77777777" w:rsidTr="00DA32B7">
        <w:trPr>
          <w:cantSplit/>
          <w:trHeight w:val="2696"/>
        </w:trPr>
        <w:tc>
          <w:tcPr>
            <w:tcW w:w="4800" w:type="dxa"/>
          </w:tcPr>
          <w:p w14:paraId="7FE424A9" w14:textId="77777777" w:rsidR="00E814AB" w:rsidRPr="00713331" w:rsidRDefault="00E814AB" w:rsidP="00713331">
            <w:pPr>
              <w:keepNext/>
              <w:autoSpaceDE w:val="0"/>
              <w:autoSpaceDN w:val="0"/>
              <w:adjustRightInd w:val="0"/>
              <w:spacing w:before="20" w:after="20"/>
              <w:rPr>
                <w:rFonts w:cs="Tahoma"/>
                <w:szCs w:val="20"/>
                <w:u w:val="single"/>
              </w:rPr>
            </w:pPr>
            <w:r>
              <w:rPr>
                <w:u w:val="single"/>
              </w:rPr>
              <w:t xml:space="preserve">Operator X </w:t>
            </w:r>
          </w:p>
          <w:p w14:paraId="6E5F70F6" w14:textId="77777777" w:rsidR="00E814AB" w:rsidRPr="00713331" w:rsidRDefault="00E814AB" w:rsidP="00713331">
            <w:pPr>
              <w:keepNext/>
              <w:autoSpaceDE w:val="0"/>
              <w:autoSpaceDN w:val="0"/>
              <w:adjustRightInd w:val="0"/>
              <w:spacing w:before="20" w:after="20"/>
              <w:rPr>
                <w:rFonts w:cs="Tahoma"/>
                <w:szCs w:val="20"/>
              </w:rPr>
            </w:pPr>
            <w:proofErr w:type="gramStart"/>
            <w:r>
              <w:t>First of all</w:t>
            </w:r>
            <w:proofErr w:type="gramEnd"/>
            <w:r>
              <w:t xml:space="preserve">, we would like to underline the need to obtain more clarity on what constitutes a “5G network element” as this term is not defined in the (draft) Royal Decree concerning the ministerial authorization. </w:t>
            </w:r>
            <w:proofErr w:type="gramStart"/>
            <w:r>
              <w:t>In particular for</w:t>
            </w:r>
            <w:proofErr w:type="gramEnd"/>
            <w:r>
              <w:t xml:space="preserve"> the RAN network, it is not clear which granularity is expected. For example: in case of a base station, there are by default 15-20 modules inside the base station. Should we request an authorization for all these modules? We call upon BIPT to provide concrete guidelines which are pragmatic whilst avoiding that authorizations need to be applied for individual elements which are going too deep in the network. </w:t>
            </w:r>
          </w:p>
        </w:tc>
        <w:tc>
          <w:tcPr>
            <w:tcW w:w="4262" w:type="dxa"/>
          </w:tcPr>
          <w:p w14:paraId="5E7D7A16" w14:textId="77777777" w:rsidR="00E814AB" w:rsidRPr="00713331" w:rsidRDefault="00E814AB" w:rsidP="00713331">
            <w:pPr>
              <w:rPr>
                <w:rFonts w:cs="Tahoma"/>
                <w:szCs w:val="20"/>
              </w:rPr>
            </w:pPr>
            <w:r>
              <w:rPr>
                <w:color w:val="000000"/>
              </w:rPr>
              <w:t>Article 105, § 1, subparagraph 3, 2°, of the Act of 13 June 2005 on electronic communications defines a 5G network as follows: “an electronic communications network with a radio access network based on a radio interface specified in Recommendation ITU-R M.2150 of the International Telecommunications Union.” (Free translation)</w:t>
            </w:r>
          </w:p>
          <w:p w14:paraId="0EC18D6A" w14:textId="77777777" w:rsidR="00E814AB" w:rsidRPr="00713331" w:rsidRDefault="00E814AB" w:rsidP="00713331">
            <w:pPr>
              <w:rPr>
                <w:rFonts w:cs="Tahoma"/>
                <w:szCs w:val="20"/>
              </w:rPr>
            </w:pPr>
          </w:p>
          <w:p w14:paraId="325AD2CE" w14:textId="77777777" w:rsidR="00E814AB" w:rsidRPr="00713331" w:rsidRDefault="00E814AB" w:rsidP="00713331">
            <w:pPr>
              <w:rPr>
                <w:rFonts w:cs="Tahoma"/>
                <w:szCs w:val="20"/>
              </w:rPr>
            </w:pPr>
            <w:r>
              <w:t xml:space="preserve">An authorisation must be requested for the 15-20 base station modules, except for modules which would not be related to the provision of a 5G network or service. </w:t>
            </w:r>
          </w:p>
        </w:tc>
      </w:tr>
      <w:tr w:rsidR="00E814AB" w:rsidRPr="00713331" w14:paraId="2A63A4F4" w14:textId="77777777" w:rsidTr="00DA32B7">
        <w:trPr>
          <w:cantSplit/>
        </w:trPr>
        <w:tc>
          <w:tcPr>
            <w:tcW w:w="4800" w:type="dxa"/>
          </w:tcPr>
          <w:p w14:paraId="3BFC3528" w14:textId="77777777" w:rsidR="00E814AB" w:rsidRPr="00713331" w:rsidRDefault="00E814AB" w:rsidP="00713331">
            <w:pPr>
              <w:keepNext/>
              <w:autoSpaceDE w:val="0"/>
              <w:autoSpaceDN w:val="0"/>
              <w:adjustRightInd w:val="0"/>
              <w:spacing w:before="20" w:after="20"/>
              <w:rPr>
                <w:rFonts w:cs="Tahoma"/>
                <w:b/>
                <w:bCs/>
                <w:szCs w:val="20"/>
                <w:u w:val="single"/>
              </w:rPr>
            </w:pPr>
            <w:r>
              <w:rPr>
                <w:b/>
                <w:u w:val="single"/>
              </w:rPr>
              <w:t>Operator X</w:t>
            </w:r>
          </w:p>
          <w:p w14:paraId="559020DD" w14:textId="77777777" w:rsidR="00E814AB" w:rsidRPr="00713331" w:rsidRDefault="00E814AB" w:rsidP="00713331">
            <w:pPr>
              <w:pStyle w:val="Numberednormal"/>
              <w:numPr>
                <w:ilvl w:val="1"/>
                <w:numId w:val="48"/>
              </w:numPr>
              <w:ind w:left="360"/>
              <w:rPr>
                <w:rFonts w:cs="Tahoma"/>
                <w:iCs/>
                <w:szCs w:val="20"/>
              </w:rPr>
            </w:pPr>
            <w:r>
              <w:t xml:space="preserve">According to Article 10, § 1, of the Royal Decree, the operator shall include, </w:t>
            </w:r>
            <w:r>
              <w:rPr>
                <w:b/>
                <w:i/>
                <w:u w:val="single"/>
              </w:rPr>
              <w:t>for all the active elements relevant for the provision of 5G services</w:t>
            </w:r>
            <w:r>
              <w:rPr>
                <w:i/>
              </w:rPr>
              <w:t>, at least the following elements</w:t>
            </w:r>
            <w:r>
              <w:t>:</w:t>
            </w:r>
          </w:p>
          <w:p w14:paraId="15499641" w14:textId="77777777" w:rsidR="00E814AB" w:rsidRPr="00713331" w:rsidRDefault="00E814AB" w:rsidP="00713331">
            <w:pPr>
              <w:pStyle w:val="ListParagraph"/>
              <w:keepLines w:val="0"/>
              <w:numPr>
                <w:ilvl w:val="2"/>
                <w:numId w:val="48"/>
              </w:numPr>
              <w:spacing w:line="256" w:lineRule="auto"/>
              <w:ind w:left="1080"/>
              <w:jc w:val="left"/>
              <w:rPr>
                <w:rFonts w:cs="Tahoma"/>
                <w:iCs/>
              </w:rPr>
            </w:pPr>
            <w:bookmarkStart w:id="14" w:name="_Hlk123733129"/>
            <w:r>
              <w:t xml:space="preserve">1° the identity of the legal persons managing and supervising these various elements or to whom the undertaking concerned will assign these operations when these legal persons are different from the applicant;    </w:t>
            </w:r>
          </w:p>
          <w:p w14:paraId="4315F888" w14:textId="77777777" w:rsidR="00E814AB" w:rsidRPr="00713331" w:rsidRDefault="00E814AB" w:rsidP="00713331">
            <w:pPr>
              <w:pStyle w:val="ListParagraph"/>
              <w:keepLines w:val="0"/>
              <w:numPr>
                <w:ilvl w:val="2"/>
                <w:numId w:val="48"/>
              </w:numPr>
              <w:spacing w:line="256" w:lineRule="auto"/>
              <w:ind w:left="1080"/>
              <w:jc w:val="left"/>
              <w:rPr>
                <w:rFonts w:cs="Tahoma"/>
                <w:iCs/>
              </w:rPr>
            </w:pPr>
            <w:r>
              <w:t xml:space="preserve">2° the identity of the equipment manufacturers who make the active elements referred to in 17;  </w:t>
            </w:r>
          </w:p>
          <w:p w14:paraId="3CEC46BC" w14:textId="77777777" w:rsidR="00E814AB" w:rsidRPr="00713331" w:rsidRDefault="00E814AB" w:rsidP="00713331">
            <w:pPr>
              <w:pStyle w:val="ListParagraph"/>
              <w:keepLines w:val="0"/>
              <w:numPr>
                <w:ilvl w:val="2"/>
                <w:numId w:val="48"/>
              </w:numPr>
              <w:spacing w:line="256" w:lineRule="auto"/>
              <w:ind w:left="1080"/>
              <w:jc w:val="left"/>
              <w:rPr>
                <w:rFonts w:cs="Tahoma"/>
                <w:iCs/>
              </w:rPr>
            </w:pPr>
            <w:r>
              <w:t xml:space="preserve">3° a description of the active elements it wishes to use (application for a prior authorisation) or uses (regularisation application), by distinguishing between the radio access network, the backbone of the transport network, the backhaul of the transport network and the central part of the network. </w:t>
            </w:r>
          </w:p>
          <w:p w14:paraId="4F625F28" w14:textId="77777777" w:rsidR="00E814AB" w:rsidRPr="00713331" w:rsidRDefault="00E814AB" w:rsidP="00713331">
            <w:pPr>
              <w:pStyle w:val="ListParagraph"/>
              <w:ind w:left="0"/>
              <w:rPr>
                <w:rFonts w:cs="Tahoma"/>
                <w:iCs/>
              </w:rPr>
            </w:pPr>
          </w:p>
          <w:bookmarkEnd w:id="14"/>
          <w:p w14:paraId="0BE9589A" w14:textId="77777777" w:rsidR="00E814AB" w:rsidRPr="00713331" w:rsidRDefault="00E814AB" w:rsidP="00713331">
            <w:pPr>
              <w:pStyle w:val="ListParagraph"/>
              <w:keepLines w:val="0"/>
              <w:numPr>
                <w:ilvl w:val="1"/>
                <w:numId w:val="48"/>
              </w:numPr>
              <w:spacing w:line="256" w:lineRule="auto"/>
              <w:ind w:left="360"/>
              <w:jc w:val="left"/>
              <w:rPr>
                <w:rFonts w:cs="Tahoma"/>
                <w:b/>
                <w:bCs/>
                <w:u w:val="single"/>
              </w:rPr>
            </w:pPr>
            <w:r>
              <w:t>However, the concept of “active elements relevant for the provision of 5G services” is not defined clearly anywhere. It is not clear at which level of component, or set of components, an individual sheet must be created.</w:t>
            </w:r>
          </w:p>
        </w:tc>
        <w:tc>
          <w:tcPr>
            <w:tcW w:w="4262" w:type="dxa"/>
          </w:tcPr>
          <w:p w14:paraId="11F8C1F9" w14:textId="77777777" w:rsidR="00E814AB" w:rsidRPr="00713331" w:rsidRDefault="00E814AB" w:rsidP="00713331">
            <w:pPr>
              <w:rPr>
                <w:rFonts w:cs="Tahoma"/>
                <w:szCs w:val="20"/>
              </w:rPr>
            </w:pPr>
          </w:p>
          <w:p w14:paraId="0F361F83" w14:textId="77777777" w:rsidR="00E814AB" w:rsidRPr="00713331" w:rsidRDefault="00E814AB" w:rsidP="00713331">
            <w:pPr>
              <w:rPr>
                <w:rFonts w:cs="Tahoma"/>
                <w:szCs w:val="20"/>
              </w:rPr>
            </w:pPr>
          </w:p>
        </w:tc>
      </w:tr>
      <w:tr w:rsidR="00E814AB" w:rsidRPr="00713331" w14:paraId="79E0CC78" w14:textId="77777777" w:rsidTr="00DA32B7">
        <w:trPr>
          <w:cantSplit/>
        </w:trPr>
        <w:tc>
          <w:tcPr>
            <w:tcW w:w="4800" w:type="dxa"/>
          </w:tcPr>
          <w:p w14:paraId="4BBBFF9A" w14:textId="77777777" w:rsidR="00E814AB" w:rsidRPr="00713331" w:rsidRDefault="00E814AB" w:rsidP="00713331">
            <w:pPr>
              <w:pStyle w:val="ListParagraph"/>
              <w:ind w:left="360"/>
              <w:rPr>
                <w:rFonts w:cs="Tahoma"/>
                <w:iCs/>
              </w:rPr>
            </w:pPr>
            <w:r>
              <w:lastRenderedPageBreak/>
              <w:t>As an example, a typical 5G base station belonging to the radio access network is functionally composed of four basic elements: antenna - radio (transmitter/receiver) - baseband unit - power supply.</w:t>
            </w:r>
          </w:p>
          <w:p w14:paraId="0649A46B" w14:textId="77777777" w:rsidR="00E814AB" w:rsidRPr="00713331" w:rsidRDefault="00E814AB" w:rsidP="00713331">
            <w:pPr>
              <w:pStyle w:val="ListParagraph"/>
              <w:ind w:left="360"/>
              <w:rPr>
                <w:rFonts w:cs="Tahoma"/>
                <w:iCs/>
              </w:rPr>
            </w:pPr>
            <w:r>
              <w:t xml:space="preserve">Each of these elements consists of a number of various modules (e.g. a typical base station may include fifteen (or more) various active modules, with potentially a different combination for each base station). </w:t>
            </w:r>
          </w:p>
          <w:p w14:paraId="6482FF0B" w14:textId="77777777" w:rsidR="00E814AB" w:rsidRPr="00713331" w:rsidRDefault="00E814AB" w:rsidP="00713331">
            <w:pPr>
              <w:pStyle w:val="ListParagraph"/>
              <w:ind w:left="360"/>
              <w:rPr>
                <w:rFonts w:cs="Tahoma"/>
                <w:b/>
                <w:bCs/>
                <w:u w:val="single"/>
              </w:rPr>
            </w:pPr>
            <w:r>
              <w:t>This example illustrates the radio access network, but the situation is similar for the active network elements in the other parts of the 5G network.</w:t>
            </w:r>
          </w:p>
        </w:tc>
        <w:tc>
          <w:tcPr>
            <w:tcW w:w="4262" w:type="dxa"/>
          </w:tcPr>
          <w:p w14:paraId="107F2CA7" w14:textId="77777777" w:rsidR="00E814AB" w:rsidRPr="00713331" w:rsidRDefault="00E814AB" w:rsidP="00713331">
            <w:pPr>
              <w:rPr>
                <w:rFonts w:cs="Tahoma"/>
                <w:szCs w:val="20"/>
              </w:rPr>
            </w:pPr>
          </w:p>
        </w:tc>
      </w:tr>
      <w:tr w:rsidR="00E814AB" w:rsidRPr="00713331" w14:paraId="0DD119F0" w14:textId="77777777" w:rsidTr="00DA32B7">
        <w:trPr>
          <w:cantSplit/>
        </w:trPr>
        <w:tc>
          <w:tcPr>
            <w:tcW w:w="4800" w:type="dxa"/>
          </w:tcPr>
          <w:p w14:paraId="40111493" w14:textId="77777777" w:rsidR="00E814AB" w:rsidRPr="00713331" w:rsidRDefault="00E814AB" w:rsidP="00713331">
            <w:pPr>
              <w:rPr>
                <w:rFonts w:cs="Tahoma"/>
                <w:iCs/>
                <w:szCs w:val="20"/>
              </w:rPr>
            </w:pPr>
            <w:r>
              <w:t>Given the multitude of active modules and possible combinations, we believe that it is neither useful nor practical to create an information sheet for each module.</w:t>
            </w:r>
          </w:p>
          <w:p w14:paraId="6A4F2457" w14:textId="77777777" w:rsidR="00E814AB" w:rsidRPr="00713331" w:rsidRDefault="00E814AB" w:rsidP="00713331">
            <w:pPr>
              <w:rPr>
                <w:rFonts w:cs="Tahoma"/>
                <w:iCs/>
                <w:szCs w:val="20"/>
              </w:rPr>
            </w:pPr>
          </w:p>
          <w:p w14:paraId="79320EBE" w14:textId="77777777" w:rsidR="00E814AB" w:rsidRPr="00713331" w:rsidRDefault="00E814AB" w:rsidP="00713331">
            <w:pPr>
              <w:rPr>
                <w:rFonts w:cs="Tahoma"/>
                <w:iCs/>
                <w:szCs w:val="20"/>
              </w:rPr>
            </w:pPr>
            <w:r>
              <w:t xml:space="preserve">Operator X therefore offers to create an information sheet for a relevant global level of components or platforms - </w:t>
            </w:r>
            <w:proofErr w:type="gramStart"/>
            <w:r>
              <w:t>as long as</w:t>
            </w:r>
            <w:proofErr w:type="gramEnd"/>
            <w:r>
              <w:t xml:space="preserve"> those are composed of modules from the same provider. This allows us to receive an approval of these technical platforms as well as the providers of underlying services;</w:t>
            </w:r>
          </w:p>
        </w:tc>
        <w:tc>
          <w:tcPr>
            <w:tcW w:w="4262" w:type="dxa"/>
          </w:tcPr>
          <w:p w14:paraId="106C99DE" w14:textId="77777777" w:rsidR="00E814AB" w:rsidRPr="00713331" w:rsidRDefault="00E814AB" w:rsidP="00713331">
            <w:pPr>
              <w:rPr>
                <w:rStyle w:val="cf01"/>
                <w:rFonts w:ascii="Tahoma" w:hAnsi="Tahoma" w:cs="Tahoma"/>
                <w:sz w:val="20"/>
                <w:szCs w:val="20"/>
              </w:rPr>
            </w:pPr>
            <w:r>
              <w:rPr>
                <w:rStyle w:val="cf01"/>
                <w:rFonts w:ascii="Tahoma" w:hAnsi="Tahoma"/>
                <w:sz w:val="20"/>
              </w:rPr>
              <w:t xml:space="preserve">An authorisation shall be requested for all modules. </w:t>
            </w:r>
          </w:p>
          <w:p w14:paraId="3157A374" w14:textId="77777777" w:rsidR="00E814AB" w:rsidRPr="00713331" w:rsidRDefault="00E814AB" w:rsidP="00713331">
            <w:pPr>
              <w:rPr>
                <w:rStyle w:val="cf01"/>
                <w:rFonts w:ascii="Tahoma" w:hAnsi="Tahoma" w:cs="Tahoma"/>
                <w:sz w:val="20"/>
                <w:szCs w:val="20"/>
              </w:rPr>
            </w:pPr>
          </w:p>
          <w:p w14:paraId="0A266FC3" w14:textId="77777777" w:rsidR="00E814AB" w:rsidRPr="00713331" w:rsidRDefault="00E814AB" w:rsidP="00713331">
            <w:pPr>
              <w:rPr>
                <w:rFonts w:cs="Tahoma"/>
                <w:szCs w:val="20"/>
              </w:rPr>
            </w:pPr>
            <w:r>
              <w:t>However, components forming a whole (</w:t>
            </w:r>
            <w:proofErr w:type="gramStart"/>
            <w:r>
              <w:t>e.g.</w:t>
            </w:r>
            <w:proofErr w:type="gramEnd"/>
            <w:r>
              <w:t xml:space="preserve"> modules of a base station) may be grouped together in a single sheet provided that: </w:t>
            </w:r>
          </w:p>
          <w:p w14:paraId="7F9A3E6A" w14:textId="77777777" w:rsidR="00E814AB" w:rsidRPr="00713331" w:rsidRDefault="00E814AB" w:rsidP="00713331">
            <w:pPr>
              <w:pStyle w:val="ListParagraph"/>
              <w:keepLines w:val="0"/>
              <w:numPr>
                <w:ilvl w:val="0"/>
                <w:numId w:val="34"/>
              </w:numPr>
              <w:jc w:val="left"/>
              <w:rPr>
                <w:rFonts w:cs="Tahoma"/>
              </w:rPr>
            </w:pPr>
            <w:r>
              <w:t>they are from the same supplier (i.e. the same equipment manufacturer and/or service provider);</w:t>
            </w:r>
          </w:p>
          <w:p w14:paraId="5B5959A6" w14:textId="77777777" w:rsidR="00E814AB" w:rsidRPr="00713331" w:rsidRDefault="00E814AB" w:rsidP="00713331">
            <w:pPr>
              <w:pStyle w:val="ListParagraph"/>
              <w:numPr>
                <w:ilvl w:val="0"/>
                <w:numId w:val="34"/>
              </w:numPr>
              <w:rPr>
                <w:rFonts w:cs="Tahoma"/>
              </w:rPr>
            </w:pPr>
            <w:r>
              <w:t>all the required technical information is provided.</w:t>
            </w:r>
          </w:p>
        </w:tc>
      </w:tr>
      <w:tr w:rsidR="00E814AB" w:rsidRPr="00713331" w14:paraId="6B5E961F" w14:textId="77777777" w:rsidTr="00DA32B7">
        <w:trPr>
          <w:cantSplit/>
        </w:trPr>
        <w:tc>
          <w:tcPr>
            <w:tcW w:w="4800" w:type="dxa"/>
          </w:tcPr>
          <w:p w14:paraId="29DCBD7E" w14:textId="77777777" w:rsidR="00E814AB" w:rsidRPr="00713331" w:rsidRDefault="00E814AB" w:rsidP="00713331">
            <w:pPr>
              <w:rPr>
                <w:rFonts w:cs="Tahoma"/>
                <w:iCs/>
                <w:szCs w:val="20"/>
              </w:rPr>
            </w:pPr>
            <w:r>
              <w:lastRenderedPageBreak/>
              <w:t>We therefore offer to create a sheet for the following components/platforms, with a possible breakdown by provider concerned:</w:t>
            </w:r>
          </w:p>
          <w:p w14:paraId="145E522F" w14:textId="77777777" w:rsidR="00E814AB" w:rsidRPr="00713331" w:rsidRDefault="00E814AB" w:rsidP="00713331">
            <w:pPr>
              <w:pStyle w:val="ListParagraph"/>
              <w:numPr>
                <w:ilvl w:val="0"/>
                <w:numId w:val="0"/>
              </w:numPr>
              <w:ind w:left="360"/>
              <w:rPr>
                <w:rFonts w:cs="Tahoma"/>
                <w:iCs/>
              </w:rPr>
            </w:pPr>
          </w:p>
          <w:p w14:paraId="01838C86" w14:textId="77777777" w:rsidR="00E814AB" w:rsidRPr="00713331" w:rsidRDefault="00E814AB" w:rsidP="00713331">
            <w:pPr>
              <w:pStyle w:val="ListParagraph"/>
              <w:ind w:left="360"/>
              <w:rPr>
                <w:rFonts w:cs="Tahoma"/>
                <w:b/>
                <w:bCs/>
                <w:iCs/>
              </w:rPr>
            </w:pPr>
            <w:r>
              <w:rPr>
                <w:b/>
              </w:rPr>
              <w:t>At the radio access network level</w:t>
            </w:r>
          </w:p>
          <w:p w14:paraId="2EB2B40B" w14:textId="77777777" w:rsidR="00E814AB" w:rsidRPr="00713331" w:rsidRDefault="00E814AB" w:rsidP="00713331">
            <w:pPr>
              <w:pStyle w:val="ListParagraph"/>
              <w:keepLines w:val="0"/>
              <w:numPr>
                <w:ilvl w:val="0"/>
                <w:numId w:val="49"/>
              </w:numPr>
              <w:spacing w:line="256" w:lineRule="auto"/>
              <w:ind w:left="720"/>
              <w:jc w:val="left"/>
              <w:rPr>
                <w:rFonts w:cs="Tahoma"/>
                <w:iCs/>
              </w:rPr>
            </w:pPr>
            <w:r>
              <w:t>Antenna</w:t>
            </w:r>
          </w:p>
          <w:p w14:paraId="18B1C8CA" w14:textId="77777777" w:rsidR="00E814AB" w:rsidRPr="00713331" w:rsidRDefault="00E814AB" w:rsidP="00713331">
            <w:pPr>
              <w:pStyle w:val="ListParagraph"/>
              <w:keepLines w:val="0"/>
              <w:numPr>
                <w:ilvl w:val="0"/>
                <w:numId w:val="49"/>
              </w:numPr>
              <w:spacing w:line="256" w:lineRule="auto"/>
              <w:ind w:left="720"/>
              <w:jc w:val="left"/>
              <w:rPr>
                <w:rFonts w:cs="Tahoma"/>
                <w:iCs/>
              </w:rPr>
            </w:pPr>
            <w:r>
              <w:t>Transmitter / Receiver (TRX)</w:t>
            </w:r>
          </w:p>
          <w:p w14:paraId="7770B499" w14:textId="77777777" w:rsidR="00E814AB" w:rsidRPr="00713331" w:rsidRDefault="00E814AB" w:rsidP="00713331">
            <w:pPr>
              <w:pStyle w:val="ListParagraph"/>
              <w:keepLines w:val="0"/>
              <w:numPr>
                <w:ilvl w:val="0"/>
                <w:numId w:val="49"/>
              </w:numPr>
              <w:spacing w:line="256" w:lineRule="auto"/>
              <w:ind w:left="720"/>
              <w:jc w:val="left"/>
              <w:rPr>
                <w:rFonts w:cs="Tahoma"/>
              </w:rPr>
            </w:pPr>
            <w:r>
              <w:t>Baseband Unit (BBU)</w:t>
            </w:r>
          </w:p>
          <w:p w14:paraId="39CD5784" w14:textId="77777777" w:rsidR="00E814AB" w:rsidRPr="00713331" w:rsidRDefault="00E814AB" w:rsidP="00713331">
            <w:pPr>
              <w:pStyle w:val="ListParagraph"/>
              <w:keepLines w:val="0"/>
              <w:numPr>
                <w:ilvl w:val="0"/>
                <w:numId w:val="49"/>
              </w:numPr>
              <w:spacing w:line="256" w:lineRule="auto"/>
              <w:ind w:left="720"/>
              <w:jc w:val="left"/>
              <w:rPr>
                <w:rFonts w:cs="Tahoma"/>
              </w:rPr>
            </w:pPr>
            <w:r>
              <w:t>Power Supply</w:t>
            </w:r>
          </w:p>
          <w:p w14:paraId="15A343D7" w14:textId="77777777" w:rsidR="00E814AB" w:rsidRPr="00713331" w:rsidRDefault="00E814AB" w:rsidP="00713331">
            <w:pPr>
              <w:pStyle w:val="ListParagraph"/>
              <w:keepLines w:val="0"/>
              <w:numPr>
                <w:ilvl w:val="0"/>
                <w:numId w:val="49"/>
              </w:numPr>
              <w:spacing w:line="256" w:lineRule="auto"/>
              <w:ind w:left="720"/>
              <w:jc w:val="left"/>
              <w:rPr>
                <w:rFonts w:cs="Tahoma"/>
                <w:iCs/>
              </w:rPr>
            </w:pPr>
            <w:r>
              <w:t>O&amp;M Platform</w:t>
            </w:r>
          </w:p>
          <w:p w14:paraId="336E3D43" w14:textId="77777777" w:rsidR="00E814AB" w:rsidRPr="00713331" w:rsidRDefault="00E814AB" w:rsidP="00713331">
            <w:pPr>
              <w:pStyle w:val="ListParagraph"/>
              <w:numPr>
                <w:ilvl w:val="0"/>
                <w:numId w:val="0"/>
              </w:numPr>
              <w:ind w:left="360"/>
              <w:rPr>
                <w:rFonts w:cs="Tahoma"/>
                <w:b/>
              </w:rPr>
            </w:pPr>
          </w:p>
          <w:p w14:paraId="273108FC" w14:textId="77777777" w:rsidR="00E814AB" w:rsidRPr="00713331" w:rsidRDefault="00E814AB" w:rsidP="00713331">
            <w:pPr>
              <w:pStyle w:val="ListParagraph"/>
              <w:ind w:left="360"/>
              <w:rPr>
                <w:rFonts w:cs="Tahoma"/>
                <w:b/>
              </w:rPr>
            </w:pPr>
            <w:r>
              <w:rPr>
                <w:b/>
              </w:rPr>
              <w:t>At the transport network level</w:t>
            </w:r>
          </w:p>
          <w:p w14:paraId="1F3276A1" w14:textId="77777777" w:rsidR="00E814AB" w:rsidRPr="00713331" w:rsidRDefault="00E814AB" w:rsidP="00713331">
            <w:pPr>
              <w:pStyle w:val="ListParagraph"/>
              <w:keepLines w:val="0"/>
              <w:numPr>
                <w:ilvl w:val="0"/>
                <w:numId w:val="49"/>
              </w:numPr>
              <w:spacing w:line="256" w:lineRule="auto"/>
              <w:ind w:left="720"/>
              <w:jc w:val="left"/>
              <w:rPr>
                <w:rFonts w:cs="Tahoma"/>
              </w:rPr>
            </w:pPr>
            <w:r>
              <w:t>Optical network Multiplexer</w:t>
            </w:r>
          </w:p>
          <w:p w14:paraId="6DFDB21D" w14:textId="77777777" w:rsidR="00E814AB" w:rsidRPr="00713331" w:rsidRDefault="00E814AB" w:rsidP="00713331">
            <w:pPr>
              <w:pStyle w:val="ListParagraph"/>
              <w:keepLines w:val="0"/>
              <w:numPr>
                <w:ilvl w:val="0"/>
                <w:numId w:val="49"/>
              </w:numPr>
              <w:spacing w:line="256" w:lineRule="auto"/>
              <w:ind w:left="720"/>
              <w:jc w:val="left"/>
              <w:rPr>
                <w:rFonts w:cs="Tahoma"/>
              </w:rPr>
            </w:pPr>
            <w:r>
              <w:t>Data network Router</w:t>
            </w:r>
          </w:p>
          <w:p w14:paraId="38A6E225" w14:textId="77777777" w:rsidR="00E814AB" w:rsidRPr="00713331" w:rsidRDefault="00E814AB" w:rsidP="00713331">
            <w:pPr>
              <w:pStyle w:val="ListParagraph"/>
              <w:keepLines w:val="0"/>
              <w:numPr>
                <w:ilvl w:val="0"/>
                <w:numId w:val="49"/>
              </w:numPr>
              <w:spacing w:line="256" w:lineRule="auto"/>
              <w:ind w:left="720"/>
              <w:jc w:val="left"/>
              <w:rPr>
                <w:rFonts w:cs="Tahoma"/>
              </w:rPr>
            </w:pPr>
            <w:r>
              <w:t>Mobile Backhauling CPE</w:t>
            </w:r>
          </w:p>
          <w:p w14:paraId="753E7696" w14:textId="77777777" w:rsidR="00E814AB" w:rsidRPr="00713331" w:rsidRDefault="00E814AB" w:rsidP="00713331">
            <w:pPr>
              <w:pStyle w:val="ListParagraph"/>
              <w:keepLines w:val="0"/>
              <w:numPr>
                <w:ilvl w:val="0"/>
                <w:numId w:val="49"/>
              </w:numPr>
              <w:spacing w:line="256" w:lineRule="auto"/>
              <w:ind w:left="720"/>
              <w:jc w:val="left"/>
              <w:rPr>
                <w:rFonts w:cs="Tahoma"/>
              </w:rPr>
            </w:pPr>
            <w:r>
              <w:t>µWave indoor &amp; outdoor unit (or combo outdoor / indoor)</w:t>
            </w:r>
          </w:p>
          <w:p w14:paraId="78584DD4" w14:textId="77777777" w:rsidR="00E814AB" w:rsidRPr="00713331" w:rsidRDefault="00E814AB" w:rsidP="00713331">
            <w:pPr>
              <w:pStyle w:val="ListParagraph"/>
              <w:keepLines w:val="0"/>
              <w:numPr>
                <w:ilvl w:val="0"/>
                <w:numId w:val="49"/>
              </w:numPr>
              <w:spacing w:line="256" w:lineRule="auto"/>
              <w:ind w:left="720"/>
              <w:jc w:val="left"/>
              <w:rPr>
                <w:rFonts w:cs="Tahoma"/>
              </w:rPr>
            </w:pPr>
            <w:r>
              <w:t>Security gateway</w:t>
            </w:r>
          </w:p>
          <w:p w14:paraId="6EAEA93C" w14:textId="77777777" w:rsidR="00E814AB" w:rsidRPr="00713331" w:rsidRDefault="00E814AB" w:rsidP="00713331">
            <w:pPr>
              <w:pStyle w:val="ListParagraph"/>
              <w:keepLines w:val="0"/>
              <w:numPr>
                <w:ilvl w:val="0"/>
                <w:numId w:val="49"/>
              </w:numPr>
              <w:spacing w:line="256" w:lineRule="auto"/>
              <w:ind w:left="720"/>
              <w:jc w:val="left"/>
              <w:rPr>
                <w:rFonts w:cs="Tahoma"/>
                <w:iCs/>
              </w:rPr>
            </w:pPr>
            <w:r>
              <w:t>O&amp;M Platform</w:t>
            </w:r>
          </w:p>
          <w:p w14:paraId="3D9F604D" w14:textId="77777777" w:rsidR="00E814AB" w:rsidRPr="00713331" w:rsidRDefault="00E814AB" w:rsidP="00713331">
            <w:pPr>
              <w:pStyle w:val="ListParagraph"/>
              <w:numPr>
                <w:ilvl w:val="0"/>
                <w:numId w:val="0"/>
              </w:numPr>
              <w:ind w:left="717"/>
              <w:rPr>
                <w:rFonts w:cs="Tahoma"/>
              </w:rPr>
            </w:pPr>
          </w:p>
          <w:p w14:paraId="263E4D68" w14:textId="77777777" w:rsidR="00E814AB" w:rsidRPr="00713331" w:rsidRDefault="00E814AB" w:rsidP="00713331">
            <w:pPr>
              <w:pStyle w:val="ListParagraph"/>
              <w:ind w:left="360"/>
              <w:rPr>
                <w:rFonts w:cs="Tahoma"/>
                <w:b/>
              </w:rPr>
            </w:pPr>
            <w:r>
              <w:rPr>
                <w:b/>
              </w:rPr>
              <w:t>At the level of the central part of the network</w:t>
            </w:r>
          </w:p>
          <w:p w14:paraId="3F2C43AE" w14:textId="77777777" w:rsidR="00E814AB" w:rsidRPr="00713331" w:rsidRDefault="00E814AB" w:rsidP="00713331">
            <w:pPr>
              <w:pStyle w:val="ListParagraph"/>
              <w:keepLines w:val="0"/>
              <w:numPr>
                <w:ilvl w:val="0"/>
                <w:numId w:val="49"/>
              </w:numPr>
              <w:spacing w:line="256" w:lineRule="auto"/>
              <w:ind w:left="720"/>
              <w:jc w:val="left"/>
              <w:rPr>
                <w:rFonts w:cs="Tahoma"/>
                <w:iCs/>
              </w:rPr>
            </w:pPr>
            <w:r>
              <w:t>Mobile data Core (EPC)</w:t>
            </w:r>
          </w:p>
          <w:p w14:paraId="202D4D32" w14:textId="77777777" w:rsidR="00E814AB" w:rsidRPr="00713331" w:rsidRDefault="00E814AB" w:rsidP="00713331">
            <w:pPr>
              <w:pStyle w:val="ListParagraph"/>
              <w:keepLines w:val="0"/>
              <w:numPr>
                <w:ilvl w:val="0"/>
                <w:numId w:val="49"/>
              </w:numPr>
              <w:spacing w:line="256" w:lineRule="auto"/>
              <w:ind w:left="720"/>
              <w:jc w:val="left"/>
              <w:rPr>
                <w:rFonts w:cs="Tahoma"/>
                <w:iCs/>
              </w:rPr>
            </w:pPr>
            <w:r>
              <w:t>Voice Core</w:t>
            </w:r>
          </w:p>
          <w:p w14:paraId="04F7289F" w14:textId="77777777" w:rsidR="00E814AB" w:rsidRPr="00713331" w:rsidRDefault="00E814AB" w:rsidP="00713331">
            <w:pPr>
              <w:pStyle w:val="ListParagraph"/>
              <w:keepLines w:val="0"/>
              <w:numPr>
                <w:ilvl w:val="0"/>
                <w:numId w:val="49"/>
              </w:numPr>
              <w:spacing w:line="256" w:lineRule="auto"/>
              <w:ind w:left="720"/>
              <w:jc w:val="left"/>
              <w:rPr>
                <w:rFonts w:cs="Tahoma"/>
                <w:iCs/>
              </w:rPr>
            </w:pPr>
            <w:r>
              <w:t>VAS Platforms</w:t>
            </w:r>
          </w:p>
          <w:p w14:paraId="18DE0ABF" w14:textId="77777777" w:rsidR="00E814AB" w:rsidRPr="00713331" w:rsidRDefault="00E814AB" w:rsidP="00713331">
            <w:pPr>
              <w:pStyle w:val="ListParagraph"/>
              <w:keepLines w:val="0"/>
              <w:numPr>
                <w:ilvl w:val="0"/>
                <w:numId w:val="49"/>
              </w:numPr>
              <w:spacing w:line="256" w:lineRule="auto"/>
              <w:ind w:left="720"/>
              <w:jc w:val="left"/>
              <w:rPr>
                <w:rFonts w:cs="Tahoma"/>
                <w:iCs/>
              </w:rPr>
            </w:pPr>
            <w:r>
              <w:t>IMS Platform</w:t>
            </w:r>
          </w:p>
          <w:p w14:paraId="194EF098" w14:textId="77777777" w:rsidR="00E814AB" w:rsidRPr="00713331" w:rsidRDefault="00E814AB" w:rsidP="00713331">
            <w:pPr>
              <w:pStyle w:val="ListParagraph"/>
              <w:keepLines w:val="0"/>
              <w:numPr>
                <w:ilvl w:val="0"/>
                <w:numId w:val="49"/>
              </w:numPr>
              <w:spacing w:line="256" w:lineRule="auto"/>
              <w:ind w:left="720"/>
              <w:jc w:val="left"/>
              <w:rPr>
                <w:rFonts w:cs="Tahoma"/>
                <w:iCs/>
              </w:rPr>
            </w:pPr>
            <w:r>
              <w:t>Interconnect platform</w:t>
            </w:r>
          </w:p>
          <w:p w14:paraId="0470BB55" w14:textId="77777777" w:rsidR="00E814AB" w:rsidRPr="00713331" w:rsidRDefault="00E814AB" w:rsidP="00713331">
            <w:pPr>
              <w:pStyle w:val="ListParagraph"/>
              <w:keepLines w:val="0"/>
              <w:numPr>
                <w:ilvl w:val="0"/>
                <w:numId w:val="49"/>
              </w:numPr>
              <w:spacing w:line="256" w:lineRule="auto"/>
              <w:ind w:left="720"/>
              <w:jc w:val="left"/>
              <w:rPr>
                <w:rFonts w:cs="Tahoma"/>
                <w:iCs/>
              </w:rPr>
            </w:pPr>
            <w:r>
              <w:t>Lawful intercept</w:t>
            </w:r>
          </w:p>
          <w:p w14:paraId="73CF639F" w14:textId="77777777" w:rsidR="00E814AB" w:rsidRPr="00713331" w:rsidRDefault="00E814AB" w:rsidP="00713331">
            <w:pPr>
              <w:pStyle w:val="ListParagraph"/>
              <w:keepLines w:val="0"/>
              <w:numPr>
                <w:ilvl w:val="0"/>
                <w:numId w:val="49"/>
              </w:numPr>
              <w:spacing w:line="256" w:lineRule="auto"/>
              <w:ind w:left="720"/>
              <w:jc w:val="left"/>
              <w:rPr>
                <w:rFonts w:cs="Tahoma"/>
                <w:iCs/>
              </w:rPr>
            </w:pPr>
            <w:r>
              <w:t>O&amp;M Platform</w:t>
            </w:r>
          </w:p>
          <w:p w14:paraId="762DD05B" w14:textId="77777777" w:rsidR="00E814AB" w:rsidRPr="00713331" w:rsidRDefault="00E814AB" w:rsidP="00713331">
            <w:pPr>
              <w:pStyle w:val="ListParagraph"/>
              <w:numPr>
                <w:ilvl w:val="0"/>
                <w:numId w:val="0"/>
              </w:numPr>
              <w:spacing w:line="256" w:lineRule="auto"/>
              <w:ind w:left="717"/>
              <w:rPr>
                <w:rFonts w:cs="Tahoma"/>
                <w:iCs/>
              </w:rPr>
            </w:pPr>
          </w:p>
          <w:p w14:paraId="569F2E2A" w14:textId="77777777" w:rsidR="00E814AB" w:rsidRPr="00C93E0D" w:rsidRDefault="00E814AB" w:rsidP="00E83225">
            <w:pPr>
              <w:pStyle w:val="ListParagraph"/>
              <w:ind w:left="360"/>
              <w:rPr>
                <w:b/>
              </w:rPr>
            </w:pPr>
            <w:r>
              <w:rPr>
                <w:b/>
              </w:rPr>
              <w:t>At the underlying cloud infrastructure level</w:t>
            </w:r>
          </w:p>
          <w:p w14:paraId="33BAEBE2" w14:textId="77777777" w:rsidR="00E814AB" w:rsidRPr="00713331" w:rsidRDefault="00E814AB" w:rsidP="00713331">
            <w:pPr>
              <w:pStyle w:val="ListParagraph"/>
              <w:keepLines w:val="0"/>
              <w:numPr>
                <w:ilvl w:val="0"/>
                <w:numId w:val="50"/>
              </w:numPr>
              <w:spacing w:line="252" w:lineRule="auto"/>
              <w:ind w:left="720"/>
              <w:jc w:val="left"/>
              <w:rPr>
                <w:rFonts w:eastAsia="Times New Roman" w:cs="Tahoma"/>
              </w:rPr>
            </w:pPr>
            <w:r>
              <w:t>Infrastructure virtualisation</w:t>
            </w:r>
          </w:p>
          <w:p w14:paraId="24F802C9" w14:textId="77777777" w:rsidR="00E814AB" w:rsidRPr="00713331" w:rsidRDefault="00E814AB" w:rsidP="00713331">
            <w:pPr>
              <w:pStyle w:val="ListParagraph"/>
              <w:keepLines w:val="0"/>
              <w:numPr>
                <w:ilvl w:val="0"/>
                <w:numId w:val="50"/>
              </w:numPr>
              <w:spacing w:line="252" w:lineRule="auto"/>
              <w:ind w:left="720"/>
              <w:jc w:val="left"/>
              <w:rPr>
                <w:rFonts w:eastAsia="Times New Roman" w:cs="Tahoma"/>
              </w:rPr>
            </w:pPr>
            <w:r>
              <w:t>Orchestrator</w:t>
            </w:r>
          </w:p>
          <w:p w14:paraId="598FB003" w14:textId="77777777" w:rsidR="00E814AB" w:rsidRPr="00713331" w:rsidRDefault="00E814AB" w:rsidP="00713331">
            <w:pPr>
              <w:pStyle w:val="ListParagraph"/>
              <w:keepLines w:val="0"/>
              <w:numPr>
                <w:ilvl w:val="0"/>
                <w:numId w:val="50"/>
              </w:numPr>
              <w:spacing w:line="252" w:lineRule="auto"/>
              <w:ind w:left="720"/>
              <w:jc w:val="left"/>
              <w:rPr>
                <w:rFonts w:cs="Tahoma"/>
                <w:b/>
                <w:bCs/>
                <w:u w:val="single"/>
              </w:rPr>
            </w:pPr>
            <w:r>
              <w:t>Specific network elements (switches/routers/Firewalls /IDS/IPS)</w:t>
            </w:r>
          </w:p>
        </w:tc>
        <w:tc>
          <w:tcPr>
            <w:tcW w:w="4262" w:type="dxa"/>
          </w:tcPr>
          <w:p w14:paraId="1E64AFC4" w14:textId="6A57BF08" w:rsidR="00E814AB" w:rsidRPr="00713331" w:rsidRDefault="00E814AB" w:rsidP="00713331">
            <w:pPr>
              <w:rPr>
                <w:rFonts w:cs="Tahoma"/>
                <w:szCs w:val="20"/>
              </w:rPr>
            </w:pPr>
            <w:r>
              <w:t xml:space="preserve">It is not possible to agree on </w:t>
            </w:r>
            <w:r w:rsidR="00E83225">
              <w:t xml:space="preserve">a </w:t>
            </w:r>
            <w:r w:rsidR="00C93E0D">
              <w:t xml:space="preserve">single division of the 5G network, </w:t>
            </w:r>
            <w:r w:rsidR="00C93E0D" w:rsidRPr="00C93E0D">
              <w:t>because only an operator knows its own network fully and the networks of all operators do not necessarily have the same structure.</w:t>
            </w:r>
          </w:p>
          <w:p w14:paraId="17B7B245" w14:textId="77777777" w:rsidR="00E814AB" w:rsidRPr="00713331" w:rsidRDefault="00E814AB" w:rsidP="00713331">
            <w:pPr>
              <w:rPr>
                <w:rFonts w:cs="Tahoma"/>
                <w:szCs w:val="20"/>
              </w:rPr>
            </w:pPr>
          </w:p>
          <w:p w14:paraId="7D3EC027" w14:textId="77777777" w:rsidR="00E814AB" w:rsidRPr="00713331" w:rsidRDefault="00E814AB" w:rsidP="00713331">
            <w:pPr>
              <w:rPr>
                <w:rFonts w:cs="Tahoma"/>
                <w:szCs w:val="20"/>
              </w:rPr>
            </w:pPr>
          </w:p>
        </w:tc>
      </w:tr>
      <w:tr w:rsidR="00E814AB" w:rsidRPr="00713331" w14:paraId="12DD7472" w14:textId="77777777" w:rsidTr="00DA32B7">
        <w:trPr>
          <w:cantSplit/>
        </w:trPr>
        <w:tc>
          <w:tcPr>
            <w:tcW w:w="4800" w:type="dxa"/>
          </w:tcPr>
          <w:p w14:paraId="26B20A24" w14:textId="77777777" w:rsidR="00E814AB" w:rsidRPr="00713331" w:rsidRDefault="00E814AB" w:rsidP="00713331">
            <w:pPr>
              <w:keepNext/>
              <w:autoSpaceDE w:val="0"/>
              <w:autoSpaceDN w:val="0"/>
              <w:adjustRightInd w:val="0"/>
              <w:spacing w:before="20" w:after="20"/>
              <w:rPr>
                <w:rFonts w:cs="Tahoma"/>
                <w:b/>
                <w:bCs/>
                <w:szCs w:val="20"/>
                <w:u w:val="single"/>
              </w:rPr>
            </w:pPr>
            <w:r>
              <w:rPr>
                <w:b/>
                <w:u w:val="single"/>
              </w:rPr>
              <w:lastRenderedPageBreak/>
              <w:t xml:space="preserve">Operator X  </w:t>
            </w:r>
          </w:p>
          <w:p w14:paraId="173BC9B1" w14:textId="3200EA64" w:rsidR="00E814AB" w:rsidRPr="00713331" w:rsidRDefault="00E814AB" w:rsidP="00713331">
            <w:pPr>
              <w:keepNext/>
              <w:autoSpaceDE w:val="0"/>
              <w:autoSpaceDN w:val="0"/>
              <w:adjustRightInd w:val="0"/>
              <w:spacing w:before="20" w:after="20"/>
              <w:rPr>
                <w:rFonts w:cs="Tahoma"/>
                <w:szCs w:val="20"/>
              </w:rPr>
            </w:pPr>
            <w:r>
              <w:t xml:space="preserve">For operator X, it is not clear either for which active network elements a sheet is requested. The explanation on </w:t>
            </w:r>
            <w:r w:rsidR="00AB5EEE">
              <w:t xml:space="preserve">part </w:t>
            </w:r>
            <w:r>
              <w:t xml:space="preserve">4 indicates that the various parts of the network are defined in the Royal Decree on the ministerial authorisation, points 4, 7-9, and 11. </w:t>
            </w:r>
          </w:p>
          <w:p w14:paraId="6BB55122" w14:textId="77777777" w:rsidR="00E814AB" w:rsidRPr="00713331" w:rsidRDefault="00E814AB" w:rsidP="00713331">
            <w:pPr>
              <w:keepNext/>
              <w:autoSpaceDE w:val="0"/>
              <w:autoSpaceDN w:val="0"/>
              <w:adjustRightInd w:val="0"/>
              <w:spacing w:before="20" w:after="20"/>
              <w:rPr>
                <w:rFonts w:cs="Tahoma"/>
                <w:szCs w:val="20"/>
              </w:rPr>
            </w:pPr>
          </w:p>
          <w:p w14:paraId="25F66A48" w14:textId="77777777" w:rsidR="00E814AB" w:rsidRPr="00713331" w:rsidRDefault="00E814AB" w:rsidP="00713331">
            <w:pPr>
              <w:keepNext/>
              <w:autoSpaceDE w:val="0"/>
              <w:autoSpaceDN w:val="0"/>
              <w:adjustRightInd w:val="0"/>
              <w:spacing w:before="20" w:after="20"/>
              <w:rPr>
                <w:rFonts w:cs="Tahoma"/>
                <w:szCs w:val="20"/>
              </w:rPr>
            </w:pPr>
            <w:r>
              <w:t xml:space="preserve">For instance, point 7 defines the transport network as follows: the transport network is composed of the elements ensuring the transmission of signals between the radio access network sites and the elements of the central part of the network, between the various radio access network sites or between the various elements of the central part of the network. </w:t>
            </w:r>
          </w:p>
          <w:p w14:paraId="79581967" w14:textId="77777777" w:rsidR="00E814AB" w:rsidRPr="00713331" w:rsidRDefault="00E814AB" w:rsidP="00713331">
            <w:pPr>
              <w:keepNext/>
              <w:autoSpaceDE w:val="0"/>
              <w:autoSpaceDN w:val="0"/>
              <w:adjustRightInd w:val="0"/>
              <w:spacing w:before="20" w:after="20"/>
              <w:rPr>
                <w:rFonts w:cs="Tahoma"/>
                <w:szCs w:val="20"/>
              </w:rPr>
            </w:pPr>
          </w:p>
          <w:p w14:paraId="43D38F09" w14:textId="77777777" w:rsidR="00E814AB" w:rsidRPr="00713331" w:rsidRDefault="00E814AB" w:rsidP="00713331">
            <w:pPr>
              <w:keepNext/>
              <w:autoSpaceDE w:val="0"/>
              <w:autoSpaceDN w:val="0"/>
              <w:adjustRightInd w:val="0"/>
              <w:spacing w:before="20" w:after="20"/>
              <w:rPr>
                <w:rFonts w:cs="Tahoma"/>
                <w:b/>
                <w:bCs/>
                <w:szCs w:val="20"/>
                <w:u w:val="single"/>
              </w:rPr>
            </w:pPr>
            <w:r>
              <w:rPr>
                <w:b/>
              </w:rPr>
              <w:t>However, the various transport network elements are not defined more precisely.</w:t>
            </w:r>
            <w:r>
              <w:t xml:space="preserve"> The same applies to the other points referred to. The current definitions are therefore open to interpretation and may delay the authorisation process if both competent authorities argue that the file is incomplete. Operator X therefore requests more clarity on the network elements for which a sheet must be requested </w:t>
            </w:r>
            <w:proofErr w:type="gramStart"/>
            <w:r>
              <w:t>in order to</w:t>
            </w:r>
            <w:proofErr w:type="gramEnd"/>
            <w:r>
              <w:t xml:space="preserve"> ensure a smooth application process. </w:t>
            </w:r>
          </w:p>
        </w:tc>
        <w:tc>
          <w:tcPr>
            <w:tcW w:w="4262" w:type="dxa"/>
          </w:tcPr>
          <w:p w14:paraId="2623279C" w14:textId="77777777" w:rsidR="00E814AB" w:rsidRPr="00713331" w:rsidRDefault="00E814AB" w:rsidP="00713331">
            <w:pPr>
              <w:rPr>
                <w:rFonts w:cs="Tahoma"/>
                <w:szCs w:val="20"/>
              </w:rPr>
            </w:pPr>
          </w:p>
          <w:p w14:paraId="2DB34F42" w14:textId="77777777" w:rsidR="00E814AB" w:rsidRPr="00713331" w:rsidRDefault="00E814AB" w:rsidP="00713331">
            <w:pPr>
              <w:rPr>
                <w:rFonts w:cs="Tahoma"/>
                <w:szCs w:val="20"/>
              </w:rPr>
            </w:pPr>
            <w:r>
              <w:t xml:space="preserve">An authorisation must be requested for all the transport network elements. </w:t>
            </w:r>
          </w:p>
          <w:p w14:paraId="52F46AAC" w14:textId="77777777" w:rsidR="00E814AB" w:rsidRPr="00713331" w:rsidRDefault="00E814AB" w:rsidP="00713331">
            <w:pPr>
              <w:rPr>
                <w:rFonts w:cs="Tahoma"/>
                <w:szCs w:val="20"/>
              </w:rPr>
            </w:pPr>
          </w:p>
          <w:p w14:paraId="05AD1E35" w14:textId="77777777" w:rsidR="00E814AB" w:rsidRPr="00713331" w:rsidRDefault="00E814AB" w:rsidP="00713331">
            <w:pPr>
              <w:rPr>
                <w:rFonts w:cs="Tahoma"/>
                <w:szCs w:val="20"/>
              </w:rPr>
            </w:pPr>
            <w:r>
              <w:t xml:space="preserve">The operators are the best placed to determine which elements are in the transport network. </w:t>
            </w:r>
          </w:p>
          <w:p w14:paraId="5D6C82F0" w14:textId="77777777" w:rsidR="00E814AB" w:rsidRPr="00713331" w:rsidRDefault="00E814AB" w:rsidP="00713331">
            <w:pPr>
              <w:rPr>
                <w:rFonts w:cs="Tahoma"/>
                <w:szCs w:val="20"/>
              </w:rPr>
            </w:pPr>
          </w:p>
          <w:p w14:paraId="26E8070F" w14:textId="4778B34D" w:rsidR="00E814AB" w:rsidRPr="00713331" w:rsidRDefault="00E814AB" w:rsidP="00713331">
            <w:pPr>
              <w:rPr>
                <w:rFonts w:cs="Tahoma"/>
                <w:szCs w:val="20"/>
              </w:rPr>
            </w:pPr>
            <w:r>
              <w:t xml:space="preserve">If the BIPT or the intelligence and security services become aware at some point that an operator has not requested an authorisation for a (transport) network element, this will have the following consequences: </w:t>
            </w:r>
          </w:p>
          <w:p w14:paraId="2E638412" w14:textId="77777777" w:rsidR="00E814AB" w:rsidRPr="00713331" w:rsidRDefault="00E814AB" w:rsidP="00713331">
            <w:pPr>
              <w:pStyle w:val="ListParagraph"/>
              <w:keepLines w:val="0"/>
              <w:numPr>
                <w:ilvl w:val="0"/>
                <w:numId w:val="34"/>
              </w:numPr>
              <w:jc w:val="left"/>
              <w:rPr>
                <w:rFonts w:cs="Tahoma"/>
              </w:rPr>
            </w:pPr>
            <w:r>
              <w:t xml:space="preserve">the use of this transport network element shall not be allowed until the authorisation is obtained; </w:t>
            </w:r>
          </w:p>
          <w:p w14:paraId="3ACE742A" w14:textId="77777777" w:rsidR="00E814AB" w:rsidRPr="00713331" w:rsidRDefault="00E814AB" w:rsidP="00713331">
            <w:pPr>
              <w:pStyle w:val="ListParagraph"/>
              <w:keepLines w:val="0"/>
              <w:numPr>
                <w:ilvl w:val="0"/>
                <w:numId w:val="34"/>
              </w:numPr>
              <w:jc w:val="left"/>
              <w:rPr>
                <w:rFonts w:cs="Tahoma"/>
              </w:rPr>
            </w:pPr>
            <w:r>
              <w:t xml:space="preserve">but this will not have any impact on the elements for which an authorisation will have been requested. </w:t>
            </w:r>
          </w:p>
          <w:p w14:paraId="1D4B4FFE" w14:textId="77777777" w:rsidR="00E814AB" w:rsidRPr="00713331" w:rsidRDefault="00E814AB" w:rsidP="00713331">
            <w:pPr>
              <w:rPr>
                <w:rFonts w:cs="Tahoma"/>
                <w:szCs w:val="20"/>
              </w:rPr>
            </w:pPr>
          </w:p>
          <w:p w14:paraId="6D4889DA" w14:textId="77777777" w:rsidR="00E814AB" w:rsidRPr="00713331" w:rsidRDefault="00E814AB" w:rsidP="00713331">
            <w:pPr>
              <w:rPr>
                <w:rFonts w:cs="Tahoma"/>
                <w:szCs w:val="20"/>
              </w:rPr>
            </w:pPr>
          </w:p>
        </w:tc>
      </w:tr>
      <w:tr w:rsidR="00E814AB" w:rsidRPr="00713331" w14:paraId="584FDA19" w14:textId="77777777" w:rsidTr="00DA32B7">
        <w:trPr>
          <w:cantSplit/>
        </w:trPr>
        <w:tc>
          <w:tcPr>
            <w:tcW w:w="4800" w:type="dxa"/>
          </w:tcPr>
          <w:p w14:paraId="54C903D1" w14:textId="77777777" w:rsidR="00E814AB" w:rsidRPr="00713331" w:rsidRDefault="00E814AB" w:rsidP="00713331">
            <w:pPr>
              <w:keepNext/>
              <w:autoSpaceDE w:val="0"/>
              <w:autoSpaceDN w:val="0"/>
              <w:adjustRightInd w:val="0"/>
              <w:spacing w:before="20" w:after="20"/>
              <w:rPr>
                <w:rFonts w:cs="Tahoma"/>
                <w:b/>
                <w:bCs/>
                <w:szCs w:val="20"/>
                <w:u w:val="single"/>
              </w:rPr>
            </w:pPr>
            <w:r>
              <w:rPr>
                <w:b/>
                <w:u w:val="single"/>
              </w:rPr>
              <w:t xml:space="preserve">Operator X </w:t>
            </w:r>
          </w:p>
          <w:p w14:paraId="3EA450ED" w14:textId="77777777" w:rsidR="00E814AB" w:rsidRPr="00713331" w:rsidRDefault="00E814AB" w:rsidP="00713331">
            <w:pPr>
              <w:keepNext/>
              <w:autoSpaceDE w:val="0"/>
              <w:autoSpaceDN w:val="0"/>
              <w:adjustRightInd w:val="0"/>
              <w:spacing w:before="20" w:after="20"/>
              <w:rPr>
                <w:rFonts w:cs="Tahoma"/>
                <w:b/>
                <w:bCs/>
                <w:szCs w:val="20"/>
                <w:u w:val="single"/>
              </w:rPr>
            </w:pPr>
            <w:r>
              <w:t>A suggestion could be for the BIPT to draw up a list of network elements for which a sheet must be submitted.</w:t>
            </w:r>
          </w:p>
        </w:tc>
        <w:tc>
          <w:tcPr>
            <w:tcW w:w="4262" w:type="dxa"/>
          </w:tcPr>
          <w:p w14:paraId="40C1726F" w14:textId="77777777" w:rsidR="00E814AB" w:rsidRPr="00713331" w:rsidRDefault="00E814AB" w:rsidP="00713331">
            <w:pPr>
              <w:rPr>
                <w:rFonts w:cs="Tahoma"/>
                <w:szCs w:val="20"/>
              </w:rPr>
            </w:pPr>
            <w:r>
              <w:t xml:space="preserve">If the BIPT draws up a list of (transport) network elements, there is a risk that this list is not future proof. On the other hand, the general definition of transport network (see Article 1, point 7, of the RD authorisation) is future proof. </w:t>
            </w:r>
          </w:p>
        </w:tc>
      </w:tr>
    </w:tbl>
    <w:p w14:paraId="543910FA" w14:textId="033C729F" w:rsidR="00614144" w:rsidRPr="00713331" w:rsidRDefault="00614144" w:rsidP="00713331">
      <w:pPr>
        <w:pStyle w:val="Heading2"/>
      </w:pPr>
      <w:bookmarkStart w:id="15" w:name="_Toc127173120"/>
      <w:bookmarkStart w:id="16" w:name="_Toc135085717"/>
      <w:r>
        <w:t xml:space="preserve">Modalities for sending the file to the </w:t>
      </w:r>
      <w:proofErr w:type="gramStart"/>
      <w:r>
        <w:t>BIPT</w:t>
      </w:r>
      <w:bookmarkEnd w:id="15"/>
      <w:bookmarkEnd w:id="16"/>
      <w:proofErr w:type="gramEnd"/>
      <w:r>
        <w:t xml:space="preserve"> </w:t>
      </w:r>
    </w:p>
    <w:p w14:paraId="066574ED" w14:textId="7D8AA5FD" w:rsidR="002E5BD2" w:rsidRPr="00713331" w:rsidRDefault="002E5BD2" w:rsidP="00713331">
      <w:pPr>
        <w:pStyle w:val="Numberednormal"/>
      </w:pPr>
      <w:r>
        <w:t xml:space="preserve">In addition to possibly sending it by courier or by post to the BIPT (this is optional), the applicant shall send by e-mail to </w:t>
      </w:r>
      <w:hyperlink r:id="rId15" w:history="1">
        <w:r>
          <w:rPr>
            <w:rStyle w:val="Hyperlink"/>
          </w:rPr>
          <w:t>SG@bipt.be</w:t>
        </w:r>
      </w:hyperlink>
      <w:r>
        <w:t xml:space="preserve"> at least the following documents: the authorisation application letter (</w:t>
      </w:r>
      <w:r w:rsidR="00AB5EEE">
        <w:t xml:space="preserve">part </w:t>
      </w:r>
      <w:r>
        <w:t>1) and the inventory of the annexes to this letter (</w:t>
      </w:r>
      <w:r w:rsidR="00AB5EEE">
        <w:t xml:space="preserve">part </w:t>
      </w:r>
      <w:r>
        <w:t>2).</w:t>
      </w:r>
    </w:p>
    <w:p w14:paraId="3726424D" w14:textId="77777777" w:rsidR="006A65FA" w:rsidRPr="00713331" w:rsidRDefault="006A65FA" w:rsidP="00713331">
      <w:pPr>
        <w:pStyle w:val="Numberednormal"/>
        <w:numPr>
          <w:ilvl w:val="0"/>
          <w:numId w:val="0"/>
        </w:numPr>
        <w:ind w:left="360"/>
      </w:pPr>
    </w:p>
    <w:p w14:paraId="51CA550B" w14:textId="01D3DCB9" w:rsidR="006A65FA" w:rsidRPr="00713331" w:rsidRDefault="006A65FA" w:rsidP="00713331">
      <w:pPr>
        <w:pStyle w:val="Numberednormal"/>
      </w:pPr>
      <w:r>
        <w:t>The annexes to this letter (</w:t>
      </w:r>
      <w:r w:rsidR="00AB5EEE">
        <w:t>parts</w:t>
      </w:r>
      <w:r>
        <w:t xml:space="preserve"> 3 to 5 and possible additional documents) may be sent to the BIPT via the following means: </w:t>
      </w:r>
    </w:p>
    <w:p w14:paraId="5A2D755D" w14:textId="3AE26E06" w:rsidR="006A65FA" w:rsidRPr="00713331" w:rsidRDefault="006A65FA" w:rsidP="00713331">
      <w:pPr>
        <w:pStyle w:val="Numberednormal"/>
        <w:numPr>
          <w:ilvl w:val="0"/>
          <w:numId w:val="28"/>
        </w:numPr>
        <w:rPr>
          <w:szCs w:val="20"/>
        </w:rPr>
      </w:pPr>
      <w:r>
        <w:t>as an annex to the e-mail sent to the BIPT with the authorisation application letter (or as an annex to another e-mail</w:t>
      </w:r>
      <w:proofErr w:type="gramStart"/>
      <w:r>
        <w:t>);</w:t>
      </w:r>
      <w:proofErr w:type="gramEnd"/>
      <w:r>
        <w:t xml:space="preserve"> </w:t>
      </w:r>
    </w:p>
    <w:p w14:paraId="1CFC5FFB" w14:textId="658B0B1A" w:rsidR="006A65FA" w:rsidRPr="00713331" w:rsidRDefault="006A65FA" w:rsidP="00713331">
      <w:pPr>
        <w:pStyle w:val="Numberednormal"/>
        <w:numPr>
          <w:ilvl w:val="0"/>
          <w:numId w:val="28"/>
        </w:numPr>
        <w:rPr>
          <w:szCs w:val="20"/>
        </w:rPr>
      </w:pPr>
      <w:r>
        <w:t>a link to these documents in an e-mail to the BIPT separate from the e-mail to the BIPT with the authorisation application letter</w:t>
      </w:r>
      <w:r w:rsidR="00D67EA3" w:rsidRPr="00713331">
        <w:rPr>
          <w:rStyle w:val="FootnoteReference"/>
          <w:szCs w:val="20"/>
        </w:rPr>
        <w:footnoteReference w:id="2"/>
      </w:r>
      <w:r>
        <w:t xml:space="preserve">; </w:t>
      </w:r>
    </w:p>
    <w:p w14:paraId="18FAE8F1" w14:textId="77777777" w:rsidR="006A65FA" w:rsidRPr="00713331" w:rsidRDefault="006A65FA" w:rsidP="00713331">
      <w:pPr>
        <w:pStyle w:val="Numberednormal"/>
        <w:numPr>
          <w:ilvl w:val="0"/>
          <w:numId w:val="28"/>
        </w:numPr>
        <w:rPr>
          <w:szCs w:val="20"/>
        </w:rPr>
      </w:pPr>
      <w:r>
        <w:t xml:space="preserve">a USB flash drive delivered by hand to the BIPT. </w:t>
      </w:r>
    </w:p>
    <w:p w14:paraId="6CC72756" w14:textId="77777777" w:rsidR="006A65FA" w:rsidRPr="00713331" w:rsidRDefault="006A65FA" w:rsidP="00713331">
      <w:pPr>
        <w:pStyle w:val="Numberednormal"/>
        <w:numPr>
          <w:ilvl w:val="0"/>
          <w:numId w:val="0"/>
        </w:numPr>
        <w:rPr>
          <w:szCs w:val="20"/>
        </w:rPr>
      </w:pPr>
    </w:p>
    <w:p w14:paraId="2F3CFA84" w14:textId="5CAB0682" w:rsidR="006A65FA" w:rsidRPr="00713331" w:rsidRDefault="006A65FA" w:rsidP="00713331">
      <w:pPr>
        <w:pStyle w:val="Numberednormal"/>
      </w:pPr>
      <w:r>
        <w:t>If the applicant so wishes, the e-mails sent to the BIPT may be encrypted</w:t>
      </w:r>
      <w:r w:rsidR="0088574D" w:rsidRPr="00713331">
        <w:rPr>
          <w:rStyle w:val="FootnoteReference"/>
        </w:rPr>
        <w:footnoteReference w:id="3"/>
      </w:r>
      <w:r>
        <w:t xml:space="preserve">. </w:t>
      </w:r>
    </w:p>
    <w:p w14:paraId="1B4B1184" w14:textId="77777777" w:rsidR="002E5BD2" w:rsidRPr="00713331" w:rsidRDefault="002E5BD2" w:rsidP="00713331">
      <w:pPr>
        <w:pStyle w:val="Numberednormal"/>
        <w:numPr>
          <w:ilvl w:val="0"/>
          <w:numId w:val="0"/>
        </w:numPr>
        <w:ind w:left="360"/>
      </w:pPr>
    </w:p>
    <w:p w14:paraId="49C62D43" w14:textId="5EB7A025" w:rsidR="002E5BD2" w:rsidRPr="00713331" w:rsidRDefault="002E5BD2" w:rsidP="00713331">
      <w:pPr>
        <w:pStyle w:val="Numberednormal"/>
      </w:pPr>
      <w:bookmarkStart w:id="17" w:name="_Hlk124233309"/>
      <w:r>
        <w:t xml:space="preserve">Within 5 working days after sending the e-mail to the BIPT by which the authorisation application is transmitted, </w:t>
      </w:r>
      <w:bookmarkStart w:id="18" w:name="_Hlk124233290"/>
      <w:r>
        <w:t xml:space="preserve">the BIPT will send an electronic acknowledgement of receipt </w:t>
      </w:r>
      <w:r w:rsidR="005E461F">
        <w:t xml:space="preserve">together </w:t>
      </w:r>
      <w:r>
        <w:t>with the BIPT file reference to the applicant.</w:t>
      </w:r>
      <w:bookmarkEnd w:id="18"/>
    </w:p>
    <w:p w14:paraId="1553C556" w14:textId="655162A3" w:rsidR="002E5BD2" w:rsidRPr="00713331" w:rsidRDefault="006A65FA" w:rsidP="00713331">
      <w:pPr>
        <w:pStyle w:val="Heading1"/>
      </w:pPr>
      <w:bookmarkStart w:id="19" w:name="_Toc135085718"/>
      <w:bookmarkEnd w:id="17"/>
      <w:r>
        <w:lastRenderedPageBreak/>
        <w:t xml:space="preserve">Transmission of the file to the ministers concerned and </w:t>
      </w:r>
      <w:r w:rsidR="00A80DFF">
        <w:t xml:space="preserve">to </w:t>
      </w:r>
      <w:r>
        <w:t xml:space="preserve">the intelligence and security </w:t>
      </w:r>
      <w:proofErr w:type="gramStart"/>
      <w:r>
        <w:t>services</w:t>
      </w:r>
      <w:bookmarkEnd w:id="19"/>
      <w:proofErr w:type="gramEnd"/>
      <w:r>
        <w:t xml:space="preserve"> </w:t>
      </w:r>
    </w:p>
    <w:p w14:paraId="0665172F" w14:textId="4C59799B" w:rsidR="00DC5988" w:rsidRPr="00713331" w:rsidRDefault="00DC5988" w:rsidP="00713331">
      <w:pPr>
        <w:pStyle w:val="Numberednormal"/>
      </w:pPr>
      <w:r>
        <w:t xml:space="preserve">The BIPT will transmit the whole received file to the intelligence and security services. </w:t>
      </w:r>
    </w:p>
    <w:p w14:paraId="29D7190E" w14:textId="77777777" w:rsidR="00DC5988" w:rsidRPr="00713331" w:rsidRDefault="00DC5988" w:rsidP="00713331">
      <w:pPr>
        <w:pStyle w:val="Numberednormal"/>
        <w:numPr>
          <w:ilvl w:val="0"/>
          <w:numId w:val="0"/>
        </w:numPr>
        <w:ind w:left="360"/>
      </w:pPr>
    </w:p>
    <w:p w14:paraId="29F2D11D" w14:textId="4FC97F2E" w:rsidR="00B749C8" w:rsidRPr="00713331" w:rsidRDefault="00DC5988" w:rsidP="00713331">
      <w:pPr>
        <w:pStyle w:val="Numberednormal"/>
      </w:pPr>
      <w:r>
        <w:t xml:space="preserve">However, </w:t>
      </w:r>
      <w:proofErr w:type="gramStart"/>
      <w:r>
        <w:t>in order to</w:t>
      </w:r>
      <w:proofErr w:type="gramEnd"/>
      <w:r>
        <w:t xml:space="preserve"> protect the information provided by the applicant, the BIPT will only transmit to the 6 ministers concerned</w:t>
      </w:r>
      <w:r w:rsidR="00632C4F" w:rsidRPr="00713331">
        <w:rPr>
          <w:rStyle w:val="FootnoteReference"/>
        </w:rPr>
        <w:footnoteReference w:id="4"/>
      </w:r>
      <w:r>
        <w:t xml:space="preserve"> the e-mail sent to the BIPT with the authorisation application, the letter of the applicant (</w:t>
      </w:r>
      <w:r w:rsidR="00AB5EEE">
        <w:t xml:space="preserve">part </w:t>
      </w:r>
      <w:r>
        <w:t>1) and the inventory of the annexes to this letter (</w:t>
      </w:r>
      <w:r w:rsidR="00AB5EEE">
        <w:t xml:space="preserve">part </w:t>
      </w:r>
      <w:r>
        <w:t xml:space="preserve">2). </w:t>
      </w:r>
    </w:p>
    <w:p w14:paraId="72E8EC65" w14:textId="77777777" w:rsidR="00B749C8" w:rsidRPr="00713331" w:rsidRDefault="00B749C8" w:rsidP="00713331">
      <w:pPr>
        <w:pStyle w:val="Numberednormal"/>
        <w:numPr>
          <w:ilvl w:val="0"/>
          <w:numId w:val="0"/>
        </w:numPr>
        <w:ind w:left="360"/>
      </w:pPr>
    </w:p>
    <w:p w14:paraId="119532C5" w14:textId="6C7659B1" w:rsidR="00DC5988" w:rsidRPr="00713331" w:rsidRDefault="00DC5988" w:rsidP="00713331">
      <w:pPr>
        <w:pStyle w:val="Numberednormal"/>
      </w:pPr>
      <w:r>
        <w:t xml:space="preserve">Upon request, the BIPT will allow a ministerial office concerned to consult the other documents. The BIPT is indeed allowed to provide the ministerial offices concerned with confidential information present in the files provided by the operators as far as the authorisation applications are concerned. However, the confidential information provided will be protected by Article 105, § 7, of the Act on electronic communications, which provides that: </w:t>
      </w:r>
    </w:p>
    <w:p w14:paraId="23C97075" w14:textId="77777777" w:rsidR="00DC5988" w:rsidRPr="00713331" w:rsidRDefault="00DC5988" w:rsidP="00713331">
      <w:pPr>
        <w:pStyle w:val="ListParagraph"/>
        <w:numPr>
          <w:ilvl w:val="0"/>
          <w:numId w:val="0"/>
        </w:numPr>
        <w:ind w:left="717"/>
        <w:rPr>
          <w:i/>
          <w:iCs/>
        </w:rPr>
      </w:pPr>
      <w:r>
        <w:t>“</w:t>
      </w:r>
      <w:r>
        <w:rPr>
          <w:i/>
        </w:rPr>
        <w:t>[subparagraph 1]</w:t>
      </w:r>
    </w:p>
    <w:p w14:paraId="01EBF786" w14:textId="77777777" w:rsidR="00DC5988" w:rsidRPr="00713331" w:rsidRDefault="00DC5988" w:rsidP="00713331">
      <w:pPr>
        <w:pStyle w:val="ListParagraph"/>
        <w:numPr>
          <w:ilvl w:val="0"/>
          <w:numId w:val="0"/>
        </w:numPr>
        <w:ind w:left="717"/>
        <w:rPr>
          <w:i/>
          <w:iCs/>
        </w:rPr>
      </w:pPr>
      <w:r>
        <w:rPr>
          <w:i/>
        </w:rPr>
        <w:t>[subparagraph 2]</w:t>
      </w:r>
    </w:p>
    <w:p w14:paraId="548379F0" w14:textId="5CA0D327" w:rsidR="00DC5988" w:rsidRPr="00713331" w:rsidRDefault="00DC5988" w:rsidP="00713331">
      <w:pPr>
        <w:pStyle w:val="ListParagraph"/>
        <w:numPr>
          <w:ilvl w:val="0"/>
          <w:numId w:val="0"/>
        </w:numPr>
        <w:ind w:left="717"/>
      </w:pPr>
      <w:r>
        <w:rPr>
          <w:i/>
        </w:rPr>
        <w:t>The persons dealing with an authorisation application or the review of a previous decision may provide public authorities which they consult in this context with confidential information where this is necessary for carrying out the task entrusted to them.</w:t>
      </w:r>
      <w:r>
        <w:rPr>
          <w:i/>
        </w:rPr>
        <w:br/>
        <w:t>   The persons and public administrations referred to in subparagraph 3 may not disclose to third parties confidential information of which they have knowledge in the context of the application of this article, apart from the exceptions laid down by law.</w:t>
      </w:r>
      <w:r>
        <w:rPr>
          <w:i/>
        </w:rPr>
        <w:br/>
        <w:t>   This confidential information is the one described as such by the person who provided it, without prejudice to Article 23, paragraph 3, of the Act of 17 January 2003 on the status of the regulator of the Belgian postal and telecommunications sectors.</w:t>
      </w:r>
      <w:r>
        <w:rPr>
          <w:i/>
        </w:rPr>
        <w:br/>
        <w:t>   The violation of the interdiction referred to in subparagraph 4 shall be punished by the sentences provided for in Article 458 of the Penal Code or one of these sentences.</w:t>
      </w:r>
      <w:r>
        <w:t>” (Free translation)</w:t>
      </w:r>
    </w:p>
    <w:p w14:paraId="2E7E69C8" w14:textId="77777777" w:rsidR="006074C1" w:rsidRPr="00713331" w:rsidRDefault="00614144" w:rsidP="006074C1">
      <w:pPr>
        <w:pStyle w:val="Heading1"/>
        <w:numPr>
          <w:ilvl w:val="0"/>
          <w:numId w:val="7"/>
        </w:numPr>
        <w:ind w:left="1080" w:hanging="360"/>
      </w:pPr>
      <w:r>
        <w:t xml:space="preserve"> </w:t>
      </w:r>
      <w:bookmarkStart w:id="20" w:name="_Toc135085719"/>
      <w:r w:rsidR="006074C1">
        <w:t>Additional information</w:t>
      </w:r>
      <w:bookmarkEnd w:id="20"/>
      <w:r w:rsidR="006074C1">
        <w:t xml:space="preserve">  </w:t>
      </w:r>
    </w:p>
    <w:p w14:paraId="42ACE9B5" w14:textId="77777777" w:rsidR="006074C1" w:rsidRPr="00713331" w:rsidRDefault="006074C1" w:rsidP="006074C1">
      <w:pPr>
        <w:pStyle w:val="Numberednormal"/>
        <w:numPr>
          <w:ilvl w:val="0"/>
          <w:numId w:val="6"/>
        </w:numPr>
        <w:rPr>
          <w:szCs w:val="20"/>
        </w:rPr>
      </w:pPr>
      <w:r>
        <w:t xml:space="preserve">Once the applicant has submitted its file to the BIPT, additional information or documents may be requested pursuant to Article 105, § 3, subparagraph </w:t>
      </w:r>
      <w:proofErr w:type="gramStart"/>
      <w:r>
        <w:t>3,</w:t>
      </w:r>
      <w:proofErr w:type="gramEnd"/>
      <w:r>
        <w:t xml:space="preserve"> of the Act on electronic communications:</w:t>
      </w:r>
      <w:r>
        <w:rPr>
          <w:color w:val="000000"/>
        </w:rPr>
        <w:t xml:space="preserve"> “</w:t>
      </w:r>
      <w:r>
        <w:rPr>
          <w:i/>
          <w:iCs/>
          <w:color w:val="000000"/>
        </w:rPr>
        <w:t>The ministers concerned, the Institute and the intelligence and security services may request additional information or documents from the applicant or any other person who could make a useful contribution to their information</w:t>
      </w:r>
      <w:r>
        <w:rPr>
          <w:color w:val="000000"/>
        </w:rPr>
        <w:t xml:space="preserve">.” (Free translation) </w:t>
      </w:r>
    </w:p>
    <w:p w14:paraId="7E8EAC9A" w14:textId="77777777" w:rsidR="006074C1" w:rsidRPr="00713331" w:rsidRDefault="006074C1" w:rsidP="006074C1">
      <w:pPr>
        <w:pStyle w:val="Numberednormal"/>
        <w:numPr>
          <w:ilvl w:val="0"/>
          <w:numId w:val="0"/>
        </w:numPr>
        <w:ind w:left="360"/>
        <w:rPr>
          <w:szCs w:val="20"/>
        </w:rPr>
      </w:pPr>
    </w:p>
    <w:p w14:paraId="428086B5" w14:textId="77777777" w:rsidR="006074C1" w:rsidRPr="00713331" w:rsidRDefault="006074C1" w:rsidP="006074C1">
      <w:pPr>
        <w:pStyle w:val="Numberednormal"/>
        <w:numPr>
          <w:ilvl w:val="0"/>
          <w:numId w:val="6"/>
        </w:numPr>
        <w:rPr>
          <w:szCs w:val="20"/>
        </w:rPr>
      </w:pPr>
      <w:r>
        <w:t>For instance, the BIPT could request from the applicant documents or information missing in its file.</w:t>
      </w:r>
    </w:p>
    <w:p w14:paraId="57BCA3D8" w14:textId="77777777" w:rsidR="006074C1" w:rsidRPr="00713331" w:rsidRDefault="006074C1" w:rsidP="006074C1">
      <w:pPr>
        <w:pStyle w:val="Numberednormal"/>
        <w:numPr>
          <w:ilvl w:val="0"/>
          <w:numId w:val="0"/>
        </w:numPr>
        <w:ind w:left="360"/>
        <w:rPr>
          <w:szCs w:val="20"/>
        </w:rPr>
      </w:pPr>
    </w:p>
    <w:p w14:paraId="7AE68A5B" w14:textId="77777777" w:rsidR="006074C1" w:rsidRPr="00713331" w:rsidRDefault="006074C1" w:rsidP="006074C1">
      <w:pPr>
        <w:pStyle w:val="Numberednormal"/>
        <w:numPr>
          <w:ilvl w:val="0"/>
          <w:numId w:val="6"/>
        </w:numPr>
      </w:pPr>
      <w:r>
        <w:t xml:space="preserve">A request for additional information by the BIPT or the intelligence and security services will suspend the 3-month period for communicating a decision (authorisation) or a draft decision (refusal of authorisation or authorisation with conditions) to the applicant. The BIPT or the intelligence and security services will inform the applicant that a request for information has been made (suspension of the three-month period) and that the suspension of the three-month period has ended. </w:t>
      </w:r>
    </w:p>
    <w:p w14:paraId="7956ACAE" w14:textId="33455514" w:rsidR="006074C1" w:rsidRPr="00713331" w:rsidRDefault="006074C1" w:rsidP="006074C1">
      <w:pPr>
        <w:pStyle w:val="Heading1"/>
        <w:numPr>
          <w:ilvl w:val="0"/>
          <w:numId w:val="7"/>
        </w:numPr>
        <w:ind w:left="1080" w:hanging="360"/>
      </w:pPr>
      <w:bookmarkStart w:id="21" w:name="_Toc135085720"/>
      <w:r>
        <w:t xml:space="preserve">Opinion of the BIPT and </w:t>
      </w:r>
      <w:r w:rsidR="00A80DFF">
        <w:t xml:space="preserve">of </w:t>
      </w:r>
      <w:r>
        <w:t>the intelligence and security services</w:t>
      </w:r>
      <w:bookmarkEnd w:id="21"/>
    </w:p>
    <w:p w14:paraId="0D2B9782" w14:textId="77777777" w:rsidR="006074C1" w:rsidRPr="00713331" w:rsidRDefault="006074C1" w:rsidP="006074C1">
      <w:pPr>
        <w:pStyle w:val="Numberednormal"/>
        <w:numPr>
          <w:ilvl w:val="0"/>
          <w:numId w:val="6"/>
        </w:numPr>
      </w:pPr>
      <w:r>
        <w:t xml:space="preserve">The BIPT and the intelligence and security services will submit an opinion to the ministers concerned regarding the authorisation request. </w:t>
      </w:r>
    </w:p>
    <w:p w14:paraId="5C601949" w14:textId="77777777" w:rsidR="006074C1" w:rsidRPr="00713331" w:rsidRDefault="006074C1" w:rsidP="006074C1">
      <w:pPr>
        <w:pStyle w:val="Numberednormal"/>
        <w:numPr>
          <w:ilvl w:val="0"/>
          <w:numId w:val="0"/>
        </w:numPr>
        <w:ind w:left="360"/>
      </w:pPr>
    </w:p>
    <w:p w14:paraId="6DB6F529" w14:textId="69CEFC34" w:rsidR="006074C1" w:rsidRPr="00713331" w:rsidRDefault="006074C1" w:rsidP="006074C1">
      <w:pPr>
        <w:pStyle w:val="Numberednormal"/>
        <w:numPr>
          <w:ilvl w:val="0"/>
          <w:numId w:val="6"/>
        </w:numPr>
      </w:pPr>
      <w:r>
        <w:lastRenderedPageBreak/>
        <w:t xml:space="preserve">The opinions of the BIPT and the intelligence and security services form part of the administrative file accompanying the ministerial orders, except when they include classified information within the meaning of the Act of 11 December 1998 on classification and security clearances, security certificates and security </w:t>
      </w:r>
      <w:proofErr w:type="gramStart"/>
      <w:r>
        <w:t>advices</w:t>
      </w:r>
      <w:proofErr w:type="gramEnd"/>
      <w:r>
        <w:t xml:space="preserve">. </w:t>
      </w:r>
      <w:r w:rsidRPr="00E83225">
        <w:t xml:space="preserve">If relevant, a non-classified version of the same opinion can be annexed to the administrative file. </w:t>
      </w:r>
      <w:r>
        <w:t xml:space="preserve">The applicant may access </w:t>
      </w:r>
      <w:r w:rsidR="00482C2C">
        <w:t xml:space="preserve">the </w:t>
      </w:r>
      <w:r>
        <w:t>administrative file at any time.</w:t>
      </w:r>
    </w:p>
    <w:p w14:paraId="1EE81876" w14:textId="77777777" w:rsidR="006074C1" w:rsidRPr="00713331" w:rsidRDefault="006074C1" w:rsidP="006074C1">
      <w:pPr>
        <w:pStyle w:val="Numberednormal"/>
        <w:numPr>
          <w:ilvl w:val="0"/>
          <w:numId w:val="0"/>
        </w:numPr>
        <w:ind w:left="360"/>
      </w:pPr>
    </w:p>
    <w:p w14:paraId="48FF365E" w14:textId="77777777" w:rsidR="006074C1" w:rsidRPr="00713331" w:rsidRDefault="006074C1" w:rsidP="006074C1">
      <w:pPr>
        <w:pStyle w:val="Numberednormal"/>
        <w:numPr>
          <w:ilvl w:val="0"/>
          <w:numId w:val="6"/>
        </w:numPr>
      </w:pPr>
      <w:r>
        <w:t xml:space="preserve">These opinions will not be published. </w:t>
      </w:r>
    </w:p>
    <w:p w14:paraId="01D58347" w14:textId="44AE402A" w:rsidR="006074C1" w:rsidRPr="00713331" w:rsidRDefault="006074C1" w:rsidP="006074C1">
      <w:pPr>
        <w:pStyle w:val="Heading1"/>
        <w:numPr>
          <w:ilvl w:val="0"/>
          <w:numId w:val="7"/>
        </w:numPr>
        <w:ind w:left="1080" w:hanging="360"/>
      </w:pPr>
      <w:bookmarkStart w:id="22" w:name="_Toc135085721"/>
      <w:r>
        <w:t xml:space="preserve">Additional information when the equipment manufacturer </w:t>
      </w:r>
      <w:proofErr w:type="gramStart"/>
      <w:r>
        <w:t xml:space="preserve">is </w:t>
      </w:r>
      <w:r w:rsidR="00A80DFF">
        <w:t>considered to be</w:t>
      </w:r>
      <w:proofErr w:type="gramEnd"/>
      <w:r>
        <w:t xml:space="preserve"> high risk (only applicable when the applicant is an MNO)</w:t>
      </w:r>
      <w:bookmarkEnd w:id="22"/>
      <w:r>
        <w:t xml:space="preserve"> </w:t>
      </w:r>
    </w:p>
    <w:p w14:paraId="7719E713" w14:textId="77777777" w:rsidR="006074C1" w:rsidRPr="00713331" w:rsidRDefault="006074C1" w:rsidP="006074C1">
      <w:pPr>
        <w:pStyle w:val="Numberednormal"/>
        <w:numPr>
          <w:ilvl w:val="0"/>
          <w:numId w:val="6"/>
        </w:numPr>
      </w:pPr>
      <w:r>
        <w:t>Additional information may be requested from an MNO pursuant to Article 10, § 2, of the Royal Decree on the ministerial authorisation:  </w:t>
      </w:r>
    </w:p>
    <w:p w14:paraId="37C2AB28" w14:textId="77777777" w:rsidR="006074C1" w:rsidRPr="00713331" w:rsidRDefault="006074C1" w:rsidP="006074C1">
      <w:pPr>
        <w:pStyle w:val="Numberednormal"/>
        <w:numPr>
          <w:ilvl w:val="0"/>
          <w:numId w:val="0"/>
        </w:numPr>
        <w:ind w:left="1080"/>
        <w:rPr>
          <w:rFonts w:cs="Tahoma"/>
          <w:i/>
          <w:iCs/>
          <w:szCs w:val="20"/>
        </w:rPr>
      </w:pPr>
      <w:r>
        <w:t>« </w:t>
      </w:r>
      <w:r>
        <w:rPr>
          <w:i/>
        </w:rPr>
        <w:t xml:space="preserve">§ 2. When an MNO is informed that an equipment manufacturer it intends to use (application for prior authorisation) or does use (application for regularisation) is considered to be a high-risk equipment manufacturer, it should complete its file </w:t>
      </w:r>
      <w:proofErr w:type="gramStart"/>
      <w:r>
        <w:rPr>
          <w:i/>
        </w:rPr>
        <w:t>with :</w:t>
      </w:r>
      <w:proofErr w:type="gramEnd"/>
    </w:p>
    <w:p w14:paraId="422CF3A0" w14:textId="77777777" w:rsidR="006074C1" w:rsidRPr="00713331" w:rsidRDefault="006074C1" w:rsidP="006074C1">
      <w:pPr>
        <w:pStyle w:val="Numberednormal"/>
        <w:numPr>
          <w:ilvl w:val="0"/>
          <w:numId w:val="0"/>
        </w:numPr>
        <w:ind w:left="1080"/>
        <w:rPr>
          <w:rFonts w:cs="Tahoma"/>
          <w:i/>
          <w:iCs/>
          <w:szCs w:val="20"/>
        </w:rPr>
      </w:pPr>
      <w:r>
        <w:rPr>
          <w:i/>
        </w:rPr>
        <w:t xml:space="preserve">1° the location of the sites of the backhaul of the transport network and of the sites of the radio access network within which it intends to use high-risk active elements (application for prior authorisation) or in which it uses them (application for regularisation) and, for radio access network sites, the areas covered by these sites, </w:t>
      </w:r>
      <w:proofErr w:type="gramStart"/>
      <w:r>
        <w:rPr>
          <w:i/>
        </w:rPr>
        <w:t>and ;</w:t>
      </w:r>
      <w:proofErr w:type="gramEnd"/>
    </w:p>
    <w:p w14:paraId="518B0FA6" w14:textId="77777777" w:rsidR="006074C1" w:rsidRPr="00713331" w:rsidRDefault="006074C1" w:rsidP="006074C1">
      <w:pPr>
        <w:pStyle w:val="Numberednormal"/>
        <w:numPr>
          <w:ilvl w:val="0"/>
          <w:numId w:val="0"/>
        </w:numPr>
        <w:ind w:left="1080"/>
        <w:rPr>
          <w:rFonts w:cs="Tahoma"/>
          <w:i/>
          <w:iCs/>
          <w:szCs w:val="20"/>
        </w:rPr>
      </w:pPr>
      <w:r>
        <w:rPr>
          <w:i/>
        </w:rPr>
        <w:t>2° detailed explanations on the observance of the percentage of 35% referred to in Articles 6, § 2, and 7, § 1.” (Free translation)</w:t>
      </w:r>
    </w:p>
    <w:p w14:paraId="5EE43AEE" w14:textId="77777777" w:rsidR="006074C1" w:rsidRPr="00713331" w:rsidRDefault="006074C1" w:rsidP="006074C1">
      <w:pPr>
        <w:pStyle w:val="Numberednormal"/>
        <w:numPr>
          <w:ilvl w:val="0"/>
          <w:numId w:val="0"/>
        </w:numPr>
        <w:ind w:left="1080"/>
        <w:rPr>
          <w:rFonts w:cs="Tahoma"/>
          <w:i/>
          <w:iCs/>
          <w:szCs w:val="20"/>
        </w:rPr>
      </w:pPr>
    </w:p>
    <w:p w14:paraId="74B59E50" w14:textId="77777777" w:rsidR="006074C1" w:rsidRPr="00713331" w:rsidRDefault="006074C1" w:rsidP="006074C1">
      <w:pPr>
        <w:pStyle w:val="Numberednormal"/>
        <w:numPr>
          <w:ilvl w:val="0"/>
          <w:numId w:val="6"/>
        </w:numPr>
      </w:pPr>
      <w:r>
        <w:t xml:space="preserve">The location of the sites must be indicated based on the address (and not the GPS coordinates). </w:t>
      </w:r>
    </w:p>
    <w:p w14:paraId="76876BCE" w14:textId="77777777" w:rsidR="006074C1" w:rsidRPr="00713331" w:rsidRDefault="006074C1" w:rsidP="006074C1">
      <w:pPr>
        <w:pStyle w:val="Heading1"/>
        <w:numPr>
          <w:ilvl w:val="0"/>
          <w:numId w:val="7"/>
        </w:numPr>
        <w:ind w:left="1080" w:hanging="360"/>
      </w:pPr>
      <w:bookmarkStart w:id="23" w:name="_Toc135085722"/>
      <w:r>
        <w:t>Hearing of the applicant and provision of written comments</w:t>
      </w:r>
      <w:bookmarkEnd w:id="23"/>
      <w:r>
        <w:t xml:space="preserve"> </w:t>
      </w:r>
    </w:p>
    <w:p w14:paraId="443FAAB5" w14:textId="77777777" w:rsidR="006074C1" w:rsidRPr="00713331" w:rsidRDefault="006074C1" w:rsidP="006074C1">
      <w:pPr>
        <w:pStyle w:val="Numberednormal"/>
        <w:numPr>
          <w:ilvl w:val="0"/>
          <w:numId w:val="6"/>
        </w:numPr>
      </w:pPr>
      <w:r>
        <w:t xml:space="preserve">Article 105, § 5, of the Act of 13 June 2005 on electronic communications lays down the following: </w:t>
      </w:r>
    </w:p>
    <w:p w14:paraId="5984B8BF" w14:textId="77777777" w:rsidR="006074C1" w:rsidRPr="00713331" w:rsidRDefault="006074C1" w:rsidP="006074C1">
      <w:pPr>
        <w:pStyle w:val="Numberednormal"/>
        <w:numPr>
          <w:ilvl w:val="0"/>
          <w:numId w:val="0"/>
        </w:numPr>
        <w:ind w:left="360"/>
        <w:rPr>
          <w:color w:val="000000"/>
          <w:szCs w:val="20"/>
        </w:rPr>
      </w:pPr>
      <w:r>
        <w:rPr>
          <w:color w:val="000000"/>
        </w:rPr>
        <w:t>« </w:t>
      </w:r>
      <w:r>
        <w:rPr>
          <w:i/>
          <w:color w:val="000000"/>
        </w:rPr>
        <w:t xml:space="preserve">§ 5. When the ministers concerned intend to refuse authorisation, attach </w:t>
      </w:r>
      <w:proofErr w:type="gramStart"/>
      <w:r>
        <w:rPr>
          <w:i/>
          <w:color w:val="000000"/>
        </w:rPr>
        <w:t>conditions</w:t>
      </w:r>
      <w:proofErr w:type="gramEnd"/>
      <w:r>
        <w:rPr>
          <w:i/>
          <w:color w:val="000000"/>
        </w:rPr>
        <w:t xml:space="preserve"> or revise their decision, the applicant has 28 days after receiving the draft decision to submit written comments.</w:t>
      </w:r>
      <w:r>
        <w:rPr>
          <w:i/>
          <w:color w:val="000000"/>
        </w:rPr>
        <w:br/>
        <w:t>   The applicant is given the possibility to be heard. The applicant may be accompanied by any technical or legal adviser of its choosing.</w:t>
      </w:r>
      <w:r>
        <w:rPr>
          <w:i/>
          <w:color w:val="000000"/>
        </w:rPr>
        <w:br/>
        <w:t>   The ministers concerned may be represented by the administration of their choosing. The Institute and the intelligence and security services may participate in the hearing.</w:t>
      </w:r>
      <w:r>
        <w:rPr>
          <w:color w:val="000000"/>
        </w:rPr>
        <w:t>” (Free translation)</w:t>
      </w:r>
    </w:p>
    <w:p w14:paraId="53B04CCE" w14:textId="77777777" w:rsidR="006074C1" w:rsidRPr="00713331" w:rsidRDefault="006074C1" w:rsidP="006074C1">
      <w:pPr>
        <w:pStyle w:val="Heading1"/>
        <w:numPr>
          <w:ilvl w:val="0"/>
          <w:numId w:val="7"/>
        </w:numPr>
        <w:tabs>
          <w:tab w:val="num" w:pos="360"/>
        </w:tabs>
        <w:ind w:left="1080" w:hanging="360"/>
      </w:pPr>
      <w:bookmarkStart w:id="24" w:name="_Toc135085723"/>
      <w:r>
        <w:t>Final decision</w:t>
      </w:r>
      <w:bookmarkEnd w:id="24"/>
      <w:r>
        <w:t xml:space="preserve"> </w:t>
      </w:r>
    </w:p>
    <w:p w14:paraId="2D7F5760" w14:textId="44F98D47" w:rsidR="006074C1" w:rsidRPr="00713331" w:rsidRDefault="006074C1" w:rsidP="006074C1">
      <w:pPr>
        <w:pStyle w:val="Numberednormal"/>
        <w:numPr>
          <w:ilvl w:val="0"/>
          <w:numId w:val="6"/>
        </w:numPr>
      </w:pPr>
      <w:r>
        <w:t>The ministers concerned will grant a conditional authorisation if</w:t>
      </w:r>
      <w:r w:rsidR="00AF2638">
        <w:t xml:space="preserve"> active</w:t>
      </w:r>
      <w:r>
        <w:t xml:space="preserve"> high-risk elements are present in the 5G network </w:t>
      </w:r>
      <w:proofErr w:type="gramStart"/>
      <w:r>
        <w:t>concerned, and</w:t>
      </w:r>
      <w:proofErr w:type="gramEnd"/>
      <w:r>
        <w:t xml:space="preserve"> must be removed from the 5G network by the end of the transitional periods laid down in the RD authorisations at the latest. </w:t>
      </w:r>
    </w:p>
    <w:p w14:paraId="0947BDDE" w14:textId="77777777" w:rsidR="006074C1" w:rsidRPr="00713331" w:rsidRDefault="006074C1" w:rsidP="006074C1">
      <w:pPr>
        <w:pStyle w:val="Numberednormal"/>
        <w:numPr>
          <w:ilvl w:val="0"/>
          <w:numId w:val="0"/>
        </w:numPr>
        <w:ind w:left="360"/>
      </w:pPr>
    </w:p>
    <w:p w14:paraId="204BA5C6" w14:textId="34ADBD87" w:rsidR="006074C1" w:rsidRPr="00713331" w:rsidRDefault="006074C1" w:rsidP="006074C1">
      <w:pPr>
        <w:pStyle w:val="Numberednormal"/>
        <w:numPr>
          <w:ilvl w:val="0"/>
          <w:numId w:val="6"/>
        </w:numPr>
      </w:pPr>
      <w:r>
        <w:t xml:space="preserve">Until the end of the transitional periods, the undertaking concerned may continue to use </w:t>
      </w:r>
      <w:r w:rsidR="00AF2638">
        <w:t xml:space="preserve">those </w:t>
      </w:r>
      <w:r>
        <w:t xml:space="preserve">high-risk </w:t>
      </w:r>
      <w:r w:rsidR="00AF2638">
        <w:t>elements</w:t>
      </w:r>
      <w:r>
        <w:t>, at least to the extent that they are not prohibited by any other regulations.</w:t>
      </w:r>
    </w:p>
    <w:p w14:paraId="11235248" w14:textId="77777777" w:rsidR="006074C1" w:rsidRPr="00713331" w:rsidRDefault="006074C1" w:rsidP="006074C1">
      <w:pPr>
        <w:pStyle w:val="Numberednormal"/>
        <w:numPr>
          <w:ilvl w:val="0"/>
          <w:numId w:val="0"/>
        </w:numPr>
        <w:ind w:left="360"/>
      </w:pPr>
    </w:p>
    <w:p w14:paraId="13185439" w14:textId="003A9A04" w:rsidR="006074C1" w:rsidRPr="00713331" w:rsidRDefault="006074C1" w:rsidP="006074C1">
      <w:pPr>
        <w:pStyle w:val="Numberednormal"/>
        <w:numPr>
          <w:ilvl w:val="0"/>
          <w:numId w:val="6"/>
        </w:numPr>
      </w:pPr>
      <w:r>
        <w:t>The ministers concerned will have to motivat</w:t>
      </w:r>
      <w:r w:rsidR="00AF2638">
        <w:t>e</w:t>
      </w:r>
      <w:r>
        <w:t xml:space="preserve"> their decision in the event of refusal or if the decision is</w:t>
      </w:r>
      <w:r w:rsidR="00AF2638">
        <w:t xml:space="preserve"> made</w:t>
      </w:r>
      <w:r>
        <w:t xml:space="preserve"> subject to conditions. </w:t>
      </w:r>
    </w:p>
    <w:p w14:paraId="2763CDCC" w14:textId="77777777" w:rsidR="006074C1" w:rsidRPr="00713331" w:rsidRDefault="006074C1" w:rsidP="006074C1">
      <w:pPr>
        <w:pStyle w:val="Heading1"/>
        <w:numPr>
          <w:ilvl w:val="0"/>
          <w:numId w:val="7"/>
        </w:numPr>
        <w:ind w:left="1080" w:hanging="360"/>
      </w:pPr>
      <w:bookmarkStart w:id="25" w:name="_Toc135085724"/>
      <w:r>
        <w:t xml:space="preserve">Modification of an already submitted </w:t>
      </w:r>
      <w:proofErr w:type="gramStart"/>
      <w:r>
        <w:t>file</w:t>
      </w:r>
      <w:bookmarkEnd w:id="25"/>
      <w:proofErr w:type="gramEnd"/>
      <w:r>
        <w:t xml:space="preserve"> </w:t>
      </w:r>
    </w:p>
    <w:p w14:paraId="3ADAE2B4" w14:textId="77777777" w:rsidR="006074C1" w:rsidRPr="00713331" w:rsidRDefault="006074C1" w:rsidP="006074C1">
      <w:pPr>
        <w:pStyle w:val="Numberednormal"/>
        <w:numPr>
          <w:ilvl w:val="0"/>
          <w:numId w:val="6"/>
        </w:numPr>
      </w:pPr>
      <w:r>
        <w:t xml:space="preserve">Two situations may occur: </w:t>
      </w:r>
    </w:p>
    <w:p w14:paraId="7A37D3D3" w14:textId="77777777" w:rsidR="006074C1" w:rsidRPr="00713331" w:rsidRDefault="006074C1" w:rsidP="006074C1">
      <w:pPr>
        <w:pStyle w:val="Numberednormal"/>
        <w:numPr>
          <w:ilvl w:val="0"/>
          <w:numId w:val="0"/>
        </w:numPr>
        <w:ind w:left="360" w:hanging="360"/>
      </w:pPr>
    </w:p>
    <w:p w14:paraId="4AC64DF2" w14:textId="3DAEFCE8" w:rsidR="006074C1" w:rsidRPr="00713331" w:rsidRDefault="006074C1" w:rsidP="006074C1">
      <w:pPr>
        <w:pStyle w:val="Numberednormal"/>
        <w:numPr>
          <w:ilvl w:val="0"/>
          <w:numId w:val="27"/>
        </w:numPr>
      </w:pPr>
      <w:r>
        <w:t xml:space="preserve">The applicant informs the BIPT that part of the information in </w:t>
      </w:r>
      <w:r w:rsidR="00851875">
        <w:t xml:space="preserve">an </w:t>
      </w:r>
      <w:r>
        <w:t>already submitted authorisation application (particularly data on the applicant or points of contact) is no longer or not correct, without requiring t</w:t>
      </w:r>
      <w:r w:rsidR="00130775">
        <w:t xml:space="preserve">o apply </w:t>
      </w:r>
      <w:r>
        <w:t xml:space="preserve">for a new </w:t>
      </w:r>
      <w:proofErr w:type="gramStart"/>
      <w:r>
        <w:t>authorisation;</w:t>
      </w:r>
      <w:proofErr w:type="gramEnd"/>
      <w:r>
        <w:t xml:space="preserve"> </w:t>
      </w:r>
    </w:p>
    <w:p w14:paraId="34A92657" w14:textId="77777777" w:rsidR="006074C1" w:rsidRPr="00713331" w:rsidRDefault="006074C1" w:rsidP="006074C1">
      <w:pPr>
        <w:pStyle w:val="Numberednormal"/>
        <w:numPr>
          <w:ilvl w:val="0"/>
          <w:numId w:val="27"/>
        </w:numPr>
      </w:pPr>
      <w:r>
        <w:lastRenderedPageBreak/>
        <w:t xml:space="preserve">The applicant must apply for a new authorisation because substantial changes have been made in relation to the initial application. </w:t>
      </w:r>
    </w:p>
    <w:p w14:paraId="5830A0E2" w14:textId="77777777" w:rsidR="006074C1" w:rsidRPr="00713331" w:rsidRDefault="006074C1" w:rsidP="006074C1">
      <w:pPr>
        <w:pStyle w:val="Numberednormal"/>
        <w:numPr>
          <w:ilvl w:val="0"/>
          <w:numId w:val="0"/>
        </w:numPr>
        <w:ind w:left="720"/>
      </w:pPr>
    </w:p>
    <w:p w14:paraId="5C98F0AA" w14:textId="77777777" w:rsidR="006074C1" w:rsidRPr="00713331" w:rsidRDefault="006074C1" w:rsidP="006074C1">
      <w:pPr>
        <w:pStyle w:val="Numberednormal"/>
        <w:numPr>
          <w:ilvl w:val="0"/>
          <w:numId w:val="6"/>
        </w:numPr>
      </w:pPr>
      <w:r>
        <w:t xml:space="preserve">Regarding the second situation, Article 11, subparagraph </w:t>
      </w:r>
      <w:proofErr w:type="gramStart"/>
      <w:r>
        <w:t>2,</w:t>
      </w:r>
      <w:proofErr w:type="gramEnd"/>
      <w:r>
        <w:t xml:space="preserve"> of the Royal Decree on the ministerial authorisation provides that: “</w:t>
      </w:r>
      <w:r>
        <w:rPr>
          <w:i/>
          <w:iCs/>
          <w:shd w:val="clear" w:color="auto" w:fill="FFFFFF"/>
        </w:rPr>
        <w:t>When an update requires a new application for an authorisation, the undertaking concerned shall submit a complete file clearly indicating the changes that have been made in relation to the initial file</w:t>
      </w:r>
      <w:r>
        <w:rPr>
          <w:shd w:val="clear" w:color="auto" w:fill="FFFFFF"/>
        </w:rPr>
        <w:t>.</w:t>
      </w:r>
      <w:r>
        <w:t>” (Free translation)</w:t>
      </w:r>
    </w:p>
    <w:p w14:paraId="72559F8B" w14:textId="77777777" w:rsidR="006074C1" w:rsidRPr="00713331" w:rsidRDefault="006074C1" w:rsidP="006074C1">
      <w:pPr>
        <w:pStyle w:val="Numberednormal"/>
        <w:numPr>
          <w:ilvl w:val="0"/>
          <w:numId w:val="0"/>
        </w:numPr>
        <w:ind w:left="360"/>
      </w:pPr>
    </w:p>
    <w:p w14:paraId="59D68604" w14:textId="77777777" w:rsidR="006074C1" w:rsidRPr="00713331" w:rsidRDefault="006074C1" w:rsidP="006074C1">
      <w:pPr>
        <w:pStyle w:val="Numberednormal"/>
        <w:numPr>
          <w:ilvl w:val="0"/>
          <w:numId w:val="6"/>
        </w:numPr>
      </w:pPr>
      <w:r>
        <w:t xml:space="preserve">To comply with this provision and when the applicant submits an authorisation application making changes in relation to a previous application, the following is proposed: </w:t>
      </w:r>
    </w:p>
    <w:p w14:paraId="15E01E4C" w14:textId="77777777" w:rsidR="006074C1" w:rsidRPr="00713331" w:rsidRDefault="006074C1" w:rsidP="006074C1">
      <w:pPr>
        <w:pStyle w:val="ListParagraph"/>
      </w:pPr>
      <w:r>
        <w:t xml:space="preserve">the letter by which a new authorisation is requested will indicate the references provided in the BIPT's acknowledgement of receipt for the original authorisation application (the application to which changes were made); </w:t>
      </w:r>
    </w:p>
    <w:p w14:paraId="51F71117" w14:textId="7D291AC2" w:rsidR="006074C1" w:rsidRPr="00713331" w:rsidRDefault="006074C1" w:rsidP="006074C1">
      <w:pPr>
        <w:pStyle w:val="ListParagraph"/>
      </w:pPr>
      <w:r>
        <w:t>the applica</w:t>
      </w:r>
      <w:r w:rsidR="00364D7C">
        <w:t>n</w:t>
      </w:r>
      <w:r>
        <w:t>t will provide the BIPT with the modified, replaced or added sheets; the version of the modified sheet will become version 2 (or v2)</w:t>
      </w:r>
      <w:r w:rsidRPr="00713331">
        <w:rPr>
          <w:rStyle w:val="FootnoteReference"/>
        </w:rPr>
        <w:footnoteReference w:id="5"/>
      </w:r>
      <w:r>
        <w:t xml:space="preserve">; </w:t>
      </w:r>
    </w:p>
    <w:p w14:paraId="0E578423" w14:textId="43F2C7C7" w:rsidR="006074C1" w:rsidRPr="00713331" w:rsidRDefault="006074C1" w:rsidP="006074C1">
      <w:pPr>
        <w:pStyle w:val="ListParagraph"/>
      </w:pPr>
      <w:r>
        <w:t xml:space="preserve">the applicant will provide the BIPT with the inventory of the annexes to the letter by which the initial authorisation was requested, adding in this inventory information concerning the modifications to the latter (modified, replaced or new parts), in accordance with </w:t>
      </w:r>
      <w:r w:rsidR="00AB5EEE">
        <w:t xml:space="preserve">part </w:t>
      </w:r>
      <w:r>
        <w:t xml:space="preserve">No 2 (“consolidated version of the inventory”);  </w:t>
      </w:r>
    </w:p>
    <w:p w14:paraId="4E74F1F4" w14:textId="44D658D9" w:rsidR="006074C1" w:rsidRPr="00713331" w:rsidRDefault="006074C1" w:rsidP="006074C1">
      <w:pPr>
        <w:pStyle w:val="ListParagraph"/>
      </w:pPr>
      <w:r>
        <w:t xml:space="preserve">the applicant will provide the BIPT with an inventory only including the parts for which the new application is made, according to the inventory template referred to in </w:t>
      </w:r>
      <w:r w:rsidR="00AB5EEE">
        <w:t xml:space="preserve">part </w:t>
      </w:r>
      <w:r>
        <w:t xml:space="preserve">No 2, but without filling out the seventh column of this inventory (inventory of the new file). </w:t>
      </w:r>
    </w:p>
    <w:p w14:paraId="7773032A" w14:textId="77777777" w:rsidR="006074C1" w:rsidRPr="00713331" w:rsidRDefault="006074C1" w:rsidP="006074C1">
      <w:pPr>
        <w:pStyle w:val="ListParagraph"/>
        <w:numPr>
          <w:ilvl w:val="0"/>
          <w:numId w:val="0"/>
        </w:numPr>
        <w:ind w:left="717"/>
      </w:pPr>
    </w:p>
    <w:p w14:paraId="124D672F" w14:textId="77777777" w:rsidR="006074C1" w:rsidRPr="00713331" w:rsidRDefault="006074C1" w:rsidP="006074C1">
      <w:pPr>
        <w:pStyle w:val="Numberednormal"/>
        <w:numPr>
          <w:ilvl w:val="0"/>
          <w:numId w:val="6"/>
        </w:numPr>
      </w:pPr>
      <w:r>
        <w:t xml:space="preserve">Question from an operator:  </w:t>
      </w:r>
    </w:p>
    <w:p w14:paraId="3E7C328B" w14:textId="182E5C63" w:rsidR="006074C1" w:rsidRPr="00713331" w:rsidRDefault="006074C1" w:rsidP="006074C1">
      <w:pPr>
        <w:rPr>
          <w:rFonts w:cs="Tahoma"/>
          <w:szCs w:val="20"/>
        </w:rPr>
      </w:pPr>
      <w:r>
        <w:rPr>
          <w:i/>
        </w:rPr>
        <w:t xml:space="preserve">“If the provider </w:t>
      </w:r>
      <w:r>
        <w:rPr>
          <w:b/>
          <w:bCs/>
          <w:i/>
        </w:rPr>
        <w:t>is not considered a high-risk provider</w:t>
      </w:r>
      <w:r>
        <w:rPr>
          <w:i/>
        </w:rPr>
        <w:t xml:space="preserve"> after the regularisation procedure, we wonder whether it would not be possible to simplify the procedure as much as possible for future adaptations of the authorisation for the products of this provider?”</w:t>
      </w:r>
    </w:p>
    <w:p w14:paraId="3DABC860" w14:textId="77777777" w:rsidR="006074C1" w:rsidRPr="00713331" w:rsidRDefault="006074C1" w:rsidP="006074C1">
      <w:pPr>
        <w:rPr>
          <w:rFonts w:cs="Tahoma"/>
          <w:szCs w:val="20"/>
        </w:rPr>
      </w:pPr>
    </w:p>
    <w:p w14:paraId="0232E877" w14:textId="77777777" w:rsidR="006074C1" w:rsidRPr="00713331" w:rsidRDefault="006074C1" w:rsidP="006074C1">
      <w:pPr>
        <w:pStyle w:val="Numberednormal"/>
        <w:numPr>
          <w:ilvl w:val="0"/>
          <w:numId w:val="6"/>
        </w:numPr>
        <w:rPr>
          <w:rFonts w:cs="Tahoma"/>
          <w:szCs w:val="20"/>
        </w:rPr>
      </w:pPr>
      <w:r>
        <w:t xml:space="preserve">Answer from the BIPT: the BIPT is open to any concrete proposal from the sector. The issue raised by the operator concerns a future hypothesis.  </w:t>
      </w:r>
    </w:p>
    <w:p w14:paraId="433E3621" w14:textId="38E246E3" w:rsidR="00614144" w:rsidRPr="00713331" w:rsidRDefault="00614144" w:rsidP="00E365C2">
      <w:pPr>
        <w:pStyle w:val="BodyIBPTBIPT"/>
      </w:pPr>
    </w:p>
    <w:sectPr w:rsidR="00614144" w:rsidRPr="00713331" w:rsidSect="007F7A6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B2D76" w14:textId="77777777" w:rsidR="000F0B9F" w:rsidRDefault="000F0B9F" w:rsidP="00C96447">
      <w:r>
        <w:separator/>
      </w:r>
    </w:p>
  </w:endnote>
  <w:endnote w:type="continuationSeparator" w:id="0">
    <w:p w14:paraId="749764BD" w14:textId="77777777" w:rsidR="000F0B9F" w:rsidRDefault="000F0B9F" w:rsidP="00C9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168367"/>
      <w:docPartObj>
        <w:docPartGallery w:val="Page Numbers (Bottom of Page)"/>
        <w:docPartUnique/>
      </w:docPartObj>
    </w:sdtPr>
    <w:sdtEndPr/>
    <w:sdtContent>
      <w:p w14:paraId="1103924C" w14:textId="6D87BACF" w:rsidR="002A7F84" w:rsidRDefault="002A7F84">
        <w:pPr>
          <w:pStyle w:val="Footer"/>
          <w:jc w:val="center"/>
        </w:pPr>
        <w:r>
          <w:fldChar w:fldCharType="begin"/>
        </w:r>
        <w:r>
          <w:instrText>PAGE   \* MERGEFORMAT</w:instrText>
        </w:r>
        <w:r>
          <w:fldChar w:fldCharType="separate"/>
        </w:r>
        <w:r>
          <w:t>2</w:t>
        </w:r>
        <w:r>
          <w:fldChar w:fldCharType="end"/>
        </w:r>
      </w:p>
    </w:sdtContent>
  </w:sdt>
  <w:p w14:paraId="722781EE" w14:textId="77777777" w:rsidR="002A7F84" w:rsidRDefault="002A7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3DDF6" w14:textId="77777777" w:rsidR="000F0B9F" w:rsidRDefault="000F0B9F" w:rsidP="00C96447">
      <w:r>
        <w:separator/>
      </w:r>
    </w:p>
  </w:footnote>
  <w:footnote w:type="continuationSeparator" w:id="0">
    <w:p w14:paraId="5B87320B" w14:textId="77777777" w:rsidR="000F0B9F" w:rsidRDefault="000F0B9F" w:rsidP="00C96447">
      <w:r>
        <w:continuationSeparator/>
      </w:r>
    </w:p>
  </w:footnote>
  <w:footnote w:id="1">
    <w:p w14:paraId="7969B021" w14:textId="77777777" w:rsidR="009D034D" w:rsidRDefault="009D034D" w:rsidP="009D034D">
      <w:pPr>
        <w:pStyle w:val="pf0"/>
        <w:rPr>
          <w:rFonts w:ascii="Arial" w:hAnsi="Arial" w:cs="Arial"/>
          <w:sz w:val="20"/>
          <w:szCs w:val="20"/>
        </w:rPr>
      </w:pPr>
      <w:r>
        <w:rPr>
          <w:rStyle w:val="FootnoteReference"/>
        </w:rPr>
        <w:footnoteRef/>
      </w:r>
      <w:r>
        <w:t xml:space="preserve"> </w:t>
      </w:r>
      <w:hyperlink r:id="rId1" w:history="1">
        <w:r>
          <w:rPr>
            <w:rStyle w:val="cf01"/>
            <w:color w:val="0000FF"/>
            <w:u w:val="single"/>
          </w:rPr>
          <w:t>https://www.ericsson.com/en/reports-and-papers/ericsson-technology-review/articles/5g-synchronization-requirements-and-solutions</w:t>
        </w:r>
      </w:hyperlink>
      <w:r>
        <w:rPr>
          <w:rFonts w:ascii="Arial" w:hAnsi="Arial"/>
          <w:sz w:val="20"/>
        </w:rPr>
        <w:t xml:space="preserve">; </w:t>
      </w:r>
      <w:hyperlink r:id="rId2" w:history="1">
        <w:r>
          <w:rPr>
            <w:rStyle w:val="cf01"/>
            <w:color w:val="0000FF"/>
            <w:u w:val="single"/>
          </w:rPr>
          <w:t>https://forum.huawei.com/enterprise/en/topic-discussion-5g-synchronization-solution/thread/1042990-100305?from=latestPostsReplies</w:t>
        </w:r>
      </w:hyperlink>
      <w:r>
        <w:rPr>
          <w:rFonts w:ascii="Arial" w:hAnsi="Arial"/>
          <w:sz w:val="20"/>
        </w:rPr>
        <w:t xml:space="preserve">; </w:t>
      </w:r>
      <w:hyperlink r:id="rId3" w:history="1">
        <w:r>
          <w:rPr>
            <w:rStyle w:val="cf01"/>
            <w:color w:val="0000FF"/>
            <w:u w:val="single"/>
          </w:rPr>
          <w:t>https://www.nokia.com/blog/timing-and-synchronization-options-to-support-5g/</w:t>
        </w:r>
      </w:hyperlink>
      <w:r>
        <w:rPr>
          <w:rFonts w:ascii="Arial" w:hAnsi="Arial"/>
          <w:sz w:val="20"/>
        </w:rPr>
        <w:t>.</w:t>
      </w:r>
    </w:p>
    <w:p w14:paraId="6696DBF8" w14:textId="77777777" w:rsidR="009D034D" w:rsidRPr="006C56AF" w:rsidRDefault="009D034D" w:rsidP="009D034D">
      <w:pPr>
        <w:pStyle w:val="FootnoteText"/>
      </w:pPr>
    </w:p>
  </w:footnote>
  <w:footnote w:id="2">
    <w:p w14:paraId="53CE366B" w14:textId="3A964F9E" w:rsidR="00D67EA3" w:rsidRPr="00297F17" w:rsidRDefault="00D67EA3">
      <w:pPr>
        <w:pStyle w:val="FootnoteText"/>
        <w:rPr>
          <w:sz w:val="18"/>
          <w:szCs w:val="18"/>
        </w:rPr>
      </w:pPr>
      <w:r>
        <w:rPr>
          <w:rStyle w:val="FootnoteReference"/>
          <w:sz w:val="18"/>
          <w:szCs w:val="18"/>
        </w:rPr>
        <w:footnoteRef/>
      </w:r>
      <w:r>
        <w:rPr>
          <w:sz w:val="18"/>
        </w:rPr>
        <w:t xml:space="preserve"> The necessity to send a separate e-mail comes from the fact that this e-mail will not be forwarded to the ministers concerned, unlike the e-mail by which the authorisation application is sent. </w:t>
      </w:r>
    </w:p>
  </w:footnote>
  <w:footnote w:id="3">
    <w:p w14:paraId="28258145" w14:textId="30391CDE" w:rsidR="0088574D" w:rsidRPr="0088574D" w:rsidRDefault="0088574D">
      <w:pPr>
        <w:pStyle w:val="FootnoteText"/>
      </w:pPr>
      <w:r>
        <w:rPr>
          <w:rStyle w:val="FootnoteReference"/>
          <w:sz w:val="18"/>
          <w:szCs w:val="18"/>
        </w:rPr>
        <w:footnoteRef/>
      </w:r>
      <w:r>
        <w:rPr>
          <w:sz w:val="18"/>
        </w:rPr>
        <w:t xml:space="preserve"> In this case, the applicant shall request the public key of the BIPT and provide its own public key.</w:t>
      </w:r>
    </w:p>
  </w:footnote>
  <w:footnote w:id="4">
    <w:p w14:paraId="629FACA8" w14:textId="0003AA9D" w:rsidR="00632C4F" w:rsidRPr="00632C4F" w:rsidRDefault="00632C4F" w:rsidP="00632C4F">
      <w:pPr>
        <w:rPr>
          <w:sz w:val="18"/>
          <w:szCs w:val="18"/>
        </w:rPr>
      </w:pPr>
      <w:r>
        <w:rPr>
          <w:rStyle w:val="FootnoteReference"/>
          <w:sz w:val="18"/>
          <w:szCs w:val="18"/>
        </w:rPr>
        <w:footnoteRef/>
      </w:r>
      <w:r>
        <w:rPr>
          <w:sz w:val="18"/>
        </w:rPr>
        <w:t xml:space="preserve"> The ministerial authorisation is granted by the following ministers: the Prime Minister, the Minister for Telecommunications, the Minister for Defence, the Minister for Justice, the Minister for Home </w:t>
      </w:r>
      <w:proofErr w:type="gramStart"/>
      <w:r>
        <w:rPr>
          <w:sz w:val="18"/>
        </w:rPr>
        <w:t>Affairs</w:t>
      </w:r>
      <w:proofErr w:type="gramEnd"/>
      <w:r>
        <w:rPr>
          <w:sz w:val="18"/>
        </w:rPr>
        <w:t xml:space="preserve"> and the Minister for Foreign Affairs. </w:t>
      </w:r>
    </w:p>
    <w:p w14:paraId="579816BB" w14:textId="22AF8259" w:rsidR="00632C4F" w:rsidRPr="00632C4F" w:rsidRDefault="00632C4F">
      <w:pPr>
        <w:pStyle w:val="FootnoteText"/>
        <w:rPr>
          <w:sz w:val="18"/>
          <w:szCs w:val="18"/>
        </w:rPr>
      </w:pPr>
    </w:p>
  </w:footnote>
  <w:footnote w:id="5">
    <w:p w14:paraId="5BC6560B" w14:textId="77777777" w:rsidR="006074C1" w:rsidRPr="00632C4F" w:rsidRDefault="006074C1" w:rsidP="006074C1">
      <w:pPr>
        <w:pStyle w:val="FootnoteText"/>
        <w:rPr>
          <w:sz w:val="18"/>
          <w:szCs w:val="18"/>
        </w:rPr>
      </w:pPr>
      <w:r>
        <w:rPr>
          <w:rStyle w:val="FootnoteReference"/>
          <w:sz w:val="18"/>
          <w:szCs w:val="18"/>
        </w:rPr>
        <w:footnoteRef/>
      </w:r>
      <w:r>
        <w:rPr>
          <w:sz w:val="18"/>
        </w:rPr>
        <w:t xml:space="preserve"> However, the applicant does not have to provide the BIPT with the sheets already provided within the framework of the initial file.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9A"/>
    <w:multiLevelType w:val="hybridMultilevel"/>
    <w:tmpl w:val="86A87C68"/>
    <w:lvl w:ilvl="0" w:tplc="68F84CE0">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B93554"/>
    <w:multiLevelType w:val="hybridMultilevel"/>
    <w:tmpl w:val="7312D770"/>
    <w:lvl w:ilvl="0" w:tplc="4A52A582">
      <w:start w:val="1"/>
      <w:numFmt w:val="decimal"/>
      <w:pStyle w:val="Annexnumber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15:restartNumberingAfterBreak="0">
    <w:nsid w:val="045136E0"/>
    <w:multiLevelType w:val="hybridMultilevel"/>
    <w:tmpl w:val="572E1996"/>
    <w:lvl w:ilvl="0" w:tplc="93B8813C">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FD0CCA"/>
    <w:multiLevelType w:val="hybridMultilevel"/>
    <w:tmpl w:val="128860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CE1400A"/>
    <w:multiLevelType w:val="hybridMultilevel"/>
    <w:tmpl w:val="0E6A70EA"/>
    <w:lvl w:ilvl="0" w:tplc="8DFEDF66">
      <w:start w:val="1"/>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67544C"/>
    <w:multiLevelType w:val="hybridMultilevel"/>
    <w:tmpl w:val="46C6A16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15D11690"/>
    <w:multiLevelType w:val="hybridMultilevel"/>
    <w:tmpl w:val="43BAB9C4"/>
    <w:lvl w:ilvl="0" w:tplc="C4FEF1F8">
      <w:start w:val="1"/>
      <w:numFmt w:val="decimalZero"/>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DE6F92"/>
    <w:multiLevelType w:val="hybridMultilevel"/>
    <w:tmpl w:val="E630772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E961726"/>
    <w:multiLevelType w:val="multilevel"/>
    <w:tmpl w:val="67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11403"/>
    <w:multiLevelType w:val="multilevel"/>
    <w:tmpl w:val="2EA490CE"/>
    <w:lvl w:ilvl="0">
      <w:start w:val="1"/>
      <w:numFmt w:val="decimal"/>
      <w:pStyle w:val="Heading1"/>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2D985F37"/>
    <w:multiLevelType w:val="multilevel"/>
    <w:tmpl w:val="47DC56E0"/>
    <w:lvl w:ilvl="0">
      <w:start w:val="1"/>
      <w:numFmt w:val="decimal"/>
      <w:pStyle w:val="Annex"/>
      <w:suff w:val="space"/>
      <w:lvlText w:val="Fich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1717760"/>
    <w:multiLevelType w:val="hybridMultilevel"/>
    <w:tmpl w:val="785488C6"/>
    <w:lvl w:ilvl="0" w:tplc="4DD07ED6">
      <w:start w:val="2"/>
      <w:numFmt w:val="lowerLetter"/>
      <w:lvlText w:val="%1)"/>
      <w:lvlJc w:val="left"/>
      <w:pPr>
        <w:ind w:left="720" w:hanging="360"/>
      </w:pPr>
      <w:rPr>
        <w:rFonts w:hint="default"/>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417240A"/>
    <w:multiLevelType w:val="hybridMultilevel"/>
    <w:tmpl w:val="9D08A32A"/>
    <w:lvl w:ilvl="0" w:tplc="080C0017">
      <w:start w:val="1"/>
      <w:numFmt w:val="lowerLetter"/>
      <w:lvlText w:val="%1)"/>
      <w:lvlJc w:val="left"/>
      <w:pPr>
        <w:ind w:left="720" w:hanging="360"/>
      </w:pPr>
      <w:rPr>
        <w:rFont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85D7BD7"/>
    <w:multiLevelType w:val="hybridMultilevel"/>
    <w:tmpl w:val="6F2C800E"/>
    <w:lvl w:ilvl="0" w:tplc="78AE1790">
      <w:start w:val="8"/>
      <w:numFmt w:val="lowerLetter"/>
      <w:lvlText w:val="%1)"/>
      <w:lvlJc w:val="left"/>
      <w:pPr>
        <w:ind w:left="360" w:hanging="360"/>
      </w:pPr>
      <w:rPr>
        <w:rFonts w:hint="default"/>
        <w:sz w:val="20"/>
        <w:szCs w:val="2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3A19139C"/>
    <w:multiLevelType w:val="multilevel"/>
    <w:tmpl w:val="3AC63AAE"/>
    <w:numStyleLink w:val="Annexe"/>
  </w:abstractNum>
  <w:abstractNum w:abstractNumId="15" w15:restartNumberingAfterBreak="0">
    <w:nsid w:val="3B6967F8"/>
    <w:multiLevelType w:val="multilevel"/>
    <w:tmpl w:val="F5A07E5E"/>
    <w:lvl w:ilvl="0">
      <w:start w:val="1"/>
      <w:numFmt w:val="decimal"/>
      <w:pStyle w:val="Style1"/>
      <w:lvlText w:val="%1."/>
      <w:lvlJc w:val="left"/>
      <w:pPr>
        <w:ind w:left="8299" w:hanging="360"/>
      </w:pPr>
      <w:rPr>
        <w:rFonts w:cs="Times New Roman"/>
        <w:b w:val="0"/>
        <w:bCs w:val="0"/>
        <w:i w:val="0"/>
        <w:iCs w:val="0"/>
        <w:caps w:val="0"/>
        <w:smallCaps w:val="0"/>
        <w:strike w:val="0"/>
        <w:dstrike w:val="0"/>
        <w:outline w:val="0"/>
        <w:shadow w:val="0"/>
        <w:emboss w:val="0"/>
        <w:imprint w:val="0"/>
        <w:noProof w:val="0"/>
        <w:vanish w:val="0"/>
        <w:kern w:val="0"/>
        <w:position w:val="0"/>
        <w:sz w:val="20"/>
        <w:szCs w:val="2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E0495A"/>
    <w:multiLevelType w:val="hybridMultilevel"/>
    <w:tmpl w:val="BA96C072"/>
    <w:lvl w:ilvl="0" w:tplc="08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1DF3DB8"/>
    <w:multiLevelType w:val="hybridMultilevel"/>
    <w:tmpl w:val="A3E414DC"/>
    <w:lvl w:ilvl="0" w:tplc="E7CC1EE6">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3A83A18"/>
    <w:multiLevelType w:val="hybridMultilevel"/>
    <w:tmpl w:val="BA3E9378"/>
    <w:lvl w:ilvl="0" w:tplc="1B1A0C1E">
      <w:start w:val="7"/>
      <w:numFmt w:val="lowerLetter"/>
      <w:lvlText w:val="%1)"/>
      <w:lvlJc w:val="left"/>
      <w:pPr>
        <w:ind w:left="360" w:hanging="360"/>
      </w:pPr>
      <w:rPr>
        <w:rFonts w:hint="default"/>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3F83AE7"/>
    <w:multiLevelType w:val="hybridMultilevel"/>
    <w:tmpl w:val="D316AF5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0" w15:restartNumberingAfterBreak="0">
    <w:nsid w:val="46DF2A9B"/>
    <w:multiLevelType w:val="hybridMultilevel"/>
    <w:tmpl w:val="52482966"/>
    <w:lvl w:ilvl="0" w:tplc="EA44DACE">
      <w:start w:val="10"/>
      <w:numFmt w:val="lowerLetter"/>
      <w:lvlText w:val="%1)"/>
      <w:lvlJc w:val="left"/>
      <w:pPr>
        <w:ind w:left="360" w:hanging="360"/>
      </w:pPr>
      <w:rPr>
        <w:rFonts w:hint="default"/>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7DE4F82"/>
    <w:multiLevelType w:val="hybridMultilevel"/>
    <w:tmpl w:val="4A12F160"/>
    <w:lvl w:ilvl="0" w:tplc="04D60772">
      <w:start w:val="1"/>
      <w:numFmt w:val="bullet"/>
      <w:pStyle w:val="Normalbullet"/>
      <w:lvlText w:val=""/>
      <w:lvlJc w:val="left"/>
      <w:pPr>
        <w:ind w:left="720" w:hanging="360"/>
      </w:pPr>
      <w:rPr>
        <w:rFonts w:ascii="Wingdings" w:hAnsi="Wingding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4BB7633F"/>
    <w:multiLevelType w:val="hybridMultilevel"/>
    <w:tmpl w:val="D4487510"/>
    <w:lvl w:ilvl="0" w:tplc="080C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D0FA5"/>
    <w:multiLevelType w:val="hybridMultilevel"/>
    <w:tmpl w:val="07B02A34"/>
    <w:lvl w:ilvl="0" w:tplc="9A8A0B0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4" w15:restartNumberingAfterBreak="0">
    <w:nsid w:val="518C374A"/>
    <w:multiLevelType w:val="hybridMultilevel"/>
    <w:tmpl w:val="6B9CC2DC"/>
    <w:lvl w:ilvl="0" w:tplc="7424E376">
      <w:start w:val="9"/>
      <w:numFmt w:val="lowerLetter"/>
      <w:lvlText w:val="%1)"/>
      <w:lvlJc w:val="left"/>
      <w:pPr>
        <w:ind w:left="360" w:hanging="360"/>
      </w:pPr>
      <w:rPr>
        <w:rFonts w:hint="default"/>
        <w:sz w:val="20"/>
        <w:szCs w:val="2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51C83152"/>
    <w:multiLevelType w:val="hybridMultilevel"/>
    <w:tmpl w:val="D4487510"/>
    <w:lvl w:ilvl="0" w:tplc="080C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0195F"/>
    <w:multiLevelType w:val="hybridMultilevel"/>
    <w:tmpl w:val="125A6382"/>
    <w:lvl w:ilvl="0" w:tplc="B658C7F6">
      <w:start w:val="7"/>
      <w:numFmt w:val="lowerLetter"/>
      <w:lvlText w:val="%1)"/>
      <w:lvlJc w:val="left"/>
      <w:pPr>
        <w:ind w:left="360" w:hanging="360"/>
      </w:pPr>
      <w:rPr>
        <w:rFonts w:hint="default"/>
        <w:sz w:val="20"/>
        <w:szCs w:val="2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7" w15:restartNumberingAfterBreak="0">
    <w:nsid w:val="5A582F4D"/>
    <w:multiLevelType w:val="multilevel"/>
    <w:tmpl w:val="080C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5A972EDD"/>
    <w:multiLevelType w:val="hybridMultilevel"/>
    <w:tmpl w:val="3D0A2E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AFE1CE4"/>
    <w:multiLevelType w:val="multilevel"/>
    <w:tmpl w:val="3AC63AAE"/>
    <w:styleLink w:val="Annexe"/>
    <w:lvl w:ilvl="0">
      <w:start w:val="1"/>
      <w:numFmt w:val="decimal"/>
      <w:suff w:val="space"/>
      <w:lvlText w:val="Annex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B1F0E2F"/>
    <w:multiLevelType w:val="hybridMultilevel"/>
    <w:tmpl w:val="9D08A32A"/>
    <w:lvl w:ilvl="0" w:tplc="080C0017">
      <w:start w:val="1"/>
      <w:numFmt w:val="lowerLetter"/>
      <w:lvlText w:val="%1)"/>
      <w:lvlJc w:val="left"/>
      <w:pPr>
        <w:ind w:left="720" w:hanging="360"/>
      </w:pPr>
      <w:rPr>
        <w:rFont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5F800D2A"/>
    <w:multiLevelType w:val="hybridMultilevel"/>
    <w:tmpl w:val="531A8230"/>
    <w:lvl w:ilvl="0" w:tplc="07769092">
      <w:start w:val="1"/>
      <w:numFmt w:val="decimal"/>
      <w:lvlText w:val="%1."/>
      <w:lvlJc w:val="left"/>
      <w:pPr>
        <w:ind w:left="794"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pStyle w:val="Heading4"/>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13449A6"/>
    <w:multiLevelType w:val="hybridMultilevel"/>
    <w:tmpl w:val="06AE867A"/>
    <w:lvl w:ilvl="0" w:tplc="1B6C4882">
      <w:start w:val="3"/>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1FC3CA3"/>
    <w:multiLevelType w:val="hybridMultilevel"/>
    <w:tmpl w:val="5AB2C920"/>
    <w:lvl w:ilvl="0" w:tplc="664AA54E">
      <w:start w:val="1"/>
      <w:numFmt w:val="decimal"/>
      <w:pStyle w:val="Numberednor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4" w15:restartNumberingAfterBreak="0">
    <w:nsid w:val="65052C5F"/>
    <w:multiLevelType w:val="hybridMultilevel"/>
    <w:tmpl w:val="FF26FE06"/>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5" w15:restartNumberingAfterBreak="0">
    <w:nsid w:val="662C67F1"/>
    <w:multiLevelType w:val="hybridMultilevel"/>
    <w:tmpl w:val="D6783014"/>
    <w:lvl w:ilvl="0" w:tplc="30F6D58E">
      <w:start w:val="1"/>
      <w:numFmt w:val="bullet"/>
      <w:pStyle w:val="ListParagraph"/>
      <w:lvlText w:val="-"/>
      <w:lvlJc w:val="left"/>
      <w:pPr>
        <w:ind w:left="717" w:hanging="360"/>
      </w:pPr>
      <w:rPr>
        <w:rFonts w:ascii="Cambria" w:hAnsi="Cambria"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36" w15:restartNumberingAfterBreak="0">
    <w:nsid w:val="689A3CB4"/>
    <w:multiLevelType w:val="hybridMultilevel"/>
    <w:tmpl w:val="F078CD8C"/>
    <w:lvl w:ilvl="0" w:tplc="6E7AB9A0">
      <w:start w:val="11"/>
      <w:numFmt w:val="lowerLetter"/>
      <w:lvlText w:val="%1)"/>
      <w:lvlJc w:val="left"/>
      <w:pPr>
        <w:ind w:left="360" w:hanging="360"/>
      </w:pPr>
      <w:rPr>
        <w:rFonts w:hint="default"/>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68C7550F"/>
    <w:multiLevelType w:val="hybridMultilevel"/>
    <w:tmpl w:val="E1562246"/>
    <w:lvl w:ilvl="0" w:tplc="D700A59C">
      <w:start w:val="2"/>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1DA19CD"/>
    <w:multiLevelType w:val="hybridMultilevel"/>
    <w:tmpl w:val="38E8A708"/>
    <w:lvl w:ilvl="0" w:tplc="B4C8EA82">
      <w:numFmt w:val="bullet"/>
      <w:lvlText w:val="-"/>
      <w:lvlJc w:val="left"/>
      <w:pPr>
        <w:ind w:left="420" w:hanging="360"/>
      </w:pPr>
      <w:rPr>
        <w:rFonts w:ascii="Tahoma" w:eastAsiaTheme="minorHAnsi" w:hAnsi="Tahoma" w:cs="Tahoma"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9" w15:restartNumberingAfterBreak="0">
    <w:nsid w:val="7A1556E7"/>
    <w:multiLevelType w:val="hybridMultilevel"/>
    <w:tmpl w:val="581234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7E6F676B"/>
    <w:multiLevelType w:val="hybridMultilevel"/>
    <w:tmpl w:val="ABCC6766"/>
    <w:lvl w:ilvl="0" w:tplc="4538D642">
      <w:start w:val="1"/>
      <w:numFmt w:val="decimal"/>
      <w:lvlText w:val="%1)"/>
      <w:lvlJc w:val="left"/>
      <w:pPr>
        <w:ind w:left="720" w:hanging="360"/>
      </w:pPr>
      <w:rPr>
        <w:rFonts w:asciiTheme="minorHAnsi" w:eastAsiaTheme="minorHAnsi" w:hAnsiTheme="minorHAnsi" w:cstheme="minorBidi"/>
      </w:rPr>
    </w:lvl>
    <w:lvl w:ilvl="1" w:tplc="AFE8E820">
      <w:start w:val="1"/>
      <w:numFmt w:val="bullet"/>
      <w:lvlText w:val="o"/>
      <w:lvlJc w:val="left"/>
      <w:pPr>
        <w:ind w:left="1440" w:hanging="360"/>
      </w:pPr>
      <w:rPr>
        <w:rFonts w:ascii="Courier New" w:hAnsi="Courier New" w:cs="Times New Roman" w:hint="default"/>
      </w:rPr>
    </w:lvl>
    <w:lvl w:ilvl="2" w:tplc="9A44919A">
      <w:start w:val="1"/>
      <w:numFmt w:val="bullet"/>
      <w:lvlText w:val=""/>
      <w:lvlJc w:val="left"/>
      <w:pPr>
        <w:ind w:left="2160" w:hanging="360"/>
      </w:pPr>
      <w:rPr>
        <w:rFonts w:ascii="Wingdings" w:hAnsi="Wingdings" w:hint="default"/>
      </w:rPr>
    </w:lvl>
    <w:lvl w:ilvl="3" w:tplc="6DEEC2A2">
      <w:start w:val="1"/>
      <w:numFmt w:val="bullet"/>
      <w:lvlText w:val=""/>
      <w:lvlJc w:val="left"/>
      <w:pPr>
        <w:ind w:left="2880" w:hanging="360"/>
      </w:pPr>
      <w:rPr>
        <w:rFonts w:ascii="Symbol" w:hAnsi="Symbol" w:hint="default"/>
      </w:rPr>
    </w:lvl>
    <w:lvl w:ilvl="4" w:tplc="4D205606">
      <w:start w:val="1"/>
      <w:numFmt w:val="bullet"/>
      <w:lvlText w:val="o"/>
      <w:lvlJc w:val="left"/>
      <w:pPr>
        <w:ind w:left="3600" w:hanging="360"/>
      </w:pPr>
      <w:rPr>
        <w:rFonts w:ascii="Courier New" w:hAnsi="Courier New" w:cs="Times New Roman" w:hint="default"/>
      </w:rPr>
    </w:lvl>
    <w:lvl w:ilvl="5" w:tplc="B6C650A6">
      <w:start w:val="1"/>
      <w:numFmt w:val="bullet"/>
      <w:lvlText w:val=""/>
      <w:lvlJc w:val="left"/>
      <w:pPr>
        <w:ind w:left="4320" w:hanging="360"/>
      </w:pPr>
      <w:rPr>
        <w:rFonts w:ascii="Wingdings" w:hAnsi="Wingdings" w:hint="default"/>
      </w:rPr>
    </w:lvl>
    <w:lvl w:ilvl="6" w:tplc="68D2B588">
      <w:start w:val="1"/>
      <w:numFmt w:val="bullet"/>
      <w:lvlText w:val=""/>
      <w:lvlJc w:val="left"/>
      <w:pPr>
        <w:ind w:left="5040" w:hanging="360"/>
      </w:pPr>
      <w:rPr>
        <w:rFonts w:ascii="Symbol" w:hAnsi="Symbol" w:hint="default"/>
      </w:rPr>
    </w:lvl>
    <w:lvl w:ilvl="7" w:tplc="C276E414">
      <w:start w:val="1"/>
      <w:numFmt w:val="bullet"/>
      <w:lvlText w:val="o"/>
      <w:lvlJc w:val="left"/>
      <w:pPr>
        <w:ind w:left="5760" w:hanging="360"/>
      </w:pPr>
      <w:rPr>
        <w:rFonts w:ascii="Courier New" w:hAnsi="Courier New" w:cs="Times New Roman" w:hint="default"/>
      </w:rPr>
    </w:lvl>
    <w:lvl w:ilvl="8" w:tplc="6CB6E7C4">
      <w:start w:val="1"/>
      <w:numFmt w:val="bullet"/>
      <w:lvlText w:val=""/>
      <w:lvlJc w:val="left"/>
      <w:pPr>
        <w:ind w:left="6480" w:hanging="360"/>
      </w:pPr>
      <w:rPr>
        <w:rFonts w:ascii="Wingdings" w:hAnsi="Wingdings" w:hint="default"/>
      </w:rPr>
    </w:lvl>
  </w:abstractNum>
  <w:num w:numId="1" w16cid:durableId="1688360161">
    <w:abstractNumId w:val="7"/>
  </w:num>
  <w:num w:numId="2" w16cid:durableId="617881552">
    <w:abstractNumId w:val="34"/>
  </w:num>
  <w:num w:numId="3" w16cid:durableId="5894369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406060">
    <w:abstractNumId w:val="21"/>
  </w:num>
  <w:num w:numId="5" w16cid:durableId="2132018016">
    <w:abstractNumId w:val="1"/>
  </w:num>
  <w:num w:numId="6" w16cid:durableId="813715456">
    <w:abstractNumId w:val="33"/>
  </w:num>
  <w:num w:numId="7" w16cid:durableId="1179464056">
    <w:abstractNumId w:val="9"/>
  </w:num>
  <w:num w:numId="8" w16cid:durableId="763573597">
    <w:abstractNumId w:val="9"/>
  </w:num>
  <w:num w:numId="9" w16cid:durableId="1478062563">
    <w:abstractNumId w:val="9"/>
  </w:num>
  <w:num w:numId="10" w16cid:durableId="2034723486">
    <w:abstractNumId w:val="31"/>
  </w:num>
  <w:num w:numId="11" w16cid:durableId="489450274">
    <w:abstractNumId w:val="35"/>
  </w:num>
  <w:num w:numId="12" w16cid:durableId="962421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8546194">
    <w:abstractNumId w:val="21"/>
  </w:num>
  <w:num w:numId="14" w16cid:durableId="262035161">
    <w:abstractNumId w:val="1"/>
  </w:num>
  <w:num w:numId="15" w16cid:durableId="1534920661">
    <w:abstractNumId w:val="33"/>
  </w:num>
  <w:num w:numId="16" w16cid:durableId="386227442">
    <w:abstractNumId w:val="27"/>
  </w:num>
  <w:num w:numId="17" w16cid:durableId="823931382">
    <w:abstractNumId w:val="29"/>
  </w:num>
  <w:num w:numId="18" w16cid:durableId="1324311326">
    <w:abstractNumId w:val="14"/>
  </w:num>
  <w:num w:numId="19" w16cid:durableId="1284848685">
    <w:abstractNumId w:val="10"/>
  </w:num>
  <w:num w:numId="20" w16cid:durableId="766076057">
    <w:abstractNumId w:val="3"/>
  </w:num>
  <w:num w:numId="21" w16cid:durableId="45959575">
    <w:abstractNumId w:val="39"/>
  </w:num>
  <w:num w:numId="22" w16cid:durableId="1317219969">
    <w:abstractNumId w:val="16"/>
  </w:num>
  <w:num w:numId="23" w16cid:durableId="661544885">
    <w:abstractNumId w:val="17"/>
  </w:num>
  <w:num w:numId="24" w16cid:durableId="1792434166">
    <w:abstractNumId w:val="4"/>
  </w:num>
  <w:num w:numId="25" w16cid:durableId="51003648">
    <w:abstractNumId w:val="2"/>
  </w:num>
  <w:num w:numId="26" w16cid:durableId="567806314">
    <w:abstractNumId w:val="33"/>
  </w:num>
  <w:num w:numId="27" w16cid:durableId="1388994518">
    <w:abstractNumId w:val="32"/>
  </w:num>
  <w:num w:numId="28" w16cid:durableId="993875836">
    <w:abstractNumId w:val="0"/>
  </w:num>
  <w:num w:numId="29" w16cid:durableId="239413795">
    <w:abstractNumId w:val="6"/>
  </w:num>
  <w:num w:numId="30" w16cid:durableId="331837322">
    <w:abstractNumId w:val="8"/>
  </w:num>
  <w:num w:numId="31" w16cid:durableId="267348484">
    <w:abstractNumId w:val="38"/>
  </w:num>
  <w:num w:numId="32" w16cid:durableId="1350063255">
    <w:abstractNumId w:val="9"/>
  </w:num>
  <w:num w:numId="33" w16cid:durableId="358824220">
    <w:abstractNumId w:val="9"/>
  </w:num>
  <w:num w:numId="34" w16cid:durableId="561062084">
    <w:abstractNumId w:val="23"/>
  </w:num>
  <w:num w:numId="35" w16cid:durableId="854541417">
    <w:abstractNumId w:val="26"/>
  </w:num>
  <w:num w:numId="36" w16cid:durableId="706370807">
    <w:abstractNumId w:val="13"/>
  </w:num>
  <w:num w:numId="37" w16cid:durableId="967246644">
    <w:abstractNumId w:val="24"/>
  </w:num>
  <w:num w:numId="38" w16cid:durableId="604194652">
    <w:abstractNumId w:val="36"/>
  </w:num>
  <w:num w:numId="39" w16cid:durableId="1380862272">
    <w:abstractNumId w:val="20"/>
  </w:num>
  <w:num w:numId="40" w16cid:durableId="1783113385">
    <w:abstractNumId w:val="18"/>
  </w:num>
  <w:num w:numId="41" w16cid:durableId="1846242872">
    <w:abstractNumId w:val="30"/>
  </w:num>
  <w:num w:numId="42" w16cid:durableId="734593691">
    <w:abstractNumId w:val="12"/>
  </w:num>
  <w:num w:numId="43" w16cid:durableId="891963897">
    <w:abstractNumId w:val="11"/>
  </w:num>
  <w:num w:numId="44" w16cid:durableId="380789392">
    <w:abstractNumId w:val="22"/>
  </w:num>
  <w:num w:numId="45" w16cid:durableId="38825208">
    <w:abstractNumId w:val="25"/>
  </w:num>
  <w:num w:numId="46" w16cid:durableId="900095789">
    <w:abstractNumId w:val="37"/>
  </w:num>
  <w:num w:numId="47" w16cid:durableId="1303927952">
    <w:abstractNumId w:val="28"/>
  </w:num>
  <w:num w:numId="48" w16cid:durableId="179321359">
    <w:abstractNumId w:val="40"/>
    <w:lvlOverride w:ilvl="0">
      <w:startOverride w:val="1"/>
    </w:lvlOverride>
    <w:lvlOverride w:ilvl="1"/>
    <w:lvlOverride w:ilvl="2"/>
    <w:lvlOverride w:ilvl="3"/>
    <w:lvlOverride w:ilvl="4"/>
    <w:lvlOverride w:ilvl="5"/>
    <w:lvlOverride w:ilvl="6"/>
    <w:lvlOverride w:ilvl="7"/>
    <w:lvlOverride w:ilvl="8"/>
  </w:num>
  <w:num w:numId="49" w16cid:durableId="54160994">
    <w:abstractNumId w:val="5"/>
  </w:num>
  <w:num w:numId="50" w16cid:durableId="1980307210">
    <w:abstractNumId w:val="19"/>
  </w:num>
  <w:num w:numId="51" w16cid:durableId="192888963">
    <w:abstractNumId w:val="35"/>
  </w:num>
  <w:num w:numId="52" w16cid:durableId="1376809717">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A4"/>
    <w:rsid w:val="000039AE"/>
    <w:rsid w:val="000964C0"/>
    <w:rsid w:val="000E2908"/>
    <w:rsid w:val="000F0B9F"/>
    <w:rsid w:val="000F3605"/>
    <w:rsid w:val="001009BD"/>
    <w:rsid w:val="0010249C"/>
    <w:rsid w:val="00125688"/>
    <w:rsid w:val="0012637B"/>
    <w:rsid w:val="0012765B"/>
    <w:rsid w:val="00130775"/>
    <w:rsid w:val="0016508D"/>
    <w:rsid w:val="00171915"/>
    <w:rsid w:val="0017544D"/>
    <w:rsid w:val="00177AF6"/>
    <w:rsid w:val="001D06C9"/>
    <w:rsid w:val="001D5BB9"/>
    <w:rsid w:val="001E1A0A"/>
    <w:rsid w:val="001F3AEC"/>
    <w:rsid w:val="001F6C9F"/>
    <w:rsid w:val="00216AD6"/>
    <w:rsid w:val="00240908"/>
    <w:rsid w:val="00244755"/>
    <w:rsid w:val="00255803"/>
    <w:rsid w:val="00257690"/>
    <w:rsid w:val="002624FF"/>
    <w:rsid w:val="00270C6B"/>
    <w:rsid w:val="00275A58"/>
    <w:rsid w:val="00284658"/>
    <w:rsid w:val="00294497"/>
    <w:rsid w:val="00297F17"/>
    <w:rsid w:val="002A5966"/>
    <w:rsid w:val="002A7F84"/>
    <w:rsid w:val="002C3C99"/>
    <w:rsid w:val="002E5BD2"/>
    <w:rsid w:val="00310A99"/>
    <w:rsid w:val="00336219"/>
    <w:rsid w:val="0035389B"/>
    <w:rsid w:val="00364D7C"/>
    <w:rsid w:val="0038548B"/>
    <w:rsid w:val="00391068"/>
    <w:rsid w:val="0039499B"/>
    <w:rsid w:val="0041176D"/>
    <w:rsid w:val="00413894"/>
    <w:rsid w:val="00420263"/>
    <w:rsid w:val="00426C3D"/>
    <w:rsid w:val="004351B6"/>
    <w:rsid w:val="004622BD"/>
    <w:rsid w:val="00482C2C"/>
    <w:rsid w:val="0049396D"/>
    <w:rsid w:val="004B3C39"/>
    <w:rsid w:val="004E48ED"/>
    <w:rsid w:val="00510A55"/>
    <w:rsid w:val="005351A4"/>
    <w:rsid w:val="00542D1A"/>
    <w:rsid w:val="005432EA"/>
    <w:rsid w:val="00573E06"/>
    <w:rsid w:val="00592687"/>
    <w:rsid w:val="005975D9"/>
    <w:rsid w:val="005A425C"/>
    <w:rsid w:val="005E1A0B"/>
    <w:rsid w:val="005E461F"/>
    <w:rsid w:val="005E5757"/>
    <w:rsid w:val="005E6395"/>
    <w:rsid w:val="006074C1"/>
    <w:rsid w:val="00613737"/>
    <w:rsid w:val="00614144"/>
    <w:rsid w:val="00617CB8"/>
    <w:rsid w:val="00631944"/>
    <w:rsid w:val="00632C4F"/>
    <w:rsid w:val="006474D5"/>
    <w:rsid w:val="00651A03"/>
    <w:rsid w:val="00651B34"/>
    <w:rsid w:val="00653D61"/>
    <w:rsid w:val="006857BF"/>
    <w:rsid w:val="0069585E"/>
    <w:rsid w:val="006A5F08"/>
    <w:rsid w:val="006A60D3"/>
    <w:rsid w:val="006A65FA"/>
    <w:rsid w:val="006B4B3A"/>
    <w:rsid w:val="006D3CFA"/>
    <w:rsid w:val="00713331"/>
    <w:rsid w:val="0071400B"/>
    <w:rsid w:val="00723398"/>
    <w:rsid w:val="00766C14"/>
    <w:rsid w:val="00777B51"/>
    <w:rsid w:val="007835D0"/>
    <w:rsid w:val="007D1ED3"/>
    <w:rsid w:val="007D7477"/>
    <w:rsid w:val="007E0347"/>
    <w:rsid w:val="007E2003"/>
    <w:rsid w:val="007E44B9"/>
    <w:rsid w:val="007F7A66"/>
    <w:rsid w:val="00833F78"/>
    <w:rsid w:val="00835DF7"/>
    <w:rsid w:val="008416FC"/>
    <w:rsid w:val="00843C03"/>
    <w:rsid w:val="008457EA"/>
    <w:rsid w:val="00851875"/>
    <w:rsid w:val="008565D3"/>
    <w:rsid w:val="0088574D"/>
    <w:rsid w:val="008D03D3"/>
    <w:rsid w:val="008D64F9"/>
    <w:rsid w:val="008D71F3"/>
    <w:rsid w:val="008F5578"/>
    <w:rsid w:val="00945B3F"/>
    <w:rsid w:val="00951738"/>
    <w:rsid w:val="00957D85"/>
    <w:rsid w:val="00971621"/>
    <w:rsid w:val="009A0E35"/>
    <w:rsid w:val="009B0203"/>
    <w:rsid w:val="009B2817"/>
    <w:rsid w:val="009C70E4"/>
    <w:rsid w:val="009D034D"/>
    <w:rsid w:val="009D1190"/>
    <w:rsid w:val="009E6CD5"/>
    <w:rsid w:val="009F2438"/>
    <w:rsid w:val="009F5E36"/>
    <w:rsid w:val="00A249BD"/>
    <w:rsid w:val="00A52F0F"/>
    <w:rsid w:val="00A7020D"/>
    <w:rsid w:val="00A80DFF"/>
    <w:rsid w:val="00A907E6"/>
    <w:rsid w:val="00A953E4"/>
    <w:rsid w:val="00AB2450"/>
    <w:rsid w:val="00AB5EEE"/>
    <w:rsid w:val="00AD4C5F"/>
    <w:rsid w:val="00AF2638"/>
    <w:rsid w:val="00B20A1F"/>
    <w:rsid w:val="00B33D3F"/>
    <w:rsid w:val="00B40106"/>
    <w:rsid w:val="00B563FC"/>
    <w:rsid w:val="00B749C8"/>
    <w:rsid w:val="00B75A1A"/>
    <w:rsid w:val="00B842BB"/>
    <w:rsid w:val="00B86C47"/>
    <w:rsid w:val="00B90C28"/>
    <w:rsid w:val="00B91697"/>
    <w:rsid w:val="00B9606A"/>
    <w:rsid w:val="00BB41A9"/>
    <w:rsid w:val="00BC7893"/>
    <w:rsid w:val="00BD5640"/>
    <w:rsid w:val="00BE2CBA"/>
    <w:rsid w:val="00C01A8E"/>
    <w:rsid w:val="00C379C1"/>
    <w:rsid w:val="00C419BF"/>
    <w:rsid w:val="00C43D27"/>
    <w:rsid w:val="00C45B34"/>
    <w:rsid w:val="00C5038E"/>
    <w:rsid w:val="00C57425"/>
    <w:rsid w:val="00C60F06"/>
    <w:rsid w:val="00C66321"/>
    <w:rsid w:val="00C703B1"/>
    <w:rsid w:val="00C930B1"/>
    <w:rsid w:val="00C93E0D"/>
    <w:rsid w:val="00C96447"/>
    <w:rsid w:val="00C96F62"/>
    <w:rsid w:val="00CA5BD0"/>
    <w:rsid w:val="00CB79C7"/>
    <w:rsid w:val="00CC6989"/>
    <w:rsid w:val="00D16C6B"/>
    <w:rsid w:val="00D6245E"/>
    <w:rsid w:val="00D63FEA"/>
    <w:rsid w:val="00D67EA3"/>
    <w:rsid w:val="00D83926"/>
    <w:rsid w:val="00D862FD"/>
    <w:rsid w:val="00DB6B72"/>
    <w:rsid w:val="00DC5988"/>
    <w:rsid w:val="00DD68CD"/>
    <w:rsid w:val="00DE395B"/>
    <w:rsid w:val="00DF6358"/>
    <w:rsid w:val="00E24CA4"/>
    <w:rsid w:val="00E365C2"/>
    <w:rsid w:val="00E5130A"/>
    <w:rsid w:val="00E60238"/>
    <w:rsid w:val="00E814AB"/>
    <w:rsid w:val="00E83225"/>
    <w:rsid w:val="00E91815"/>
    <w:rsid w:val="00E95220"/>
    <w:rsid w:val="00ED6642"/>
    <w:rsid w:val="00EE12F1"/>
    <w:rsid w:val="00F4337D"/>
    <w:rsid w:val="00F459A4"/>
    <w:rsid w:val="00F708A4"/>
    <w:rsid w:val="00F720B8"/>
    <w:rsid w:val="00F740AA"/>
    <w:rsid w:val="00FA6E19"/>
    <w:rsid w:val="00FB3C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D9EC"/>
  <w15:chartTrackingRefBased/>
  <w15:docId w15:val="{50A5C25B-023C-4302-8AB6-91FD24FF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BF"/>
    <w:pPr>
      <w:spacing w:after="0" w:line="240" w:lineRule="auto"/>
      <w:jc w:val="both"/>
    </w:pPr>
    <w:rPr>
      <w:rFonts w:ascii="Tahoma" w:hAnsi="Tahoma"/>
      <w:sz w:val="20"/>
    </w:rPr>
  </w:style>
  <w:style w:type="paragraph" w:styleId="Heading1">
    <w:name w:val="heading 1"/>
    <w:basedOn w:val="Normal"/>
    <w:next w:val="Normal"/>
    <w:link w:val="Heading1Char"/>
    <w:qFormat/>
    <w:rsid w:val="008D71F3"/>
    <w:pPr>
      <w:keepLines/>
      <w:numPr>
        <w:numId w:val="9"/>
      </w:numPr>
      <w:spacing w:before="120"/>
      <w:outlineLvl w:val="0"/>
    </w:pPr>
    <w:rPr>
      <w:rFonts w:eastAsiaTheme="majorEastAsia" w:cstheme="majorBidi"/>
      <w:b/>
      <w:bCs/>
      <w:color w:val="292A81"/>
      <w:sz w:val="28"/>
      <w:szCs w:val="28"/>
    </w:rPr>
  </w:style>
  <w:style w:type="paragraph" w:styleId="Heading2">
    <w:name w:val="heading 2"/>
    <w:basedOn w:val="Normal"/>
    <w:next w:val="Normal"/>
    <w:link w:val="Heading2Char"/>
    <w:unhideWhenUsed/>
    <w:qFormat/>
    <w:rsid w:val="001D06C9"/>
    <w:pPr>
      <w:keepLines/>
      <w:numPr>
        <w:ilvl w:val="1"/>
        <w:numId w:val="9"/>
      </w:numPr>
      <w:tabs>
        <w:tab w:val="left" w:pos="0"/>
        <w:tab w:val="left" w:pos="794"/>
      </w:tabs>
      <w:spacing w:before="200" w:after="120"/>
      <w:outlineLvl w:val="1"/>
    </w:pPr>
    <w:rPr>
      <w:rFonts w:eastAsiaTheme="majorEastAsia" w:cstheme="majorBidi"/>
      <w:b/>
      <w:bCs/>
      <w:color w:val="002060"/>
      <w:sz w:val="24"/>
      <w:szCs w:val="26"/>
    </w:rPr>
  </w:style>
  <w:style w:type="paragraph" w:styleId="Heading3">
    <w:name w:val="heading 3"/>
    <w:basedOn w:val="Normal"/>
    <w:next w:val="Normal"/>
    <w:link w:val="Heading3Char"/>
    <w:semiHidden/>
    <w:unhideWhenUsed/>
    <w:qFormat/>
    <w:rsid w:val="001D06C9"/>
    <w:pPr>
      <w:keepLines/>
      <w:numPr>
        <w:ilvl w:val="2"/>
        <w:numId w:val="9"/>
      </w:numPr>
      <w:tabs>
        <w:tab w:val="left" w:pos="794"/>
      </w:tabs>
      <w:spacing w:before="200"/>
      <w:outlineLvl w:val="2"/>
    </w:pPr>
    <w:rPr>
      <w:rFonts w:eastAsia="Times New Roman" w:cs="Times New Roman"/>
      <w:b/>
      <w:bCs/>
      <w:color w:val="002060"/>
    </w:rPr>
  </w:style>
  <w:style w:type="paragraph" w:styleId="Heading4">
    <w:name w:val="heading 4"/>
    <w:basedOn w:val="Normal"/>
    <w:next w:val="Normal"/>
    <w:link w:val="Heading4Char"/>
    <w:semiHidden/>
    <w:unhideWhenUsed/>
    <w:qFormat/>
    <w:rsid w:val="001D06C9"/>
    <w:pPr>
      <w:keepLines/>
      <w:numPr>
        <w:ilvl w:val="3"/>
        <w:numId w:val="10"/>
      </w:numPr>
      <w:spacing w:before="360" w:after="120"/>
      <w:outlineLvl w:val="3"/>
    </w:pPr>
    <w:rPr>
      <w:rFonts w:eastAsia="Times New Roman" w:cs="Times New Roman"/>
      <w:b/>
      <w:bCs/>
      <w:iCs/>
      <w:color w:val="002060"/>
      <w:u w:val="single"/>
    </w:rPr>
  </w:style>
  <w:style w:type="paragraph" w:styleId="Heading6">
    <w:name w:val="heading 6"/>
    <w:basedOn w:val="Normal"/>
    <w:next w:val="Normal"/>
    <w:link w:val="Heading6Char"/>
    <w:uiPriority w:val="9"/>
    <w:semiHidden/>
    <w:unhideWhenUsed/>
    <w:qFormat/>
    <w:rsid w:val="001D06C9"/>
    <w:pPr>
      <w:keepNext/>
      <w:keepLines/>
      <w:spacing w:before="200" w:after="240"/>
      <w:ind w:left="3600"/>
      <w:outlineLvl w:val="5"/>
    </w:pPr>
    <w:rPr>
      <w:rFonts w:eastAsiaTheme="majorEastAsia" w:cstheme="majorBidi"/>
      <w:i/>
      <w:iCs/>
      <w:color w:val="125576" w:themeColor="accent1" w:themeShade="7F"/>
      <w:sz w:val="22"/>
    </w:rPr>
  </w:style>
  <w:style w:type="paragraph" w:styleId="Heading8">
    <w:name w:val="heading 8"/>
    <w:basedOn w:val="Normal"/>
    <w:next w:val="Normal"/>
    <w:link w:val="Heading8Char"/>
    <w:uiPriority w:val="9"/>
    <w:semiHidden/>
    <w:unhideWhenUsed/>
    <w:qFormat/>
    <w:rsid w:val="001D06C9"/>
    <w:pPr>
      <w:keepNext/>
      <w:keepLines/>
      <w:spacing w:before="200" w:after="240"/>
      <w:ind w:left="504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1D06C9"/>
    <w:pPr>
      <w:keepNext/>
      <w:keepLines/>
      <w:spacing w:before="200" w:after="240"/>
      <w:ind w:left="576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1F3"/>
    <w:rPr>
      <w:rFonts w:ascii="Tahoma" w:eastAsiaTheme="majorEastAsia" w:hAnsi="Tahoma" w:cstheme="majorBidi"/>
      <w:b/>
      <w:bCs/>
      <w:color w:val="292A81"/>
      <w:sz w:val="28"/>
      <w:szCs w:val="28"/>
    </w:rPr>
  </w:style>
  <w:style w:type="paragraph" w:styleId="Title">
    <w:name w:val="Title"/>
    <w:basedOn w:val="Heading1"/>
    <w:next w:val="Normal"/>
    <w:link w:val="TitleChar"/>
    <w:uiPriority w:val="10"/>
    <w:qFormat/>
    <w:rsid w:val="00CC6989"/>
    <w:pPr>
      <w:numPr>
        <w:numId w:val="0"/>
      </w:numPr>
      <w:jc w:val="center"/>
    </w:pPr>
  </w:style>
  <w:style w:type="character" w:customStyle="1" w:styleId="TitleChar">
    <w:name w:val="Title Char"/>
    <w:basedOn w:val="DefaultParagraphFont"/>
    <w:link w:val="Title"/>
    <w:uiPriority w:val="10"/>
    <w:rsid w:val="00CC6989"/>
    <w:rPr>
      <w:rFonts w:ascii="Tahoma" w:eastAsiaTheme="majorEastAsia" w:hAnsi="Tahoma" w:cstheme="majorBidi"/>
      <w:b/>
      <w:bCs/>
      <w:color w:val="292A81"/>
      <w:sz w:val="28"/>
      <w:szCs w:val="28"/>
    </w:rPr>
  </w:style>
  <w:style w:type="character" w:customStyle="1" w:styleId="Heading2Char">
    <w:name w:val="Heading 2 Char"/>
    <w:basedOn w:val="DefaultParagraphFont"/>
    <w:link w:val="Heading2"/>
    <w:rsid w:val="001D06C9"/>
    <w:rPr>
      <w:rFonts w:ascii="Tahoma" w:eastAsiaTheme="majorEastAsia" w:hAnsi="Tahoma" w:cstheme="majorBidi"/>
      <w:b/>
      <w:bCs/>
      <w:color w:val="002060"/>
      <w:sz w:val="24"/>
      <w:szCs w:val="26"/>
    </w:rPr>
  </w:style>
  <w:style w:type="paragraph" w:styleId="FootnoteText">
    <w:name w:val="footnote text"/>
    <w:basedOn w:val="Normal"/>
    <w:link w:val="FootnoteTextChar"/>
    <w:uiPriority w:val="99"/>
    <w:semiHidden/>
    <w:unhideWhenUsed/>
    <w:rsid w:val="00C96447"/>
    <w:rPr>
      <w:szCs w:val="20"/>
    </w:rPr>
  </w:style>
  <w:style w:type="character" w:customStyle="1" w:styleId="FootnoteTextChar">
    <w:name w:val="Footnote Text Char"/>
    <w:basedOn w:val="DefaultParagraphFont"/>
    <w:link w:val="FootnoteText"/>
    <w:uiPriority w:val="99"/>
    <w:semiHidden/>
    <w:rsid w:val="00C96447"/>
    <w:rPr>
      <w:rFonts w:ascii="Tahoma" w:hAnsi="Tahoma"/>
      <w:sz w:val="20"/>
      <w:szCs w:val="20"/>
    </w:rPr>
  </w:style>
  <w:style w:type="character" w:styleId="FootnoteReference">
    <w:name w:val="footnote reference"/>
    <w:basedOn w:val="DefaultParagraphFont"/>
    <w:uiPriority w:val="99"/>
    <w:semiHidden/>
    <w:unhideWhenUsed/>
    <w:rsid w:val="00C96447"/>
    <w:rPr>
      <w:vertAlign w:val="superscript"/>
    </w:rPr>
  </w:style>
  <w:style w:type="paragraph" w:styleId="ListParagraph">
    <w:name w:val="List Paragraph"/>
    <w:aliases w:val="List Bullet Ones,- Bullets,lp1,Paragr-1st,列出段落1,ÁÐ³ö¶ÎÂä1,¨¢D3?????1,¡§¡éD3?????1,?¡ì?¨¦D3?????1,??¨¬?¡§|D3?????1,??¡§???¡ì|D3?????1,???¡ì????¨¬|D3?????1,????¨¬????¡§?|D3?????1,????¡§??????¡ì?|D3?????1,?????¡ì???????¨¬?|D3?????1,列出段落"/>
    <w:basedOn w:val="Normal"/>
    <w:link w:val="ListParagraphChar"/>
    <w:uiPriority w:val="34"/>
    <w:qFormat/>
    <w:rsid w:val="001D06C9"/>
    <w:pPr>
      <w:keepLines/>
      <w:numPr>
        <w:numId w:val="11"/>
      </w:numPr>
      <w:contextualSpacing/>
    </w:pPr>
    <w:rPr>
      <w:rFonts w:cs="Arial"/>
      <w:noProof/>
      <w:szCs w:val="20"/>
      <w:lang w:eastAsia="fr-BE"/>
    </w:rPr>
  </w:style>
  <w:style w:type="paragraph" w:customStyle="1" w:styleId="Footnote">
    <w:name w:val="Footnote"/>
    <w:basedOn w:val="FootnoteText"/>
    <w:link w:val="FootnoteChar"/>
    <w:qFormat/>
    <w:rsid w:val="001D06C9"/>
    <w:pPr>
      <w:jc w:val="left"/>
    </w:pPr>
    <w:rPr>
      <w:rFonts w:ascii="Cambria" w:eastAsia="Times New Roman" w:hAnsi="Cambria" w:cs="Times New Roman"/>
      <w:sz w:val="18"/>
    </w:rPr>
  </w:style>
  <w:style w:type="character" w:customStyle="1" w:styleId="FootnoteChar">
    <w:name w:val="Footnote Char"/>
    <w:basedOn w:val="FootnoteTextChar"/>
    <w:link w:val="Footnote"/>
    <w:rsid w:val="001D06C9"/>
    <w:rPr>
      <w:rFonts w:ascii="Cambria" w:eastAsia="Times New Roman" w:hAnsi="Cambria" w:cs="Times New Roman"/>
      <w:sz w:val="18"/>
      <w:szCs w:val="20"/>
    </w:rPr>
  </w:style>
  <w:style w:type="paragraph" w:customStyle="1" w:styleId="pagnr">
    <w:name w:val="pag nr"/>
    <w:qFormat/>
    <w:rsid w:val="001D06C9"/>
    <w:pPr>
      <w:spacing w:after="0" w:line="240" w:lineRule="auto"/>
      <w:jc w:val="right"/>
    </w:pPr>
    <w:rPr>
      <w:rFonts w:ascii="Corbel" w:eastAsia="MS PGothic" w:hAnsi="Corbel" w:cs="Times New Roman"/>
      <w:color w:val="2E2F7F"/>
      <w:sz w:val="17"/>
      <w:szCs w:val="17"/>
      <w14:numForm w14:val="lining"/>
    </w:rPr>
  </w:style>
  <w:style w:type="paragraph" w:customStyle="1" w:styleId="Headerpage2">
    <w:name w:val="Header page 2"/>
    <w:basedOn w:val="Normal"/>
    <w:qFormat/>
    <w:rsid w:val="001D06C9"/>
    <w:pPr>
      <w:spacing w:after="120"/>
      <w:jc w:val="right"/>
    </w:pPr>
    <w:rPr>
      <w:rFonts w:eastAsiaTheme="minorEastAsia"/>
      <w:color w:val="292A81" w:themeColor="text2"/>
      <w:sz w:val="16"/>
      <w:szCs w:val="17"/>
      <w14:numForm w14:val="lining"/>
    </w:rPr>
  </w:style>
  <w:style w:type="paragraph" w:customStyle="1" w:styleId="Style1">
    <w:name w:val="Style1"/>
    <w:basedOn w:val="Normal"/>
    <w:link w:val="Style1Car"/>
    <w:qFormat/>
    <w:rsid w:val="001D06C9"/>
    <w:pPr>
      <w:keepLines/>
      <w:numPr>
        <w:numId w:val="12"/>
      </w:numPr>
      <w:spacing w:before="240" w:after="240"/>
    </w:pPr>
    <w:rPr>
      <w:rFonts w:eastAsia="Times New Roman" w:cs="Times New Roman"/>
    </w:rPr>
  </w:style>
  <w:style w:type="character" w:customStyle="1" w:styleId="Style1Car">
    <w:name w:val="Style1 Car"/>
    <w:basedOn w:val="DefaultParagraphFont"/>
    <w:link w:val="Style1"/>
    <w:rsid w:val="001D06C9"/>
    <w:rPr>
      <w:rFonts w:ascii="Tahoma" w:eastAsia="Times New Roman" w:hAnsi="Tahoma" w:cs="Times New Roman"/>
      <w:sz w:val="20"/>
    </w:rPr>
  </w:style>
  <w:style w:type="paragraph" w:customStyle="1" w:styleId="Normalbullet">
    <w:name w:val="Normal + bullet"/>
    <w:basedOn w:val="ListParagraph"/>
    <w:link w:val="NormalbulletChar"/>
    <w:qFormat/>
    <w:rsid w:val="001D06C9"/>
    <w:pPr>
      <w:keepLines w:val="0"/>
      <w:numPr>
        <w:numId w:val="13"/>
      </w:numPr>
      <w:spacing w:before="120" w:after="120"/>
      <w:contextualSpacing w:val="0"/>
    </w:pPr>
    <w:rPr>
      <w:rFonts w:eastAsia="Times New Roman"/>
      <w:bCs/>
    </w:rPr>
  </w:style>
  <w:style w:type="character" w:customStyle="1" w:styleId="NormalbulletChar">
    <w:name w:val="Normal + bullet Char"/>
    <w:basedOn w:val="ListParagraphChar"/>
    <w:link w:val="Normalbullet"/>
    <w:rsid w:val="001D06C9"/>
    <w:rPr>
      <w:rFonts w:ascii="Tahoma" w:eastAsia="Times New Roman" w:hAnsi="Tahoma" w:cs="Arial"/>
      <w:bCs/>
      <w:noProof/>
      <w:sz w:val="20"/>
      <w:szCs w:val="20"/>
      <w:lang w:eastAsia="fr-BE"/>
    </w:rPr>
  </w:style>
  <w:style w:type="paragraph" w:customStyle="1" w:styleId="Annex">
    <w:name w:val="Annex"/>
    <w:basedOn w:val="Heading1"/>
    <w:link w:val="AnnexChar"/>
    <w:qFormat/>
    <w:rsid w:val="00D16C6B"/>
    <w:pPr>
      <w:pageBreakBefore/>
      <w:numPr>
        <w:numId w:val="19"/>
      </w:numPr>
      <w:spacing w:before="360" w:after="120"/>
    </w:pPr>
    <w:rPr>
      <w:rFonts w:eastAsia="Times New Roman" w:cs="Times New Roman"/>
    </w:rPr>
  </w:style>
  <w:style w:type="character" w:customStyle="1" w:styleId="AnnexChar">
    <w:name w:val="Annex Char"/>
    <w:basedOn w:val="Heading1Char"/>
    <w:link w:val="Annex"/>
    <w:rsid w:val="00D16C6B"/>
    <w:rPr>
      <w:rFonts w:ascii="Tahoma" w:eastAsia="Times New Roman" w:hAnsi="Tahoma" w:cs="Times New Roman"/>
      <w:b/>
      <w:bCs/>
      <w:color w:val="292A81"/>
      <w:sz w:val="28"/>
      <w:szCs w:val="28"/>
    </w:rPr>
  </w:style>
  <w:style w:type="paragraph" w:customStyle="1" w:styleId="Annexnumbering2">
    <w:name w:val="Annex numbering 2"/>
    <w:next w:val="Normal"/>
    <w:link w:val="Annexnumbering2Char"/>
    <w:qFormat/>
    <w:rsid w:val="001D06C9"/>
    <w:pPr>
      <w:numPr>
        <w:numId w:val="14"/>
      </w:numPr>
      <w:tabs>
        <w:tab w:val="left" w:pos="794"/>
      </w:tabs>
      <w:spacing w:before="240" w:after="120"/>
    </w:pPr>
    <w:rPr>
      <w:rFonts w:ascii="Tahoma" w:eastAsia="Times New Roman" w:hAnsi="Tahoma" w:cs="Times New Roman"/>
      <w:b/>
      <w:bCs/>
      <w:color w:val="002060"/>
      <w:sz w:val="20"/>
      <w:szCs w:val="26"/>
    </w:rPr>
  </w:style>
  <w:style w:type="character" w:customStyle="1" w:styleId="Annexnumbering2Char">
    <w:name w:val="Annex numbering 2 Char"/>
    <w:basedOn w:val="Heading3Char"/>
    <w:link w:val="Annexnumbering2"/>
    <w:rsid w:val="001D06C9"/>
    <w:rPr>
      <w:rFonts w:ascii="Tahoma" w:eastAsia="Times New Roman" w:hAnsi="Tahoma" w:cs="Times New Roman"/>
      <w:b/>
      <w:bCs/>
      <w:color w:val="002060"/>
      <w:sz w:val="20"/>
      <w:szCs w:val="26"/>
    </w:rPr>
  </w:style>
  <w:style w:type="paragraph" w:customStyle="1" w:styleId="Numberednormal">
    <w:name w:val="Numbered normal"/>
    <w:basedOn w:val="ListParagraph"/>
    <w:qFormat/>
    <w:rsid w:val="007D1ED3"/>
    <w:pPr>
      <w:keepLines w:val="0"/>
      <w:numPr>
        <w:numId w:val="15"/>
      </w:numPr>
      <w:spacing w:before="120" w:after="240"/>
    </w:pPr>
    <w:rPr>
      <w:rFonts w:cstheme="minorBidi"/>
      <w:noProof w:val="0"/>
      <w:szCs w:val="22"/>
      <w:lang w:eastAsia="fr-FR"/>
    </w:rPr>
  </w:style>
  <w:style w:type="paragraph" w:customStyle="1" w:styleId="QuoteBIPT">
    <w:name w:val="Quote_BIPT"/>
    <w:basedOn w:val="Normal"/>
    <w:link w:val="QuoteBIPTChar"/>
    <w:qFormat/>
    <w:rsid w:val="001D06C9"/>
    <w:pPr>
      <w:spacing w:before="120" w:after="120"/>
      <w:ind w:left="794"/>
    </w:pPr>
    <w:rPr>
      <w:rFonts w:eastAsia="Times New Roman" w:cs="Times New Roman"/>
      <w:i/>
      <w:iCs/>
    </w:rPr>
  </w:style>
  <w:style w:type="character" w:customStyle="1" w:styleId="QuoteBIPTChar">
    <w:name w:val="Quote_BIPT Char"/>
    <w:basedOn w:val="DefaultParagraphFont"/>
    <w:link w:val="QuoteBIPT"/>
    <w:rsid w:val="001D06C9"/>
    <w:rPr>
      <w:rFonts w:ascii="Tahoma" w:eastAsia="Times New Roman" w:hAnsi="Tahoma" w:cs="Times New Roman"/>
      <w:i/>
      <w:iCs/>
      <w:sz w:val="20"/>
      <w:lang w:val="en-GB"/>
    </w:rPr>
  </w:style>
  <w:style w:type="character" w:customStyle="1" w:styleId="Heading3Char">
    <w:name w:val="Heading 3 Char"/>
    <w:basedOn w:val="DefaultParagraphFont"/>
    <w:link w:val="Heading3"/>
    <w:semiHidden/>
    <w:rsid w:val="001D06C9"/>
    <w:rPr>
      <w:rFonts w:ascii="Tahoma" w:eastAsia="Times New Roman" w:hAnsi="Tahoma" w:cs="Times New Roman"/>
      <w:b/>
      <w:bCs/>
      <w:color w:val="002060"/>
      <w:sz w:val="20"/>
    </w:rPr>
  </w:style>
  <w:style w:type="character" w:customStyle="1" w:styleId="Heading4Char">
    <w:name w:val="Heading 4 Char"/>
    <w:basedOn w:val="DefaultParagraphFont"/>
    <w:link w:val="Heading4"/>
    <w:semiHidden/>
    <w:rsid w:val="001D06C9"/>
    <w:rPr>
      <w:rFonts w:ascii="Tahoma" w:eastAsia="Times New Roman" w:hAnsi="Tahoma" w:cs="Times New Roman"/>
      <w:b/>
      <w:bCs/>
      <w:iCs/>
      <w:color w:val="002060"/>
      <w:sz w:val="20"/>
      <w:u w:val="single"/>
    </w:rPr>
  </w:style>
  <w:style w:type="character" w:customStyle="1" w:styleId="Heading6Char">
    <w:name w:val="Heading 6 Char"/>
    <w:basedOn w:val="DefaultParagraphFont"/>
    <w:link w:val="Heading6"/>
    <w:uiPriority w:val="9"/>
    <w:semiHidden/>
    <w:rsid w:val="001D06C9"/>
    <w:rPr>
      <w:rFonts w:ascii="Tahoma" w:eastAsiaTheme="majorEastAsia" w:hAnsi="Tahoma" w:cstheme="majorBidi"/>
      <w:i/>
      <w:iCs/>
      <w:color w:val="125576" w:themeColor="accent1" w:themeShade="7F"/>
      <w:lang w:val="en-GB"/>
    </w:rPr>
  </w:style>
  <w:style w:type="character" w:customStyle="1" w:styleId="Heading8Char">
    <w:name w:val="Heading 8 Char"/>
    <w:basedOn w:val="DefaultParagraphFont"/>
    <w:link w:val="Heading8"/>
    <w:uiPriority w:val="9"/>
    <w:semiHidden/>
    <w:rsid w:val="001D06C9"/>
    <w:rPr>
      <w:rFonts w:ascii="Tahoma" w:eastAsiaTheme="majorEastAsia" w:hAnsi="Tahoma"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1D06C9"/>
    <w:rPr>
      <w:rFonts w:ascii="Tahoma" w:eastAsiaTheme="majorEastAsia" w:hAnsi="Tahoma" w:cstheme="majorBidi"/>
      <w:i/>
      <w:iCs/>
      <w:color w:val="404040" w:themeColor="text1" w:themeTint="BF"/>
      <w:sz w:val="20"/>
      <w:szCs w:val="20"/>
      <w:lang w:val="en-GB"/>
    </w:rPr>
  </w:style>
  <w:style w:type="paragraph" w:styleId="TOC1">
    <w:name w:val="toc 1"/>
    <w:basedOn w:val="Normal"/>
    <w:next w:val="Normal"/>
    <w:autoRedefine/>
    <w:uiPriority w:val="39"/>
    <w:qFormat/>
    <w:rsid w:val="001D06C9"/>
    <w:pPr>
      <w:tabs>
        <w:tab w:val="right" w:leader="dot" w:pos="9628"/>
      </w:tabs>
    </w:pPr>
    <w:rPr>
      <w:rFonts w:eastAsia="Times New Roman" w:cs="Times New Roman"/>
    </w:rPr>
  </w:style>
  <w:style w:type="paragraph" w:styleId="TOC2">
    <w:name w:val="toc 2"/>
    <w:basedOn w:val="Normal"/>
    <w:next w:val="Normal"/>
    <w:autoRedefine/>
    <w:uiPriority w:val="39"/>
    <w:qFormat/>
    <w:rsid w:val="001D06C9"/>
    <w:pPr>
      <w:ind w:left="200"/>
    </w:pPr>
    <w:rPr>
      <w:rFonts w:eastAsia="Times New Roman" w:cs="Times New Roman"/>
      <w:spacing w:val="-5"/>
    </w:rPr>
  </w:style>
  <w:style w:type="paragraph" w:styleId="TOC3">
    <w:name w:val="toc 3"/>
    <w:basedOn w:val="Normal"/>
    <w:next w:val="Normal"/>
    <w:autoRedefine/>
    <w:uiPriority w:val="39"/>
    <w:qFormat/>
    <w:rsid w:val="001D06C9"/>
    <w:pPr>
      <w:ind w:left="400"/>
    </w:pPr>
    <w:rPr>
      <w:rFonts w:eastAsia="Times New Roman" w:cs="Times New Roman"/>
      <w:i/>
      <w:spacing w:val="-5"/>
    </w:rPr>
  </w:style>
  <w:style w:type="paragraph" w:styleId="Subtitle">
    <w:name w:val="Subtitle"/>
    <w:basedOn w:val="Normal"/>
    <w:next w:val="Normal"/>
    <w:link w:val="SubtitleChar"/>
    <w:qFormat/>
    <w:rsid w:val="001D06C9"/>
    <w:pPr>
      <w:keepLines/>
      <w:spacing w:after="360" w:line="276" w:lineRule="auto"/>
      <w:jc w:val="center"/>
    </w:pPr>
    <w:rPr>
      <w:rFonts w:eastAsia="Times New Roman" w:cs="Times New Roman"/>
      <w:b/>
      <w:snapToGrid w:val="0"/>
      <w:color w:val="324947"/>
      <w:sz w:val="52"/>
      <w:szCs w:val="24"/>
    </w:rPr>
  </w:style>
  <w:style w:type="character" w:customStyle="1" w:styleId="SubtitleChar">
    <w:name w:val="Subtitle Char"/>
    <w:basedOn w:val="DefaultParagraphFont"/>
    <w:link w:val="Subtitle"/>
    <w:rsid w:val="001D06C9"/>
    <w:rPr>
      <w:rFonts w:ascii="Tahoma" w:eastAsia="Times New Roman" w:hAnsi="Tahoma" w:cs="Times New Roman"/>
      <w:b/>
      <w:snapToGrid w:val="0"/>
      <w:color w:val="324947"/>
      <w:sz w:val="52"/>
      <w:szCs w:val="24"/>
    </w:rPr>
  </w:style>
  <w:style w:type="character" w:styleId="Strong">
    <w:name w:val="Strong"/>
    <w:basedOn w:val="DefaultParagraphFont"/>
    <w:uiPriority w:val="22"/>
    <w:qFormat/>
    <w:rsid w:val="001D06C9"/>
    <w:rPr>
      <w:b/>
      <w:bCs/>
    </w:rPr>
  </w:style>
  <w:style w:type="character" w:styleId="Emphasis">
    <w:name w:val="Emphasis"/>
    <w:basedOn w:val="DefaultParagraphFont"/>
    <w:uiPriority w:val="20"/>
    <w:qFormat/>
    <w:rsid w:val="001D06C9"/>
    <w:rPr>
      <w:i/>
      <w:iCs/>
    </w:rPr>
  </w:style>
  <w:style w:type="paragraph" w:styleId="NoSpacing">
    <w:name w:val="No Spacing"/>
    <w:uiPriority w:val="1"/>
    <w:qFormat/>
    <w:rsid w:val="001D06C9"/>
    <w:pPr>
      <w:spacing w:after="0" w:line="240" w:lineRule="auto"/>
      <w:jc w:val="both"/>
    </w:pPr>
    <w:rPr>
      <w:rFonts w:ascii="Tahoma" w:eastAsia="Times New Roman" w:hAnsi="Tahoma" w:cs="Times New Roman"/>
      <w:sz w:val="20"/>
    </w:rPr>
  </w:style>
  <w:style w:type="character" w:customStyle="1" w:styleId="ListParagraphChar">
    <w:name w:val="List Paragraph Char"/>
    <w:aliases w:val="List Bullet Ones Char,- Bullets Char,lp1 Char,Paragr-1st Char,列出段落1 Char,ÁÐ³ö¶ÎÂä1 Char,¨¢D3?????1 Char,¡§¡éD3?????1 Char,?¡ì?¨¦D3?????1 Char,??¨¬?¡§|D3?????1 Char,??¡§???¡ì|D3?????1 Char,???¡ì????¨¬|D3?????1 Char,列出段落 Char"/>
    <w:basedOn w:val="DefaultParagraphFont"/>
    <w:link w:val="ListParagraph"/>
    <w:uiPriority w:val="34"/>
    <w:rsid w:val="001D06C9"/>
    <w:rPr>
      <w:rFonts w:ascii="Tahoma" w:hAnsi="Tahoma" w:cs="Arial"/>
      <w:noProof/>
      <w:sz w:val="20"/>
      <w:szCs w:val="20"/>
      <w:lang w:eastAsia="fr-BE"/>
    </w:rPr>
  </w:style>
  <w:style w:type="paragraph" w:styleId="Quote">
    <w:name w:val="Quote"/>
    <w:aliases w:val="Figures_Table"/>
    <w:basedOn w:val="Normal"/>
    <w:next w:val="Normal"/>
    <w:link w:val="QuoteChar"/>
    <w:uiPriority w:val="29"/>
    <w:qFormat/>
    <w:rsid w:val="001D06C9"/>
    <w:pPr>
      <w:spacing w:before="200" w:after="160"/>
      <w:ind w:left="708" w:right="281"/>
    </w:pPr>
    <w:rPr>
      <w:rFonts w:eastAsia="Times New Roman" w:cs="Times New Roman"/>
      <w:i/>
      <w:iCs/>
      <w:color w:val="404040" w:themeColor="text1" w:themeTint="BF"/>
    </w:rPr>
  </w:style>
  <w:style w:type="character" w:customStyle="1" w:styleId="QuoteChar">
    <w:name w:val="Quote Char"/>
    <w:aliases w:val="Figures_Table Char"/>
    <w:basedOn w:val="DefaultParagraphFont"/>
    <w:link w:val="Quote"/>
    <w:uiPriority w:val="29"/>
    <w:rsid w:val="001D06C9"/>
    <w:rPr>
      <w:rFonts w:ascii="Tahoma" w:eastAsia="Times New Roman" w:hAnsi="Tahoma" w:cs="Times New Roman"/>
      <w:i/>
      <w:iCs/>
      <w:color w:val="404040" w:themeColor="text1" w:themeTint="BF"/>
      <w:sz w:val="20"/>
    </w:rPr>
  </w:style>
  <w:style w:type="table" w:styleId="TableGrid">
    <w:name w:val="Table Grid"/>
    <w:basedOn w:val="TableNormal"/>
    <w:uiPriority w:val="39"/>
    <w:rsid w:val="001D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190"/>
    <w:rPr>
      <w:color w:val="32A8E0" w:themeColor="hyperlink"/>
      <w:u w:val="single"/>
    </w:rPr>
  </w:style>
  <w:style w:type="character" w:styleId="UnresolvedMention">
    <w:name w:val="Unresolved Mention"/>
    <w:basedOn w:val="DefaultParagraphFont"/>
    <w:uiPriority w:val="99"/>
    <w:semiHidden/>
    <w:unhideWhenUsed/>
    <w:rsid w:val="009D1190"/>
    <w:rPr>
      <w:color w:val="605E5C"/>
      <w:shd w:val="clear" w:color="auto" w:fill="E1DFDD"/>
    </w:rPr>
  </w:style>
  <w:style w:type="paragraph" w:styleId="IntenseQuote">
    <w:name w:val="Intense Quote"/>
    <w:basedOn w:val="Normal"/>
    <w:next w:val="Normal"/>
    <w:link w:val="IntenseQuoteChar"/>
    <w:uiPriority w:val="30"/>
    <w:qFormat/>
    <w:rsid w:val="005E5757"/>
    <w:pPr>
      <w:pBdr>
        <w:top w:val="single" w:sz="4" w:space="10" w:color="32A8E0" w:themeColor="accent1"/>
        <w:bottom w:val="single" w:sz="4" w:space="10" w:color="32A8E0" w:themeColor="accent1"/>
      </w:pBdr>
      <w:spacing w:before="360" w:after="360"/>
      <w:ind w:left="864" w:right="864"/>
      <w:jc w:val="center"/>
    </w:pPr>
    <w:rPr>
      <w:i/>
      <w:iCs/>
      <w:color w:val="32A8E0" w:themeColor="accent1"/>
    </w:rPr>
  </w:style>
  <w:style w:type="character" w:customStyle="1" w:styleId="IntenseQuoteChar">
    <w:name w:val="Intense Quote Char"/>
    <w:basedOn w:val="DefaultParagraphFont"/>
    <w:link w:val="IntenseQuote"/>
    <w:uiPriority w:val="30"/>
    <w:rsid w:val="005E5757"/>
    <w:rPr>
      <w:rFonts w:ascii="Tahoma" w:hAnsi="Tahoma"/>
      <w:i/>
      <w:iCs/>
      <w:color w:val="32A8E0" w:themeColor="accent1"/>
      <w:sz w:val="20"/>
    </w:rPr>
  </w:style>
  <w:style w:type="character" w:styleId="CommentReference">
    <w:name w:val="annotation reference"/>
    <w:basedOn w:val="DefaultParagraphFont"/>
    <w:uiPriority w:val="99"/>
    <w:semiHidden/>
    <w:unhideWhenUsed/>
    <w:rsid w:val="00D16C6B"/>
    <w:rPr>
      <w:sz w:val="16"/>
      <w:szCs w:val="16"/>
    </w:rPr>
  </w:style>
  <w:style w:type="paragraph" w:styleId="CommentText">
    <w:name w:val="annotation text"/>
    <w:basedOn w:val="Normal"/>
    <w:link w:val="CommentTextChar"/>
    <w:uiPriority w:val="99"/>
    <w:unhideWhenUsed/>
    <w:rsid w:val="00D16C6B"/>
    <w:rPr>
      <w:szCs w:val="20"/>
    </w:rPr>
  </w:style>
  <w:style w:type="character" w:customStyle="1" w:styleId="CommentTextChar">
    <w:name w:val="Comment Text Char"/>
    <w:basedOn w:val="DefaultParagraphFont"/>
    <w:link w:val="CommentText"/>
    <w:uiPriority w:val="99"/>
    <w:rsid w:val="00D16C6B"/>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D16C6B"/>
    <w:rPr>
      <w:b/>
      <w:bCs/>
    </w:rPr>
  </w:style>
  <w:style w:type="character" w:customStyle="1" w:styleId="CommentSubjectChar">
    <w:name w:val="Comment Subject Char"/>
    <w:basedOn w:val="CommentTextChar"/>
    <w:link w:val="CommentSubject"/>
    <w:uiPriority w:val="99"/>
    <w:semiHidden/>
    <w:rsid w:val="00D16C6B"/>
    <w:rPr>
      <w:rFonts w:ascii="Tahoma" w:hAnsi="Tahoma"/>
      <w:b/>
      <w:bCs/>
      <w:sz w:val="20"/>
      <w:szCs w:val="20"/>
    </w:rPr>
  </w:style>
  <w:style w:type="numbering" w:customStyle="1" w:styleId="Annexe">
    <w:name w:val="Annexe"/>
    <w:uiPriority w:val="99"/>
    <w:rsid w:val="00D16C6B"/>
    <w:pPr>
      <w:numPr>
        <w:numId w:val="17"/>
      </w:numPr>
    </w:pPr>
  </w:style>
  <w:style w:type="character" w:styleId="IntenseReference">
    <w:name w:val="Intense Reference"/>
    <w:basedOn w:val="DefaultParagraphFont"/>
    <w:uiPriority w:val="32"/>
    <w:qFormat/>
    <w:rsid w:val="00843C03"/>
    <w:rPr>
      <w:b/>
      <w:bCs/>
      <w:smallCaps/>
      <w:color w:val="32A8E0" w:themeColor="accent1"/>
      <w:spacing w:val="5"/>
    </w:rPr>
  </w:style>
  <w:style w:type="paragraph" w:styleId="Revision">
    <w:name w:val="Revision"/>
    <w:hidden/>
    <w:uiPriority w:val="99"/>
    <w:semiHidden/>
    <w:rsid w:val="00B90C28"/>
    <w:pPr>
      <w:spacing w:after="0" w:line="240" w:lineRule="auto"/>
    </w:pPr>
    <w:rPr>
      <w:rFonts w:ascii="Tahoma" w:hAnsi="Tahoma"/>
      <w:sz w:val="20"/>
    </w:rPr>
  </w:style>
  <w:style w:type="paragraph" w:styleId="Header">
    <w:name w:val="header"/>
    <w:basedOn w:val="Normal"/>
    <w:link w:val="HeaderChar"/>
    <w:uiPriority w:val="99"/>
    <w:unhideWhenUsed/>
    <w:rsid w:val="002A7F84"/>
    <w:pPr>
      <w:tabs>
        <w:tab w:val="center" w:pos="4536"/>
        <w:tab w:val="right" w:pos="9072"/>
      </w:tabs>
    </w:pPr>
  </w:style>
  <w:style w:type="character" w:customStyle="1" w:styleId="HeaderChar">
    <w:name w:val="Header Char"/>
    <w:basedOn w:val="DefaultParagraphFont"/>
    <w:link w:val="Header"/>
    <w:uiPriority w:val="99"/>
    <w:rsid w:val="002A7F84"/>
    <w:rPr>
      <w:rFonts w:ascii="Tahoma" w:hAnsi="Tahoma"/>
      <w:sz w:val="20"/>
    </w:rPr>
  </w:style>
  <w:style w:type="paragraph" w:styleId="Footer">
    <w:name w:val="footer"/>
    <w:basedOn w:val="Normal"/>
    <w:link w:val="FooterChar"/>
    <w:uiPriority w:val="99"/>
    <w:unhideWhenUsed/>
    <w:rsid w:val="002A7F84"/>
    <w:pPr>
      <w:tabs>
        <w:tab w:val="center" w:pos="4536"/>
        <w:tab w:val="right" w:pos="9072"/>
      </w:tabs>
    </w:pPr>
  </w:style>
  <w:style w:type="character" w:customStyle="1" w:styleId="FooterChar">
    <w:name w:val="Footer Char"/>
    <w:basedOn w:val="DefaultParagraphFont"/>
    <w:link w:val="Footer"/>
    <w:uiPriority w:val="99"/>
    <w:rsid w:val="002A7F84"/>
    <w:rPr>
      <w:rFonts w:ascii="Tahoma" w:hAnsi="Tahoma"/>
      <w:sz w:val="20"/>
    </w:rPr>
  </w:style>
  <w:style w:type="character" w:customStyle="1" w:styleId="cf01">
    <w:name w:val="cf01"/>
    <w:basedOn w:val="DefaultParagraphFont"/>
    <w:rsid w:val="00F459A4"/>
    <w:rPr>
      <w:rFonts w:ascii="Segoe UI" w:hAnsi="Segoe UI" w:cs="Segoe UI" w:hint="default"/>
      <w:sz w:val="18"/>
      <w:szCs w:val="18"/>
    </w:rPr>
  </w:style>
  <w:style w:type="paragraph" w:customStyle="1" w:styleId="BodyIBPTBIPT">
    <w:name w:val="Body IBPT BIPT"/>
    <w:basedOn w:val="Normal"/>
    <w:link w:val="BodyIBPTBIPTCar"/>
    <w:rsid w:val="00723398"/>
    <w:pPr>
      <w:spacing w:before="120"/>
    </w:pPr>
    <w:rPr>
      <w:rFonts w:eastAsiaTheme="minorEastAsia"/>
      <w:color w:val="000000" w:themeColor="text1"/>
      <w:szCs w:val="20"/>
      <w14:numForm w14:val="lining"/>
    </w:rPr>
  </w:style>
  <w:style w:type="character" w:customStyle="1" w:styleId="BodyIBPTBIPTCar">
    <w:name w:val="Body IBPT BIPT Car"/>
    <w:basedOn w:val="DefaultParagraphFont"/>
    <w:link w:val="BodyIBPTBIPT"/>
    <w:rsid w:val="00723398"/>
    <w:rPr>
      <w:rFonts w:ascii="Tahoma" w:eastAsiaTheme="minorEastAsia" w:hAnsi="Tahoma"/>
      <w:color w:val="000000" w:themeColor="text1"/>
      <w:sz w:val="20"/>
      <w:szCs w:val="20"/>
      <w:lang w:val="en-GB"/>
      <w14:numForm w14:val="lining"/>
    </w:rPr>
  </w:style>
  <w:style w:type="paragraph" w:styleId="TOCHeading">
    <w:name w:val="TOC Heading"/>
    <w:basedOn w:val="Heading1"/>
    <w:next w:val="Normal"/>
    <w:uiPriority w:val="39"/>
    <w:unhideWhenUsed/>
    <w:qFormat/>
    <w:rsid w:val="00614144"/>
    <w:pPr>
      <w:keepNext/>
      <w:numPr>
        <w:numId w:val="0"/>
      </w:numPr>
      <w:spacing w:before="240" w:line="259" w:lineRule="auto"/>
      <w:jc w:val="left"/>
      <w:outlineLvl w:val="9"/>
    </w:pPr>
    <w:rPr>
      <w:rFonts w:asciiTheme="majorHAnsi" w:hAnsiTheme="majorHAnsi"/>
      <w:b w:val="0"/>
      <w:bCs w:val="0"/>
      <w:color w:val="1B80B2" w:themeColor="accent1" w:themeShade="BF"/>
      <w:sz w:val="32"/>
      <w:szCs w:val="32"/>
      <w:lang w:eastAsia="fr-BE"/>
    </w:rPr>
  </w:style>
  <w:style w:type="character" w:styleId="FollowedHyperlink">
    <w:name w:val="FollowedHyperlink"/>
    <w:basedOn w:val="DefaultParagraphFont"/>
    <w:uiPriority w:val="99"/>
    <w:semiHidden/>
    <w:unhideWhenUsed/>
    <w:rsid w:val="006A60D3"/>
    <w:rPr>
      <w:color w:val="834B93" w:themeColor="followedHyperlink"/>
      <w:u w:val="single"/>
    </w:rPr>
  </w:style>
  <w:style w:type="character" w:styleId="BookTitle">
    <w:name w:val="Book Title"/>
    <w:basedOn w:val="DefaultParagraphFont"/>
    <w:uiPriority w:val="33"/>
    <w:qFormat/>
    <w:rsid w:val="00DF6358"/>
    <w:rPr>
      <w:b/>
      <w:bCs/>
      <w:i/>
      <w:iCs/>
      <w:spacing w:val="5"/>
    </w:rPr>
  </w:style>
  <w:style w:type="paragraph" w:customStyle="1" w:styleId="pf0">
    <w:name w:val="pf0"/>
    <w:basedOn w:val="Normal"/>
    <w:rsid w:val="009D034D"/>
    <w:pPr>
      <w:spacing w:before="100" w:beforeAutospacing="1" w:after="100" w:afterAutospacing="1"/>
      <w:jc w:val="left"/>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621282">
      <w:bodyDiv w:val="1"/>
      <w:marLeft w:val="0"/>
      <w:marRight w:val="0"/>
      <w:marTop w:val="0"/>
      <w:marBottom w:val="0"/>
      <w:divBdr>
        <w:top w:val="none" w:sz="0" w:space="0" w:color="auto"/>
        <w:left w:val="none" w:sz="0" w:space="0" w:color="auto"/>
        <w:bottom w:val="none" w:sz="0" w:space="0" w:color="auto"/>
        <w:right w:val="none" w:sz="0" w:space="0" w:color="auto"/>
      </w:divBdr>
    </w:div>
    <w:div w:id="113629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justice.just.fgov.be/eli/arrete/2022/10/23/2022042525/juste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G@bipt.be"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et.sec@ibpt.b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okia.com/blog/timing-and-synchronization-options-to-support-5g/" TargetMode="External"/><Relationship Id="rId2" Type="http://schemas.openxmlformats.org/officeDocument/2006/relationships/hyperlink" Target="https://forum.huawei.com/enterprise/en/topic-discussion-5g-synchronization-solution/thread/1042990-100305?from=latestPostsReplies" TargetMode="External"/><Relationship Id="rId1" Type="http://schemas.openxmlformats.org/officeDocument/2006/relationships/hyperlink" Target="https://www.ericsson.com/en/reports-and-papers/ericsson-technology-review/articles/5g-synchronization-requirements-and-solutions" TargetMode="Externa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bedc4594671a1339b064741958dca358">
  <xsd:schema xmlns:xsd="http://www.w3.org/2001/XMLSchema" xmlns:xs="http://www.w3.org/2001/XMLSchema" xmlns:p="http://schemas.microsoft.com/office/2006/metadata/properties" xmlns:ns2="2b4b6fc7-bde4-44a8-8bca-a78eb25a27e9" targetNamespace="http://schemas.microsoft.com/office/2006/metadata/properties" ma:root="true" ma:fieldsID="f34b1f117e4202d833f96867d6683cd1"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45187674-61ad-4415-9855-ffaebe68f910</TermId>
        </TermInfo>
      </Terms>
    </o3cf37d2a5d34fd7955003a053893e5e>
    <Master_x0020_Id xmlns="2b4b6fc7-bde4-44a8-8bca-a78eb25a27e9" xsi:nil="true"/>
    <Dossier_x0020_Number xmlns="2b4b6fc7-bde4-44a8-8bca-a78eb25a27e9">2023-000195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8</Value>
      <Value>27</Value>
    </TaxCatchAll>
    <QuickPartDocumentId xmlns="2b4b6fc7-bde4-44a8-8bca-a78eb25a27e9">DS23-1932324313-219</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DS23-1932324313-219</_dlc_DocId>
    <_dlc_DocIdUrl xmlns="2b4b6fc7-bde4-44a8-8bca-a78eb25a27e9">
      <Url>http://teamworkingspace.bipt.local/sites/dossiers2023/2/2023000195/_layouts/DocIdRedir.aspx?ID=DS23-1932324313-219</Url>
      <Description>DS23-1932324313-219</Description>
    </_dlc_DocIdUrl>
  </documentManagement>
</p:properties>
</file>

<file path=customXml/itemProps1.xml><?xml version="1.0" encoding="utf-8"?>
<ds:datastoreItem xmlns:ds="http://schemas.openxmlformats.org/officeDocument/2006/customXml" ds:itemID="{7023C5BB-58F0-4668-B69B-4A797CF9D505}"/>
</file>

<file path=customXml/itemProps2.xml><?xml version="1.0" encoding="utf-8"?>
<ds:datastoreItem xmlns:ds="http://schemas.openxmlformats.org/officeDocument/2006/customXml" ds:itemID="{D6FBD6F8-CA0D-4F39-AE94-2E6395F205B0}"/>
</file>

<file path=customXml/itemProps3.xml><?xml version="1.0" encoding="utf-8"?>
<ds:datastoreItem xmlns:ds="http://schemas.openxmlformats.org/officeDocument/2006/customXml" ds:itemID="{BBD369E4-28A0-45A5-A096-22A7E97B0176}"/>
</file>

<file path=customXml/itemProps4.xml><?xml version="1.0" encoding="utf-8"?>
<ds:datastoreItem xmlns:ds="http://schemas.openxmlformats.org/officeDocument/2006/customXml" ds:itemID="{F500FB5C-00E9-40D0-9A44-61462F415D77}"/>
</file>

<file path=customXml/itemProps5.xml><?xml version="1.0" encoding="utf-8"?>
<ds:datastoreItem xmlns:ds="http://schemas.openxmlformats.org/officeDocument/2006/customXml" ds:itemID="{705347AC-2E9F-4FC9-B316-33EAA35A63FC}"/>
</file>

<file path=customXml/itemProps6.xml><?xml version="1.0" encoding="utf-8"?>
<ds:datastoreItem xmlns:ds="http://schemas.openxmlformats.org/officeDocument/2006/customXml" ds:itemID="{FCDA24EF-526D-4F0A-8B32-705046F98759}"/>
</file>

<file path=docProps/app.xml><?xml version="1.0" encoding="utf-8"?>
<Properties xmlns="http://schemas.openxmlformats.org/officeDocument/2006/extended-properties" xmlns:vt="http://schemas.openxmlformats.org/officeDocument/2006/docPropsVTypes">
  <Template>Normal</Template>
  <TotalTime>232</TotalTime>
  <Pages>14</Pages>
  <Words>4591</Words>
  <Characters>25254</Characters>
  <Application>Microsoft Office Word</Application>
  <DocSecurity>0</DocSecurity>
  <Lines>210</Lines>
  <Paragraphs>59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29717-00 document 0 - introduction_FR clean_EN</vt:lpstr>
      <vt:lpstr>29699 - FR TRAD - 00 document 0 - introduction_FR</vt:lpstr>
      <vt:lpstr>000 - Guide relatif aux obligations de forme</vt:lpstr>
    </vt:vector>
  </TitlesOfParts>
  <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29717-00 document 0 - introduction_FR clean_EN</dc:title>
  <dc:subject/>
  <dc:creator>Pierre-François Vandenhaute</dc:creator>
  <cp:keywords/>
  <dc:description/>
  <cp:lastModifiedBy>Pierre-Yves Dethy</cp:lastModifiedBy>
  <cp:revision>28</cp:revision>
  <cp:lastPrinted>2023-02-13T07:52:00Z</cp:lastPrinted>
  <dcterms:created xsi:type="dcterms:W3CDTF">2023-05-03T07:39:00Z</dcterms:created>
  <dcterms:modified xsi:type="dcterms:W3CDTF">2023-05-16T06:15:00Z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Languages">
    <vt:lpwstr>8;#English|45187674-61ad-4415-9855-ffaebe68f910</vt:lpwstr>
  </property>
  <property fmtid="{D5CDD505-2E9C-101B-9397-08002B2CF9AE}" pid="4" name="Service1">
    <vt:lpwstr>27;#Legal Department|dd78c772-9794-4686-a245-4df1b644d6ba</vt:lpwstr>
  </property>
  <property fmtid="{D5CDD505-2E9C-101B-9397-08002B2CF9AE}" pid="5" name="_dlc_DocIdItemGuid">
    <vt:lpwstr>db7801ca-bddd-4d92-9cb1-6f62a68ca69a</vt:lpwstr>
  </property>
  <property fmtid="{D5CDD505-2E9C-101B-9397-08002B2CF9AE}" pid="6" name="p5514218fd064764993fc7f005d66e34">
    <vt:lpwstr/>
  </property>
  <property fmtid="{D5CDD505-2E9C-101B-9397-08002B2CF9AE}" pid="7" name="nd8a4f3b4df3473d8008d70ef4499b5e">
    <vt:lpwstr/>
  </property>
  <property fmtid="{D5CDD505-2E9C-101B-9397-08002B2CF9AE}" pid="8" name="Medium Type">
    <vt:lpwstr/>
  </property>
  <property fmtid="{D5CDD505-2E9C-101B-9397-08002B2CF9AE}" pid="9" name="Document Type">
    <vt:lpwstr/>
  </property>
  <property fmtid="{D5CDD505-2E9C-101B-9397-08002B2CF9AE}" pid="10" name="Answer or Initiative">
    <vt:lpwstr/>
  </property>
</Properties>
</file>