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A29EB" w14:textId="0320C2FB" w:rsidR="00F16E5D" w:rsidRDefault="00F16E5D" w:rsidP="00C819B2">
      <w:pPr>
        <w:pStyle w:val="Heading3"/>
        <w:rPr>
          <w:b/>
          <w:bCs/>
          <w:lang w:val="nl-BE"/>
        </w:rPr>
      </w:pPr>
      <w:r w:rsidRPr="008F473B">
        <w:rPr>
          <w:b/>
          <w:bCs/>
          <w:lang w:val="nl-BE"/>
        </w:rPr>
        <w:t>Informatie over geannuleerde nummercapaciteit (</w:t>
      </w:r>
      <w:r w:rsidR="0049500A" w:rsidRPr="008F473B">
        <w:rPr>
          <w:b/>
          <w:bCs/>
          <w:lang w:val="nl-BE"/>
        </w:rPr>
        <w:t xml:space="preserve">status </w:t>
      </w:r>
      <w:r w:rsidR="00DC42EC" w:rsidRPr="008F473B">
        <w:rPr>
          <w:b/>
          <w:bCs/>
          <w:lang w:val="nl-BE"/>
        </w:rPr>
        <w:t>6</w:t>
      </w:r>
      <w:r w:rsidR="005F5F74">
        <w:rPr>
          <w:b/>
          <w:bCs/>
          <w:lang w:val="nl-BE"/>
        </w:rPr>
        <w:t>/05/</w:t>
      </w:r>
      <w:r w:rsidR="00DC42EC" w:rsidRPr="008F473B">
        <w:rPr>
          <w:b/>
          <w:bCs/>
          <w:lang w:val="nl-BE"/>
        </w:rPr>
        <w:t>2025</w:t>
      </w:r>
      <w:r w:rsidRPr="008F473B">
        <w:rPr>
          <w:b/>
          <w:bCs/>
          <w:lang w:val="nl-BE"/>
        </w:rPr>
        <w:t>)</w:t>
      </w:r>
    </w:p>
    <w:p w14:paraId="4CAD7FC9" w14:textId="77777777" w:rsidR="00C819B2" w:rsidRPr="00C819B2" w:rsidRDefault="00C819B2" w:rsidP="008F473B">
      <w:pPr>
        <w:rPr>
          <w:lang w:val="nl-BE"/>
        </w:rPr>
      </w:pPr>
    </w:p>
    <w:p w14:paraId="4CF7E167" w14:textId="595D8E8E" w:rsidR="001B0437" w:rsidRPr="000450E2" w:rsidRDefault="001B0437" w:rsidP="009D4D36">
      <w:pPr>
        <w:jc w:val="both"/>
        <w:rPr>
          <w:b/>
          <w:u w:val="single"/>
          <w:lang w:val="nl-BE"/>
        </w:rPr>
      </w:pPr>
      <w:r w:rsidRPr="000450E2">
        <w:rPr>
          <w:b/>
          <w:u w:val="single"/>
          <w:lang w:val="nl-BE"/>
        </w:rPr>
        <w:t xml:space="preserve">Annulering </w:t>
      </w:r>
      <w:r w:rsidR="00332035">
        <w:rPr>
          <w:b/>
          <w:u w:val="single"/>
          <w:lang w:val="nl-BE"/>
        </w:rPr>
        <w:t>nummercapaciteit Vectone</w:t>
      </w:r>
      <w:r w:rsidR="00F50133">
        <w:rPr>
          <w:b/>
          <w:u w:val="single"/>
          <w:lang w:val="nl-BE"/>
        </w:rPr>
        <w:t xml:space="preserve"> Mobile Belgium</w:t>
      </w:r>
      <w:r w:rsidRPr="000450E2">
        <w:rPr>
          <w:b/>
          <w:u w:val="single"/>
          <w:lang w:val="nl-BE"/>
        </w:rPr>
        <w:t xml:space="preserve"> (datum </w:t>
      </w:r>
      <w:r w:rsidR="00332035">
        <w:rPr>
          <w:b/>
          <w:u w:val="single"/>
          <w:lang w:val="nl-BE"/>
        </w:rPr>
        <w:t>6 maart 2025</w:t>
      </w:r>
      <w:r w:rsidRPr="000450E2">
        <w:rPr>
          <w:b/>
          <w:u w:val="single"/>
          <w:lang w:val="nl-BE"/>
        </w:rPr>
        <w:t>)</w:t>
      </w:r>
    </w:p>
    <w:p w14:paraId="445EACC6" w14:textId="4FB97E5D" w:rsidR="00A12087" w:rsidRDefault="00ED3032" w:rsidP="009D4D36">
      <w:pPr>
        <w:jc w:val="both"/>
        <w:rPr>
          <w:lang w:val="nl-BE"/>
        </w:rPr>
      </w:pPr>
      <w:r>
        <w:rPr>
          <w:lang w:val="nl-BE"/>
        </w:rPr>
        <w:t xml:space="preserve">Het BIPT heeft op </w:t>
      </w:r>
      <w:r w:rsidR="00332035">
        <w:rPr>
          <w:lang w:val="nl-BE"/>
        </w:rPr>
        <w:t>6 maart 2025</w:t>
      </w:r>
      <w:r>
        <w:rPr>
          <w:lang w:val="nl-BE"/>
        </w:rPr>
        <w:t xml:space="preserve"> </w:t>
      </w:r>
      <w:r w:rsidR="001632D3">
        <w:rPr>
          <w:lang w:val="nl-BE"/>
        </w:rPr>
        <w:t xml:space="preserve">beslist </w:t>
      </w:r>
      <w:r>
        <w:rPr>
          <w:lang w:val="nl-BE"/>
        </w:rPr>
        <w:t>om volgende nummercapaciteit</w:t>
      </w:r>
      <w:r w:rsidR="006B2846">
        <w:rPr>
          <w:lang w:val="nl-BE"/>
        </w:rPr>
        <w:t xml:space="preserve">, toegewezen aan Vectone Mobile Belgium (vroegere naam Mundio Mobile Belgium), met onmiddellijke ingang in te </w:t>
      </w:r>
      <w:proofErr w:type="gramStart"/>
      <w:r w:rsidR="006B2846">
        <w:rPr>
          <w:lang w:val="nl-BE"/>
        </w:rPr>
        <w:t>trekken</w:t>
      </w:r>
      <w:r>
        <w:rPr>
          <w:lang w:val="nl-BE"/>
        </w:rPr>
        <w:t xml:space="preserve"> </w:t>
      </w:r>
      <w:r w:rsidR="00A12087">
        <w:rPr>
          <w:lang w:val="nl-BE"/>
        </w:rPr>
        <w:t>:</w:t>
      </w:r>
      <w:proofErr w:type="gramEnd"/>
    </w:p>
    <w:p w14:paraId="2E4E8209" w14:textId="2751AF5C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 w:rsidRPr="00A32D0F">
        <w:t>04665, 04666 et 04667 (E.164</w:t>
      </w:r>
      <w:r>
        <w:t xml:space="preserve"> mobiele telefoonnummers</w:t>
      </w:r>
      <w:proofErr w:type="gramStart"/>
      <w:r w:rsidRPr="00A32D0F">
        <w:t>) ;</w:t>
      </w:r>
      <w:proofErr w:type="gramEnd"/>
      <w:r w:rsidRPr="00A32D0F">
        <w:t xml:space="preserve"> </w:t>
      </w:r>
    </w:p>
    <w:p w14:paraId="14DF70B5" w14:textId="324A84D3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 w:rsidRPr="00A32D0F">
        <w:t>51-N1-011, 51-N1-012, 51-N1-013, 51-N1-014, 51-N1-015, 51-N1-016 (</w:t>
      </w:r>
      <w:r>
        <w:t>nationale signaling codes</w:t>
      </w:r>
      <w:proofErr w:type="gramStart"/>
      <w:r w:rsidRPr="00A32D0F">
        <w:t>) ;</w:t>
      </w:r>
      <w:proofErr w:type="gramEnd"/>
    </w:p>
    <w:p w14:paraId="5AF396A2" w14:textId="1E1070EE" w:rsidR="009D27D5" w:rsidRPr="00A32D0F" w:rsidRDefault="009D27D5" w:rsidP="009D27D5">
      <w:pPr>
        <w:pStyle w:val="ListParagraph"/>
        <w:numPr>
          <w:ilvl w:val="0"/>
          <w:numId w:val="1"/>
        </w:numPr>
        <w:spacing w:after="180" w:line="264" w:lineRule="auto"/>
        <w:jc w:val="both"/>
      </w:pPr>
      <w:r w:rsidRPr="00A32D0F">
        <w:t>20607 (E.212</w:t>
      </w:r>
      <w:r>
        <w:t xml:space="preserve"> mobiele netwerkcode</w:t>
      </w:r>
      <w:r w:rsidRPr="00A32D0F">
        <w:t>).</w:t>
      </w:r>
    </w:p>
    <w:p w14:paraId="767F0795" w14:textId="6ADB0CCA" w:rsidR="00ED3032" w:rsidRDefault="00CE39CD" w:rsidP="009D4D36">
      <w:pPr>
        <w:jc w:val="both"/>
        <w:rPr>
          <w:lang w:val="nl-BE"/>
        </w:rPr>
      </w:pPr>
      <w:r>
        <w:rPr>
          <w:lang w:val="nl-BE"/>
        </w:rPr>
        <w:t xml:space="preserve">Vermits de nummerblokken </w:t>
      </w:r>
      <w:r w:rsidR="008958A3" w:rsidRPr="00A32D0F">
        <w:t xml:space="preserve">04665, 04666 et 04667 </w:t>
      </w:r>
      <w:r>
        <w:rPr>
          <w:lang w:val="nl-BE"/>
        </w:rPr>
        <w:t xml:space="preserve">nog uitgeporteerde telefoonnummers </w:t>
      </w:r>
      <w:r w:rsidR="001B4940">
        <w:rPr>
          <w:lang w:val="nl-BE"/>
        </w:rPr>
        <w:t>bevat</w:t>
      </w:r>
      <w:r w:rsidR="00290259">
        <w:rPr>
          <w:lang w:val="nl-BE"/>
        </w:rPr>
        <w:t>ten</w:t>
      </w:r>
      <w:r w:rsidR="001B4940">
        <w:rPr>
          <w:lang w:val="nl-BE"/>
        </w:rPr>
        <w:t xml:space="preserve"> wordt de status van deze nummerblokken gewijzigd in </w:t>
      </w:r>
      <w:r w:rsidR="004B0660">
        <w:rPr>
          <w:lang w:val="nl-BE"/>
        </w:rPr>
        <w:t xml:space="preserve">Blocked </w:t>
      </w:r>
      <w:r w:rsidR="00E906B5">
        <w:rPr>
          <w:lang w:val="nl-BE"/>
        </w:rPr>
        <w:t>(</w:t>
      </w:r>
      <w:r w:rsidR="00AE021D">
        <w:rPr>
          <w:lang w:val="nl-BE"/>
        </w:rPr>
        <w:t>“B”</w:t>
      </w:r>
      <w:r w:rsidR="00E906B5">
        <w:rPr>
          <w:lang w:val="nl-BE"/>
        </w:rPr>
        <w:t>)</w:t>
      </w:r>
      <w:r w:rsidR="00AE021D">
        <w:rPr>
          <w:lang w:val="nl-BE"/>
        </w:rPr>
        <w:t>.</w:t>
      </w:r>
      <w:r w:rsidR="00EF331C">
        <w:rPr>
          <w:lang w:val="nl-BE"/>
        </w:rPr>
        <w:t xml:space="preserve"> </w:t>
      </w:r>
    </w:p>
    <w:p w14:paraId="4777EBBD" w14:textId="06502E28" w:rsidR="00AE021D" w:rsidRDefault="00AE021D" w:rsidP="00D86C6A">
      <w:pPr>
        <w:spacing w:after="180" w:line="264" w:lineRule="auto"/>
        <w:jc w:val="both"/>
        <w:rPr>
          <w:lang w:val="nl-BE"/>
        </w:rPr>
      </w:pPr>
      <w:r w:rsidRPr="00D86C6A">
        <w:rPr>
          <w:lang w:val="nl-BE"/>
        </w:rPr>
        <w:t xml:space="preserve">Voor de </w:t>
      </w:r>
      <w:r w:rsidR="001568BC" w:rsidRPr="00D86C6A">
        <w:rPr>
          <w:lang w:val="nl-BE"/>
        </w:rPr>
        <w:t xml:space="preserve">nationale signaleringscodes </w:t>
      </w:r>
      <w:r w:rsidR="00C07F2E" w:rsidRPr="00A32D0F">
        <w:t xml:space="preserve">51-N1-011, 51-N1-012, 51-N1-013, 51-N1-014, 51-N1-015, 51-N1-016 </w:t>
      </w:r>
      <w:r w:rsidR="00D86C6A">
        <w:t xml:space="preserve">en de mobiele E.212- netwerkcode </w:t>
      </w:r>
      <w:r w:rsidR="00C07F2E" w:rsidRPr="00A32D0F">
        <w:t xml:space="preserve">20607 </w:t>
      </w:r>
      <w:r>
        <w:rPr>
          <w:lang w:val="nl-BE"/>
        </w:rPr>
        <w:t xml:space="preserve">wordt de status gewijzigd in </w:t>
      </w:r>
      <w:r w:rsidR="00E55C6A">
        <w:rPr>
          <w:lang w:val="nl-BE"/>
        </w:rPr>
        <w:t>“F” (Free)</w:t>
      </w:r>
      <w:r w:rsidR="001A08E3">
        <w:rPr>
          <w:lang w:val="nl-BE"/>
        </w:rPr>
        <w:t xml:space="preserve"> </w:t>
      </w:r>
      <w:r w:rsidR="004113A8">
        <w:rPr>
          <w:lang w:val="nl-BE"/>
        </w:rPr>
        <w:t>met onmiddellijke ingang</w:t>
      </w:r>
      <w:r w:rsidR="00E26713">
        <w:rPr>
          <w:lang w:val="nl-BE"/>
        </w:rPr>
        <w:t>.</w:t>
      </w:r>
    </w:p>
    <w:p w14:paraId="47602EC9" w14:textId="55B8F4F0" w:rsidR="00325DA2" w:rsidRDefault="00845F75" w:rsidP="009D4D36">
      <w:pPr>
        <w:jc w:val="both"/>
        <w:rPr>
          <w:lang w:val="nl-BE"/>
        </w:rPr>
      </w:pPr>
      <w:proofErr w:type="gramStart"/>
      <w:r>
        <w:rPr>
          <w:lang w:val="nl-BE"/>
        </w:rPr>
        <w:t>Conform</w:t>
      </w:r>
      <w:proofErr w:type="gramEnd"/>
      <w:r>
        <w:rPr>
          <w:lang w:val="nl-BE"/>
        </w:rPr>
        <w:t xml:space="preserve"> artikel 34 van het KB </w:t>
      </w:r>
      <w:r w:rsidR="002D1F6A" w:rsidRPr="002D1F6A">
        <w:rPr>
          <w:lang w:val="nl-BE"/>
        </w:rPr>
        <w:t>van 27 april 2007</w:t>
      </w:r>
      <w:r w:rsidR="002D1F6A">
        <w:rPr>
          <w:lang w:val="nl-BE"/>
        </w:rPr>
        <w:t xml:space="preserve"> </w:t>
      </w:r>
      <w:proofErr w:type="gramStart"/>
      <w:r w:rsidR="003838BB">
        <w:rPr>
          <w:lang w:val="nl-BE"/>
        </w:rPr>
        <w:t>b</w:t>
      </w:r>
      <w:r w:rsidR="003838BB" w:rsidRPr="003838BB">
        <w:rPr>
          <w:lang w:val="nl-BE"/>
        </w:rPr>
        <w:t>etreffende</w:t>
      </w:r>
      <w:proofErr w:type="gramEnd"/>
      <w:r w:rsidR="003838BB" w:rsidRPr="003838BB">
        <w:rPr>
          <w:lang w:val="nl-BE"/>
        </w:rPr>
        <w:t xml:space="preserve"> het beheer van de nationale nummeringsruimte en de toekenning en intrekking van gebruiksrechten voor nummers </w:t>
      </w:r>
      <w:r w:rsidR="009D4D36">
        <w:rPr>
          <w:lang w:val="nl-BE"/>
        </w:rPr>
        <w:t xml:space="preserve">mag </w:t>
      </w:r>
      <w:r w:rsidR="00325DA2">
        <w:rPr>
          <w:lang w:val="nl-BE"/>
        </w:rPr>
        <w:t>g</w:t>
      </w:r>
      <w:r w:rsidR="009D4D36">
        <w:rPr>
          <w:lang w:val="nl-BE"/>
        </w:rPr>
        <w:t>een</w:t>
      </w:r>
      <w:r w:rsidR="00FA57BE">
        <w:rPr>
          <w:lang w:val="nl-BE"/>
        </w:rPr>
        <w:t xml:space="preserve"> </w:t>
      </w:r>
      <w:r w:rsidR="00325DA2">
        <w:rPr>
          <w:lang w:val="nl-BE"/>
        </w:rPr>
        <w:t>(</w:t>
      </w:r>
      <w:r w:rsidR="00FA57BE">
        <w:rPr>
          <w:lang w:val="nl-BE"/>
        </w:rPr>
        <w:t>telefoon</w:t>
      </w:r>
      <w:r w:rsidR="00325DA2">
        <w:rPr>
          <w:lang w:val="nl-BE"/>
        </w:rPr>
        <w:t>)</w:t>
      </w:r>
      <w:r w:rsidR="00FA57BE">
        <w:rPr>
          <w:lang w:val="nl-BE"/>
        </w:rPr>
        <w:t xml:space="preserve">verkeer </w:t>
      </w:r>
      <w:r w:rsidR="00CB3857">
        <w:rPr>
          <w:lang w:val="nl-BE"/>
        </w:rPr>
        <w:t xml:space="preserve">meer </w:t>
      </w:r>
      <w:r w:rsidR="00FA57BE">
        <w:rPr>
          <w:lang w:val="nl-BE"/>
        </w:rPr>
        <w:t xml:space="preserve">worden afgewikkeld </w:t>
      </w:r>
      <w:r w:rsidR="00F94B80">
        <w:rPr>
          <w:lang w:val="nl-BE"/>
        </w:rPr>
        <w:t>naar en op basis van de ingetrokken nummercapaciteit</w:t>
      </w:r>
      <w:r w:rsidR="001529D5">
        <w:rPr>
          <w:lang w:val="nl-BE"/>
        </w:rPr>
        <w:t xml:space="preserve"> vanaf </w:t>
      </w:r>
      <w:r w:rsidR="004113A8">
        <w:rPr>
          <w:lang w:val="nl-BE"/>
        </w:rPr>
        <w:t>6 maart 2025</w:t>
      </w:r>
      <w:r w:rsidR="00F94B80">
        <w:rPr>
          <w:lang w:val="nl-BE"/>
        </w:rPr>
        <w:t>, m</w:t>
      </w:r>
      <w:r w:rsidR="00FA57BE">
        <w:rPr>
          <w:lang w:val="nl-BE"/>
        </w:rPr>
        <w:t>et uitzondering van de uitgeporteerde telefoonnummers</w:t>
      </w:r>
      <w:r w:rsidR="00A159FD">
        <w:rPr>
          <w:lang w:val="nl-BE"/>
        </w:rPr>
        <w:t xml:space="preserve"> uit de nummerblokken </w:t>
      </w:r>
      <w:r w:rsidR="00C819B2" w:rsidRPr="00A32D0F">
        <w:t>04665, 04666 et 04667</w:t>
      </w:r>
      <w:r w:rsidR="00F94B80">
        <w:rPr>
          <w:lang w:val="nl-BE"/>
        </w:rPr>
        <w:t>.</w:t>
      </w:r>
    </w:p>
    <w:p w14:paraId="2409CE36" w14:textId="77777777" w:rsidR="00140D95" w:rsidRDefault="00140D95" w:rsidP="009D4D36">
      <w:pPr>
        <w:pBdr>
          <w:bottom w:val="single" w:sz="6" w:space="1" w:color="auto"/>
        </w:pBdr>
        <w:jc w:val="both"/>
        <w:rPr>
          <w:lang w:val="nl-BE"/>
        </w:rPr>
      </w:pPr>
    </w:p>
    <w:p w14:paraId="1AFC5582" w14:textId="77777777" w:rsidR="00140D95" w:rsidRDefault="00140D95" w:rsidP="009D4D36">
      <w:pPr>
        <w:jc w:val="both"/>
        <w:rPr>
          <w:lang w:val="nl-BE"/>
        </w:rPr>
      </w:pPr>
    </w:p>
    <w:p w14:paraId="36E38DCC" w14:textId="35523FF0" w:rsidR="00016159" w:rsidRPr="00BD7624" w:rsidRDefault="00016159" w:rsidP="009D4D36">
      <w:pPr>
        <w:jc w:val="both"/>
        <w:rPr>
          <w:b/>
          <w:bCs/>
          <w:u w:val="single"/>
          <w:lang w:val="nl-BE"/>
        </w:rPr>
      </w:pPr>
      <w:r w:rsidRPr="00BD7624">
        <w:rPr>
          <w:b/>
          <w:bCs/>
          <w:u w:val="single"/>
          <w:lang w:val="nl-BE"/>
        </w:rPr>
        <w:t>Opzeg nummercapaciteit Febo Telecom (datum 30</w:t>
      </w:r>
      <w:r w:rsidR="00195EA1" w:rsidRPr="00BD7624">
        <w:rPr>
          <w:b/>
          <w:bCs/>
          <w:u w:val="single"/>
          <w:lang w:val="nl-BE"/>
        </w:rPr>
        <w:t xml:space="preserve"> december 2024)</w:t>
      </w:r>
    </w:p>
    <w:p w14:paraId="60127AE3" w14:textId="579C3991" w:rsidR="001E1EDF" w:rsidRDefault="00FC1C1A" w:rsidP="009D4D36">
      <w:pPr>
        <w:jc w:val="both"/>
        <w:rPr>
          <w:lang w:val="nl-BE"/>
        </w:rPr>
      </w:pPr>
      <w:r>
        <w:rPr>
          <w:lang w:val="nl-BE"/>
        </w:rPr>
        <w:t>Febo Telecom heeft op 30 december 2024 aan het BIPT meegedeeld de volgende toegewezen nummercapaciteit op te zeggen</w:t>
      </w:r>
      <w:r w:rsidR="001E1EDF">
        <w:rPr>
          <w:lang w:val="nl-BE"/>
        </w:rPr>
        <w:t xml:space="preserve">: </w:t>
      </w:r>
    </w:p>
    <w:p w14:paraId="203C7BF0" w14:textId="5323B882" w:rsidR="00CD5B31" w:rsidRDefault="00BD7624" w:rsidP="00CD5B31">
      <w:pPr>
        <w:pStyle w:val="ListParagraph"/>
        <w:numPr>
          <w:ilvl w:val="0"/>
          <w:numId w:val="3"/>
        </w:numPr>
        <w:jc w:val="both"/>
        <w:rPr>
          <w:lang w:val="nl-BE"/>
        </w:rPr>
      </w:pPr>
      <w:r>
        <w:rPr>
          <w:lang w:val="nl-BE"/>
        </w:rPr>
        <w:t>07700090 (M2M telefoonnummers</w:t>
      </w:r>
      <w:proofErr w:type="gramStart"/>
      <w:r>
        <w:rPr>
          <w:lang w:val="nl-BE"/>
        </w:rPr>
        <w:t>) ;</w:t>
      </w:r>
      <w:proofErr w:type="gramEnd"/>
    </w:p>
    <w:p w14:paraId="4E5D74C2" w14:textId="4A438495" w:rsidR="00BD7624" w:rsidRPr="00CD5B31" w:rsidRDefault="00BD7624" w:rsidP="00CD5B31">
      <w:pPr>
        <w:pStyle w:val="ListParagraph"/>
        <w:numPr>
          <w:ilvl w:val="0"/>
          <w:numId w:val="3"/>
        </w:numPr>
        <w:jc w:val="both"/>
        <w:rPr>
          <w:lang w:val="nl-BE"/>
        </w:rPr>
      </w:pPr>
      <w:r>
        <w:rPr>
          <w:lang w:val="nl-BE"/>
        </w:rPr>
        <w:t>07036 (070-nummers)</w:t>
      </w:r>
    </w:p>
    <w:p w14:paraId="52DD7718" w14:textId="1B95E22C" w:rsidR="00195EA1" w:rsidRPr="00F16E5D" w:rsidRDefault="001E6110" w:rsidP="009D4D36">
      <w:pPr>
        <w:jc w:val="both"/>
        <w:rPr>
          <w:lang w:val="nl-BE"/>
        </w:rPr>
      </w:pPr>
      <w:r>
        <w:rPr>
          <w:lang w:val="nl-BE"/>
        </w:rPr>
        <w:t>De opzeg is aanvaard door het BIPT. Vanaf 30 december mag er geen (telefoon)verkeer nog worden afgewikkeld naar en op basis van de ingetrokken nummercapaciteit.</w:t>
      </w:r>
    </w:p>
    <w:sectPr w:rsidR="00195EA1" w:rsidRPr="00F16E5D" w:rsidSect="007F7A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34B9C"/>
    <w:multiLevelType w:val="hybridMultilevel"/>
    <w:tmpl w:val="B184A6A4"/>
    <w:lvl w:ilvl="0" w:tplc="FFFFFFFF">
      <w:start w:val="1"/>
      <w:numFmt w:val="decimal"/>
      <w:lvlText w:val="%1."/>
      <w:lvlJc w:val="left"/>
      <w:pPr>
        <w:ind w:left="1428" w:hanging="360"/>
      </w:pPr>
    </w:lvl>
    <w:lvl w:ilvl="1" w:tplc="FFFFFFFF" w:tentative="1">
      <w:start w:val="1"/>
      <w:numFmt w:val="lowerLetter"/>
      <w:lvlText w:val="%2."/>
      <w:lvlJc w:val="left"/>
      <w:pPr>
        <w:ind w:left="2148" w:hanging="360"/>
      </w:pPr>
    </w:lvl>
    <w:lvl w:ilvl="2" w:tplc="FFFFFFFF" w:tentative="1">
      <w:start w:val="1"/>
      <w:numFmt w:val="lowerRoman"/>
      <w:lvlText w:val="%3."/>
      <w:lvlJc w:val="right"/>
      <w:pPr>
        <w:ind w:left="2868" w:hanging="180"/>
      </w:pPr>
    </w:lvl>
    <w:lvl w:ilvl="3" w:tplc="FFFFFFFF" w:tentative="1">
      <w:start w:val="1"/>
      <w:numFmt w:val="decimal"/>
      <w:lvlText w:val="%4."/>
      <w:lvlJc w:val="left"/>
      <w:pPr>
        <w:ind w:left="3588" w:hanging="360"/>
      </w:pPr>
    </w:lvl>
    <w:lvl w:ilvl="4" w:tplc="FFFFFFFF" w:tentative="1">
      <w:start w:val="1"/>
      <w:numFmt w:val="lowerLetter"/>
      <w:lvlText w:val="%5."/>
      <w:lvlJc w:val="left"/>
      <w:pPr>
        <w:ind w:left="4308" w:hanging="360"/>
      </w:pPr>
    </w:lvl>
    <w:lvl w:ilvl="5" w:tplc="FFFFFFFF" w:tentative="1">
      <w:start w:val="1"/>
      <w:numFmt w:val="lowerRoman"/>
      <w:lvlText w:val="%6."/>
      <w:lvlJc w:val="right"/>
      <w:pPr>
        <w:ind w:left="5028" w:hanging="180"/>
      </w:pPr>
    </w:lvl>
    <w:lvl w:ilvl="6" w:tplc="FFFFFFFF" w:tentative="1">
      <w:start w:val="1"/>
      <w:numFmt w:val="decimal"/>
      <w:lvlText w:val="%7."/>
      <w:lvlJc w:val="left"/>
      <w:pPr>
        <w:ind w:left="5748" w:hanging="360"/>
      </w:pPr>
    </w:lvl>
    <w:lvl w:ilvl="7" w:tplc="FFFFFFFF" w:tentative="1">
      <w:start w:val="1"/>
      <w:numFmt w:val="lowerLetter"/>
      <w:lvlText w:val="%8."/>
      <w:lvlJc w:val="left"/>
      <w:pPr>
        <w:ind w:left="6468" w:hanging="360"/>
      </w:pPr>
    </w:lvl>
    <w:lvl w:ilvl="8" w:tplc="FFFFFFFF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4E4763F"/>
    <w:multiLevelType w:val="hybridMultilevel"/>
    <w:tmpl w:val="AABA116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573177"/>
    <w:multiLevelType w:val="hybridMultilevel"/>
    <w:tmpl w:val="B184A6A4"/>
    <w:lvl w:ilvl="0" w:tplc="0C00000F">
      <w:start w:val="1"/>
      <w:numFmt w:val="decimal"/>
      <w:lvlText w:val="%1."/>
      <w:lvlJc w:val="left"/>
      <w:pPr>
        <w:ind w:left="1428" w:hanging="360"/>
      </w:pPr>
    </w:lvl>
    <w:lvl w:ilvl="1" w:tplc="0C000019" w:tentative="1">
      <w:start w:val="1"/>
      <w:numFmt w:val="lowerLetter"/>
      <w:lvlText w:val="%2."/>
      <w:lvlJc w:val="left"/>
      <w:pPr>
        <w:ind w:left="2148" w:hanging="360"/>
      </w:pPr>
    </w:lvl>
    <w:lvl w:ilvl="2" w:tplc="0C00001B" w:tentative="1">
      <w:start w:val="1"/>
      <w:numFmt w:val="lowerRoman"/>
      <w:lvlText w:val="%3."/>
      <w:lvlJc w:val="right"/>
      <w:pPr>
        <w:ind w:left="2868" w:hanging="180"/>
      </w:pPr>
    </w:lvl>
    <w:lvl w:ilvl="3" w:tplc="0C00000F" w:tentative="1">
      <w:start w:val="1"/>
      <w:numFmt w:val="decimal"/>
      <w:lvlText w:val="%4."/>
      <w:lvlJc w:val="left"/>
      <w:pPr>
        <w:ind w:left="3588" w:hanging="360"/>
      </w:pPr>
    </w:lvl>
    <w:lvl w:ilvl="4" w:tplc="0C000019" w:tentative="1">
      <w:start w:val="1"/>
      <w:numFmt w:val="lowerLetter"/>
      <w:lvlText w:val="%5."/>
      <w:lvlJc w:val="left"/>
      <w:pPr>
        <w:ind w:left="4308" w:hanging="360"/>
      </w:pPr>
    </w:lvl>
    <w:lvl w:ilvl="5" w:tplc="0C00001B" w:tentative="1">
      <w:start w:val="1"/>
      <w:numFmt w:val="lowerRoman"/>
      <w:lvlText w:val="%6."/>
      <w:lvlJc w:val="right"/>
      <w:pPr>
        <w:ind w:left="5028" w:hanging="180"/>
      </w:pPr>
    </w:lvl>
    <w:lvl w:ilvl="6" w:tplc="0C00000F" w:tentative="1">
      <w:start w:val="1"/>
      <w:numFmt w:val="decimal"/>
      <w:lvlText w:val="%7."/>
      <w:lvlJc w:val="left"/>
      <w:pPr>
        <w:ind w:left="5748" w:hanging="360"/>
      </w:pPr>
    </w:lvl>
    <w:lvl w:ilvl="7" w:tplc="0C000019" w:tentative="1">
      <w:start w:val="1"/>
      <w:numFmt w:val="lowerLetter"/>
      <w:lvlText w:val="%8."/>
      <w:lvlJc w:val="left"/>
      <w:pPr>
        <w:ind w:left="6468" w:hanging="360"/>
      </w:pPr>
    </w:lvl>
    <w:lvl w:ilvl="8" w:tplc="0C00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67334215">
    <w:abstractNumId w:val="2"/>
  </w:num>
  <w:num w:numId="2" w16cid:durableId="1783842355">
    <w:abstractNumId w:val="0"/>
  </w:num>
  <w:num w:numId="3" w16cid:durableId="8515270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BE4"/>
    <w:rsid w:val="00016159"/>
    <w:rsid w:val="000450E2"/>
    <w:rsid w:val="000465E8"/>
    <w:rsid w:val="00053555"/>
    <w:rsid w:val="000E4549"/>
    <w:rsid w:val="001169FE"/>
    <w:rsid w:val="00126B46"/>
    <w:rsid w:val="00140D95"/>
    <w:rsid w:val="001529D5"/>
    <w:rsid w:val="001568BC"/>
    <w:rsid w:val="001632D3"/>
    <w:rsid w:val="00195EA1"/>
    <w:rsid w:val="001A08E3"/>
    <w:rsid w:val="001B0437"/>
    <w:rsid w:val="001B4940"/>
    <w:rsid w:val="001D0C82"/>
    <w:rsid w:val="001D3596"/>
    <w:rsid w:val="001E1EDF"/>
    <w:rsid w:val="001E6110"/>
    <w:rsid w:val="0026206B"/>
    <w:rsid w:val="00270C6B"/>
    <w:rsid w:val="00290259"/>
    <w:rsid w:val="002A1642"/>
    <w:rsid w:val="002D1F6A"/>
    <w:rsid w:val="00325995"/>
    <w:rsid w:val="00325DA2"/>
    <w:rsid w:val="00332035"/>
    <w:rsid w:val="003456E4"/>
    <w:rsid w:val="00374FE6"/>
    <w:rsid w:val="00376585"/>
    <w:rsid w:val="003838BB"/>
    <w:rsid w:val="0039499B"/>
    <w:rsid w:val="004113A8"/>
    <w:rsid w:val="0047291D"/>
    <w:rsid w:val="0049500A"/>
    <w:rsid w:val="004B0660"/>
    <w:rsid w:val="004E3148"/>
    <w:rsid w:val="00540ABF"/>
    <w:rsid w:val="00547083"/>
    <w:rsid w:val="005A544E"/>
    <w:rsid w:val="005E0899"/>
    <w:rsid w:val="005F49D5"/>
    <w:rsid w:val="005F5F74"/>
    <w:rsid w:val="00653D61"/>
    <w:rsid w:val="0067432A"/>
    <w:rsid w:val="0068773F"/>
    <w:rsid w:val="0069348C"/>
    <w:rsid w:val="006B2846"/>
    <w:rsid w:val="00703DD7"/>
    <w:rsid w:val="00722182"/>
    <w:rsid w:val="00766C71"/>
    <w:rsid w:val="007A0C62"/>
    <w:rsid w:val="007F7A66"/>
    <w:rsid w:val="00845F75"/>
    <w:rsid w:val="008542B6"/>
    <w:rsid w:val="00877D89"/>
    <w:rsid w:val="00892706"/>
    <w:rsid w:val="008958A3"/>
    <w:rsid w:val="008B24C6"/>
    <w:rsid w:val="008F473B"/>
    <w:rsid w:val="00944B03"/>
    <w:rsid w:val="009879D5"/>
    <w:rsid w:val="009D27D5"/>
    <w:rsid w:val="009D4263"/>
    <w:rsid w:val="009D4D36"/>
    <w:rsid w:val="009E38BD"/>
    <w:rsid w:val="00A12087"/>
    <w:rsid w:val="00A159FD"/>
    <w:rsid w:val="00A451A3"/>
    <w:rsid w:val="00A65CB4"/>
    <w:rsid w:val="00A77A1D"/>
    <w:rsid w:val="00A907E6"/>
    <w:rsid w:val="00AA1601"/>
    <w:rsid w:val="00AA478D"/>
    <w:rsid w:val="00AE021D"/>
    <w:rsid w:val="00AF1DD6"/>
    <w:rsid w:val="00B256B1"/>
    <w:rsid w:val="00B57C01"/>
    <w:rsid w:val="00B611DF"/>
    <w:rsid w:val="00B67CA0"/>
    <w:rsid w:val="00B85CD8"/>
    <w:rsid w:val="00B9722F"/>
    <w:rsid w:val="00BD7624"/>
    <w:rsid w:val="00C07F2E"/>
    <w:rsid w:val="00C10F31"/>
    <w:rsid w:val="00C45B34"/>
    <w:rsid w:val="00C716D3"/>
    <w:rsid w:val="00C819B2"/>
    <w:rsid w:val="00CB3857"/>
    <w:rsid w:val="00CD5B31"/>
    <w:rsid w:val="00CE39CD"/>
    <w:rsid w:val="00D24EEA"/>
    <w:rsid w:val="00D56C9F"/>
    <w:rsid w:val="00D6245E"/>
    <w:rsid w:val="00D716AD"/>
    <w:rsid w:val="00D86C6A"/>
    <w:rsid w:val="00DC42EC"/>
    <w:rsid w:val="00DE1A9C"/>
    <w:rsid w:val="00E26713"/>
    <w:rsid w:val="00E31B7B"/>
    <w:rsid w:val="00E54885"/>
    <w:rsid w:val="00E55C6A"/>
    <w:rsid w:val="00E72BD1"/>
    <w:rsid w:val="00E906B5"/>
    <w:rsid w:val="00E92AFE"/>
    <w:rsid w:val="00ED3032"/>
    <w:rsid w:val="00EF331C"/>
    <w:rsid w:val="00EF5BE4"/>
    <w:rsid w:val="00F16E5D"/>
    <w:rsid w:val="00F50133"/>
    <w:rsid w:val="00F655A7"/>
    <w:rsid w:val="00F94B80"/>
    <w:rsid w:val="00FA57BE"/>
    <w:rsid w:val="00FA679D"/>
    <w:rsid w:val="00FC1C1A"/>
    <w:rsid w:val="0583F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4628C14"/>
  <w15:chartTrackingRefBased/>
  <w15:docId w15:val="{0ECA0CB2-B82A-452C-A027-B5319A6B1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3D61"/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907E6"/>
    <w:pPr>
      <w:keepNext/>
      <w:keepLines/>
      <w:spacing w:before="240" w:after="0"/>
      <w:outlineLvl w:val="0"/>
    </w:pPr>
    <w:rPr>
      <w:rFonts w:eastAsiaTheme="majorEastAsia" w:cstheme="majorBidi"/>
      <w:color w:val="1B80B2" w:themeColor="accent1" w:themeShade="BF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907E6"/>
    <w:pPr>
      <w:keepNext/>
      <w:keepLines/>
      <w:spacing w:before="40" w:after="0"/>
      <w:outlineLvl w:val="1"/>
    </w:pPr>
    <w:rPr>
      <w:rFonts w:eastAsiaTheme="majorEastAsia" w:cstheme="majorBidi"/>
      <w:color w:val="1B80B2" w:themeColor="accent1" w:themeShade="BF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F5BE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1B80B2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BE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1B80B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BE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1B80B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BE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BE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BE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BE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07E6"/>
    <w:rPr>
      <w:rFonts w:ascii="Tahoma" w:eastAsiaTheme="majorEastAsia" w:hAnsi="Tahoma" w:cstheme="majorBidi"/>
      <w:color w:val="1B80B2" w:themeColor="accent1" w:themeShade="BF"/>
      <w:sz w:val="48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A907E6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7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907E6"/>
    <w:rPr>
      <w:rFonts w:ascii="Tahoma" w:eastAsiaTheme="majorEastAsia" w:hAnsi="Tahoma" w:cstheme="majorBidi"/>
      <w:spacing w:val="-10"/>
      <w:kern w:val="28"/>
      <w:sz w:val="7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A907E6"/>
    <w:rPr>
      <w:rFonts w:ascii="Tahoma" w:eastAsiaTheme="majorEastAsia" w:hAnsi="Tahoma" w:cstheme="majorBidi"/>
      <w:color w:val="1B80B2" w:themeColor="accent1" w:themeShade="BF"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F5BE4"/>
    <w:rPr>
      <w:rFonts w:eastAsiaTheme="majorEastAsia" w:cstheme="majorBidi"/>
      <w:color w:val="1B80B2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BE4"/>
    <w:rPr>
      <w:rFonts w:eastAsiaTheme="majorEastAsia" w:cstheme="majorBidi"/>
      <w:i/>
      <w:iCs/>
      <w:color w:val="1B80B2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BE4"/>
    <w:rPr>
      <w:rFonts w:eastAsiaTheme="majorEastAsia" w:cstheme="majorBidi"/>
      <w:color w:val="1B80B2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BE4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BE4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BE4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BE4"/>
    <w:rPr>
      <w:rFonts w:eastAsiaTheme="majorEastAsia" w:cstheme="majorBidi"/>
      <w:color w:val="272727" w:themeColor="text1" w:themeTint="D8"/>
      <w:sz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BE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B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B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BE4"/>
    <w:rPr>
      <w:rFonts w:ascii="Tahoma" w:hAnsi="Tahoma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EF5B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BE4"/>
    <w:rPr>
      <w:i/>
      <w:iCs/>
      <w:color w:val="1B80B2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BE4"/>
    <w:pPr>
      <w:pBdr>
        <w:top w:val="single" w:sz="4" w:space="10" w:color="1B80B2" w:themeColor="accent1" w:themeShade="BF"/>
        <w:bottom w:val="single" w:sz="4" w:space="10" w:color="1B80B2" w:themeColor="accent1" w:themeShade="BF"/>
      </w:pBdr>
      <w:spacing w:before="360" w:after="360"/>
      <w:ind w:left="864" w:right="864"/>
      <w:jc w:val="center"/>
    </w:pPr>
    <w:rPr>
      <w:i/>
      <w:iCs/>
      <w:color w:val="1B80B2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BE4"/>
    <w:rPr>
      <w:rFonts w:ascii="Tahoma" w:hAnsi="Tahoma"/>
      <w:i/>
      <w:iCs/>
      <w:color w:val="1B80B2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EF5BE4"/>
    <w:rPr>
      <w:b/>
      <w:bCs/>
      <w:smallCaps/>
      <w:color w:val="1B80B2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72BD1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465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65E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65E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65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65E8"/>
    <w:rPr>
      <w:rFonts w:ascii="Tahoma" w:hAnsi="Tahoma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92706"/>
    <w:pPr>
      <w:spacing w:after="0" w:line="240" w:lineRule="auto"/>
    </w:pPr>
    <w:rPr>
      <w:rFonts w:ascii="Tahoma" w:hAnsi="Tahom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716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BIPT-IBPT">
  <a:themeElements>
    <a:clrScheme name="IBPT Stijlgids 2">
      <a:dk1>
        <a:sysClr val="windowText" lastClr="000000"/>
      </a:dk1>
      <a:lt1>
        <a:sysClr val="window" lastClr="FFFFFF"/>
      </a:lt1>
      <a:dk2>
        <a:srgbClr val="292A81"/>
      </a:dk2>
      <a:lt2>
        <a:srgbClr val="E0EDFA"/>
      </a:lt2>
      <a:accent1>
        <a:srgbClr val="32A8E0"/>
      </a:accent1>
      <a:accent2>
        <a:srgbClr val="C73432"/>
      </a:accent2>
      <a:accent3>
        <a:srgbClr val="D06516"/>
      </a:accent3>
      <a:accent4>
        <a:srgbClr val="EAB80F"/>
      </a:accent4>
      <a:accent5>
        <a:srgbClr val="A1C049"/>
      </a:accent5>
      <a:accent6>
        <a:srgbClr val="53AAA7"/>
      </a:accent6>
      <a:hlink>
        <a:srgbClr val="32A8E0"/>
      </a:hlink>
      <a:folHlink>
        <a:srgbClr val="834B9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248</Words>
  <Characters>1416</Characters>
  <Application>Microsoft Office Word</Application>
  <DocSecurity>0</DocSecurity>
  <Lines>11</Lines>
  <Paragraphs>3</Paragraphs>
  <ScaleCrop>false</ScaleCrop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Vannieuwenhuyse</dc:creator>
  <cp:keywords/>
  <dc:description/>
  <cp:lastModifiedBy>Rein Coomans</cp:lastModifiedBy>
  <cp:revision>27</cp:revision>
  <dcterms:created xsi:type="dcterms:W3CDTF">2025-03-05T08:47:00Z</dcterms:created>
  <dcterms:modified xsi:type="dcterms:W3CDTF">2025-05-06T08:52:00Z</dcterms:modified>
</cp:coreProperties>
</file>